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60"/>
        <w:ind w:right="-178" w:rightChars="-85" w:firstLine="1240" w:firstLineChars="147"/>
        <w:rPr>
          <w:rFonts w:ascii="宋体" w:hAnsi="宋体"/>
          <w:b/>
          <w:bCs/>
          <w:sz w:val="84"/>
          <w:szCs w:val="84"/>
        </w:rPr>
      </w:pPr>
    </w:p>
    <w:p>
      <w:pPr>
        <w:snapToGrid w:val="0"/>
        <w:spacing w:line="360" w:lineRule="auto"/>
        <w:jc w:val="center"/>
        <w:rPr>
          <w:rFonts w:ascii="宋体" w:hAnsi="宋体"/>
          <w:b/>
          <w:bCs/>
          <w:spacing w:val="20"/>
          <w:sz w:val="52"/>
          <w:szCs w:val="52"/>
        </w:rPr>
      </w:pPr>
      <w:r>
        <w:rPr>
          <w:rFonts w:hint="eastAsia" w:ascii="宋体" w:hAnsi="宋体"/>
          <w:b/>
          <w:bCs/>
          <w:sz w:val="72"/>
          <w:szCs w:val="72"/>
        </w:rPr>
        <w:t>东莞市交通投资集团有限公司供应链服务平台项目</w:t>
      </w:r>
    </w:p>
    <w:p>
      <w:pPr>
        <w:snapToGrid w:val="0"/>
        <w:spacing w:line="360" w:lineRule="auto"/>
        <w:jc w:val="center"/>
        <w:rPr>
          <w:rFonts w:ascii="宋体" w:hAnsi="宋体"/>
          <w:b/>
          <w:sz w:val="31"/>
          <w:szCs w:val="18"/>
        </w:rPr>
      </w:pPr>
      <w:r>
        <w:rPr>
          <w:rFonts w:ascii="宋体" w:hAnsi="宋体"/>
          <w:b/>
          <w:bCs/>
          <w:spacing w:val="20"/>
          <w:sz w:val="52"/>
          <w:szCs w:val="52"/>
        </w:rPr>
        <w:t>招标文件</w:t>
      </w:r>
    </w:p>
    <w:p>
      <w:pPr>
        <w:snapToGrid w:val="0"/>
        <w:spacing w:line="360" w:lineRule="auto"/>
        <w:rPr>
          <w:rFonts w:ascii="宋体" w:hAnsi="宋体"/>
          <w:b/>
          <w:sz w:val="31"/>
          <w:szCs w:val="18"/>
        </w:rPr>
      </w:pPr>
    </w:p>
    <w:p>
      <w:pPr>
        <w:snapToGrid w:val="0"/>
        <w:spacing w:line="360" w:lineRule="auto"/>
        <w:ind w:left="2000" w:leftChars="146" w:hanging="1693" w:hangingChars="544"/>
        <w:rPr>
          <w:rFonts w:ascii="宋体" w:hAnsi="宋体"/>
          <w:b/>
          <w:sz w:val="31"/>
          <w:szCs w:val="18"/>
        </w:rPr>
      </w:pPr>
    </w:p>
    <w:p>
      <w:pPr>
        <w:spacing w:line="600" w:lineRule="exact"/>
        <w:jc w:val="center"/>
        <w:rPr>
          <w:rFonts w:ascii="宋体" w:hAnsi="宋体"/>
          <w:b/>
          <w:sz w:val="31"/>
          <w:szCs w:val="18"/>
        </w:rPr>
      </w:pPr>
    </w:p>
    <w:p>
      <w:pPr>
        <w:spacing w:line="600" w:lineRule="exact"/>
        <w:jc w:val="center"/>
        <w:rPr>
          <w:rFonts w:ascii="宋体" w:hAnsi="宋体"/>
          <w:b/>
          <w:sz w:val="31"/>
          <w:szCs w:val="18"/>
        </w:rPr>
      </w:pPr>
    </w:p>
    <w:p>
      <w:pPr>
        <w:spacing w:line="600" w:lineRule="exact"/>
        <w:jc w:val="center"/>
        <w:rPr>
          <w:rFonts w:ascii="宋体" w:hAnsi="宋体"/>
          <w:b/>
          <w:sz w:val="31"/>
          <w:szCs w:val="18"/>
        </w:rPr>
      </w:pPr>
    </w:p>
    <w:p>
      <w:pPr>
        <w:spacing w:line="600" w:lineRule="exact"/>
        <w:jc w:val="center"/>
        <w:rPr>
          <w:rFonts w:ascii="宋体" w:hAnsi="宋体"/>
          <w:b/>
          <w:sz w:val="31"/>
          <w:szCs w:val="18"/>
        </w:rPr>
      </w:pPr>
    </w:p>
    <w:p>
      <w:pPr>
        <w:spacing w:line="600" w:lineRule="exact"/>
        <w:jc w:val="center"/>
        <w:rPr>
          <w:rFonts w:ascii="宋体" w:hAnsi="宋体"/>
          <w:b/>
          <w:sz w:val="31"/>
          <w:szCs w:val="18"/>
        </w:rPr>
      </w:pPr>
    </w:p>
    <w:p>
      <w:pPr>
        <w:snapToGrid w:val="0"/>
        <w:spacing w:line="360" w:lineRule="auto"/>
        <w:ind w:firstLine="921" w:firstLineChars="296"/>
        <w:jc w:val="left"/>
        <w:rPr>
          <w:rFonts w:ascii="宋体" w:hAnsi="宋体"/>
          <w:b/>
          <w:bCs/>
          <w:sz w:val="31"/>
          <w:szCs w:val="18"/>
          <w:u w:val="single"/>
        </w:rPr>
      </w:pPr>
      <w:r>
        <w:rPr>
          <w:rFonts w:hint="eastAsia" w:ascii="宋体" w:hAnsi="宋体"/>
          <w:b/>
          <w:sz w:val="31"/>
          <w:szCs w:val="18"/>
        </w:rPr>
        <w:t>项目编号：</w:t>
      </w:r>
      <w:r>
        <w:rPr>
          <w:rFonts w:hint="eastAsia" w:ascii="宋体" w:hAnsi="宋体"/>
          <w:b/>
          <w:sz w:val="31"/>
          <w:szCs w:val="18"/>
          <w:u w:val="single"/>
        </w:rPr>
        <w:t>SL-CG2022028</w:t>
      </w:r>
    </w:p>
    <w:p>
      <w:pPr>
        <w:snapToGrid w:val="0"/>
        <w:spacing w:line="360" w:lineRule="auto"/>
        <w:ind w:firstLine="921" w:firstLineChars="296"/>
        <w:jc w:val="left"/>
        <w:rPr>
          <w:rFonts w:ascii="宋体" w:hAnsi="宋体"/>
          <w:b/>
          <w:bCs/>
          <w:sz w:val="31"/>
          <w:szCs w:val="18"/>
          <w:u w:val="single"/>
        </w:rPr>
      </w:pPr>
      <w:r>
        <w:rPr>
          <w:rFonts w:hint="eastAsia" w:ascii="宋体" w:hAnsi="宋体"/>
          <w:b/>
          <w:sz w:val="31"/>
          <w:szCs w:val="18"/>
        </w:rPr>
        <w:t>招标</w:t>
      </w:r>
      <w:r>
        <w:rPr>
          <w:rFonts w:ascii="宋体" w:hAnsi="宋体"/>
          <w:b/>
          <w:sz w:val="31"/>
          <w:szCs w:val="18"/>
        </w:rPr>
        <w:t>单位：</w:t>
      </w:r>
      <w:r>
        <w:rPr>
          <w:rFonts w:hint="eastAsia" w:ascii="宋体" w:hAnsi="宋体"/>
          <w:b/>
          <w:bCs/>
          <w:sz w:val="31"/>
          <w:szCs w:val="18"/>
          <w:u w:val="single"/>
        </w:rPr>
        <w:t>东莞市数据互联有限公司</w:t>
      </w:r>
    </w:p>
    <w:p>
      <w:pPr>
        <w:snapToGrid w:val="0"/>
        <w:spacing w:line="360" w:lineRule="auto"/>
        <w:ind w:firstLine="934" w:firstLineChars="300"/>
        <w:rPr>
          <w:rFonts w:ascii="宋体" w:hAnsi="宋体"/>
          <w:b/>
          <w:sz w:val="31"/>
          <w:szCs w:val="18"/>
          <w:u w:val="single"/>
        </w:rPr>
      </w:pPr>
      <w:r>
        <w:rPr>
          <w:rFonts w:hint="eastAsia" w:ascii="宋体" w:hAnsi="宋体"/>
          <w:b/>
          <w:sz w:val="31"/>
          <w:szCs w:val="18"/>
        </w:rPr>
        <w:t>招标</w:t>
      </w:r>
      <w:r>
        <w:rPr>
          <w:rFonts w:ascii="宋体" w:hAnsi="宋体"/>
          <w:b/>
          <w:sz w:val="31"/>
          <w:szCs w:val="18"/>
        </w:rPr>
        <w:t>代理机构：</w:t>
      </w:r>
      <w:r>
        <w:rPr>
          <w:rFonts w:hint="eastAsia" w:ascii="宋体" w:hAnsi="宋体"/>
          <w:b/>
          <w:sz w:val="31"/>
          <w:szCs w:val="18"/>
          <w:u w:val="single"/>
        </w:rPr>
        <w:t>深圳市国信招标有限公司</w:t>
      </w:r>
    </w:p>
    <w:p>
      <w:pPr>
        <w:snapToGrid w:val="0"/>
        <w:spacing w:line="360" w:lineRule="auto"/>
        <w:ind w:firstLine="934" w:firstLineChars="300"/>
        <w:rPr>
          <w:rFonts w:ascii="宋体" w:hAnsi="宋体"/>
          <w:b/>
          <w:bCs/>
          <w:sz w:val="31"/>
          <w:szCs w:val="18"/>
          <w:u w:val="single"/>
        </w:rPr>
      </w:pPr>
      <w:r>
        <w:rPr>
          <w:rFonts w:hint="eastAsia" w:ascii="宋体" w:hAnsi="宋体"/>
          <w:b/>
          <w:bCs/>
          <w:sz w:val="31"/>
          <w:szCs w:val="18"/>
        </w:rPr>
        <w:t>监督单位：</w:t>
      </w:r>
      <w:r>
        <w:rPr>
          <w:rFonts w:hint="eastAsia" w:ascii="宋体" w:hAnsi="宋体"/>
          <w:b/>
          <w:bCs/>
          <w:sz w:val="31"/>
          <w:szCs w:val="18"/>
          <w:u w:val="single"/>
        </w:rPr>
        <w:t>东莞市</w:t>
      </w:r>
      <w:r>
        <w:rPr>
          <w:rFonts w:ascii="宋体" w:hAnsi="宋体"/>
          <w:b/>
          <w:bCs/>
          <w:sz w:val="31"/>
          <w:szCs w:val="18"/>
          <w:u w:val="single"/>
        </w:rPr>
        <w:t>交通投资集团有限公司</w:t>
      </w:r>
    </w:p>
    <w:p>
      <w:pPr>
        <w:widowControl/>
        <w:jc w:val="center"/>
        <w:rPr>
          <w:rFonts w:ascii="Times New Roman" w:hAnsi="Times New Roman"/>
          <w:b/>
          <w:bCs/>
          <w:spacing w:val="26"/>
          <w:sz w:val="31"/>
        </w:rPr>
      </w:pPr>
    </w:p>
    <w:p>
      <w:pPr>
        <w:widowControl/>
        <w:jc w:val="center"/>
        <w:rPr>
          <w:rFonts w:ascii="Times New Roman" w:hAnsi="Times New Roman"/>
          <w:b/>
          <w:bCs/>
          <w:spacing w:val="26"/>
          <w:kern w:val="0"/>
          <w:sz w:val="31"/>
          <w:szCs w:val="28"/>
        </w:rPr>
      </w:pPr>
      <w:r>
        <w:rPr>
          <w:rFonts w:hint="eastAsia" w:ascii="Times New Roman" w:hAnsi="Times New Roman"/>
          <w:b/>
          <w:bCs/>
          <w:spacing w:val="26"/>
          <w:sz w:val="31"/>
        </w:rPr>
        <w:t>2022</w:t>
      </w:r>
      <w:r>
        <w:rPr>
          <w:rFonts w:ascii="Times New Roman" w:hAnsi="Times New Roman"/>
          <w:b/>
          <w:bCs/>
          <w:spacing w:val="26"/>
          <w:sz w:val="31"/>
        </w:rPr>
        <w:t>年</w:t>
      </w:r>
      <w:r>
        <w:rPr>
          <w:rFonts w:hint="eastAsia" w:ascii="Times New Roman" w:hAnsi="Times New Roman"/>
          <w:b/>
          <w:bCs/>
          <w:spacing w:val="26"/>
          <w:sz w:val="31"/>
        </w:rPr>
        <w:t>8</w:t>
      </w:r>
      <w:r>
        <w:rPr>
          <w:rFonts w:ascii="Times New Roman" w:hAnsi="Times New Roman"/>
          <w:b/>
          <w:bCs/>
          <w:spacing w:val="26"/>
          <w:sz w:val="31"/>
        </w:rPr>
        <w:t>月</w:t>
      </w:r>
      <w:r>
        <w:rPr>
          <w:rFonts w:ascii="Times New Roman" w:hAnsi="Times New Roman"/>
          <w:spacing w:val="26"/>
          <w:sz w:val="31"/>
        </w:rPr>
        <w:br w:type="page"/>
      </w:r>
    </w:p>
    <w:p>
      <w:pPr>
        <w:pStyle w:val="67"/>
        <w:jc w:val="center"/>
        <w:rPr>
          <w:color w:val="auto"/>
        </w:rPr>
      </w:pPr>
      <w:r>
        <w:rPr>
          <w:color w:val="auto"/>
          <w:lang w:val="zh-CN"/>
        </w:rPr>
        <w:t>目录</w:t>
      </w:r>
    </w:p>
    <w:p>
      <w:pPr>
        <w:pStyle w:val="21"/>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TOC \o "1-3" \h \z \u </w:instrText>
      </w:r>
      <w:r>
        <w:rPr>
          <w:rFonts w:hint="eastAsia" w:ascii="宋体" w:hAnsi="宋体" w:eastAsia="宋体" w:cs="宋体"/>
          <w:sz w:val="22"/>
          <w:szCs w:val="22"/>
        </w:rPr>
        <w:fldChar w:fldCharType="separate"/>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"_Toc27224" </w:instrText>
      </w:r>
      <w:r>
        <w:rPr>
          <w:rFonts w:hint="eastAsia" w:ascii="宋体" w:hAnsi="宋体" w:eastAsia="宋体" w:cs="宋体"/>
          <w:sz w:val="22"/>
          <w:szCs w:val="22"/>
        </w:rPr>
        <w:fldChar w:fldCharType="separate"/>
      </w:r>
      <w:r>
        <w:rPr>
          <w:rFonts w:hint="eastAsia" w:ascii="宋体" w:hAnsi="宋体" w:eastAsia="宋体" w:cs="宋体"/>
          <w:sz w:val="22"/>
          <w:szCs w:val="22"/>
        </w:rPr>
        <w:t>第一章 投标邀请</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_Toc27224 \h </w:instrText>
      </w:r>
      <w:r>
        <w:rPr>
          <w:rFonts w:hint="eastAsia" w:ascii="宋体" w:hAnsi="宋体" w:eastAsia="宋体" w:cs="宋体"/>
          <w:sz w:val="22"/>
          <w:szCs w:val="22"/>
        </w:rPr>
        <w:fldChar w:fldCharType="separate"/>
      </w:r>
      <w:r>
        <w:rPr>
          <w:rFonts w:hint="eastAsia" w:ascii="宋体" w:hAnsi="宋体" w:eastAsia="宋体" w:cs="宋体"/>
          <w:sz w:val="22"/>
          <w:szCs w:val="22"/>
        </w:rPr>
        <w:t>7</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25"/>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"_Toc14216" </w:instrText>
      </w:r>
      <w:r>
        <w:rPr>
          <w:rFonts w:hint="eastAsia" w:ascii="宋体" w:hAnsi="宋体" w:eastAsia="宋体" w:cs="宋体"/>
          <w:sz w:val="22"/>
          <w:szCs w:val="22"/>
        </w:rPr>
        <w:fldChar w:fldCharType="separate"/>
      </w:r>
      <w:r>
        <w:rPr>
          <w:rFonts w:hint="eastAsia" w:ascii="宋体" w:hAnsi="宋体" w:eastAsia="宋体" w:cs="宋体"/>
          <w:bCs/>
          <w:sz w:val="22"/>
          <w:szCs w:val="22"/>
        </w:rPr>
        <w:t>一、 投标邀请函</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_Toc14216 \h </w:instrText>
      </w:r>
      <w:r>
        <w:rPr>
          <w:rFonts w:hint="eastAsia" w:ascii="宋体" w:hAnsi="宋体" w:eastAsia="宋体" w:cs="宋体"/>
          <w:sz w:val="22"/>
          <w:szCs w:val="22"/>
        </w:rPr>
        <w:fldChar w:fldCharType="separate"/>
      </w:r>
      <w:r>
        <w:rPr>
          <w:rFonts w:hint="eastAsia" w:ascii="宋体" w:hAnsi="宋体" w:eastAsia="宋体" w:cs="宋体"/>
          <w:sz w:val="22"/>
          <w:szCs w:val="22"/>
        </w:rPr>
        <w:t>8</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21"/>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"_Toc17557" </w:instrText>
      </w:r>
      <w:r>
        <w:rPr>
          <w:rFonts w:hint="eastAsia" w:ascii="宋体" w:hAnsi="宋体" w:eastAsia="宋体" w:cs="宋体"/>
          <w:sz w:val="22"/>
          <w:szCs w:val="22"/>
        </w:rPr>
        <w:fldChar w:fldCharType="separate"/>
      </w:r>
      <w:r>
        <w:rPr>
          <w:rFonts w:hint="eastAsia" w:ascii="宋体" w:hAnsi="宋体" w:eastAsia="宋体" w:cs="宋体"/>
          <w:sz w:val="22"/>
          <w:szCs w:val="22"/>
        </w:rPr>
        <w:t>第二章 投标人须知</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_Toc17557 \h </w:instrText>
      </w:r>
      <w:r>
        <w:rPr>
          <w:rFonts w:hint="eastAsia" w:ascii="宋体" w:hAnsi="宋体" w:eastAsia="宋体" w:cs="宋体"/>
          <w:sz w:val="22"/>
          <w:szCs w:val="22"/>
        </w:rPr>
        <w:fldChar w:fldCharType="separate"/>
      </w:r>
      <w:r>
        <w:rPr>
          <w:rFonts w:hint="eastAsia" w:ascii="宋体" w:hAnsi="宋体" w:eastAsia="宋体" w:cs="宋体"/>
          <w:sz w:val="22"/>
          <w:szCs w:val="22"/>
        </w:rPr>
        <w:t>10</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25"/>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"_Toc10883" </w:instrText>
      </w:r>
      <w:r>
        <w:rPr>
          <w:rFonts w:hint="eastAsia" w:ascii="宋体" w:hAnsi="宋体" w:eastAsia="宋体" w:cs="宋体"/>
          <w:sz w:val="22"/>
          <w:szCs w:val="22"/>
        </w:rPr>
        <w:fldChar w:fldCharType="separate"/>
      </w:r>
      <w:r>
        <w:rPr>
          <w:rFonts w:hint="eastAsia" w:ascii="宋体" w:hAnsi="宋体" w:eastAsia="宋体" w:cs="宋体"/>
          <w:bCs/>
          <w:kern w:val="44"/>
          <w:sz w:val="22"/>
          <w:szCs w:val="22"/>
          <w:lang w:val="zh-CN"/>
        </w:rPr>
        <w:t>一、投标人须知前附表</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_Toc10883 \h </w:instrText>
      </w:r>
      <w:r>
        <w:rPr>
          <w:rFonts w:hint="eastAsia" w:ascii="宋体" w:hAnsi="宋体" w:eastAsia="宋体" w:cs="宋体"/>
          <w:sz w:val="22"/>
          <w:szCs w:val="22"/>
        </w:rPr>
        <w:fldChar w:fldCharType="separate"/>
      </w:r>
      <w:r>
        <w:rPr>
          <w:rFonts w:hint="eastAsia" w:ascii="宋体" w:hAnsi="宋体" w:eastAsia="宋体" w:cs="宋体"/>
          <w:sz w:val="22"/>
          <w:szCs w:val="22"/>
        </w:rPr>
        <w:t>11</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25"/>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"_Toc20647" </w:instrText>
      </w:r>
      <w:r>
        <w:rPr>
          <w:rFonts w:hint="eastAsia" w:ascii="宋体" w:hAnsi="宋体" w:eastAsia="宋体" w:cs="宋体"/>
          <w:sz w:val="22"/>
          <w:szCs w:val="22"/>
        </w:rPr>
        <w:fldChar w:fldCharType="separate"/>
      </w:r>
      <w:r>
        <w:rPr>
          <w:rFonts w:hint="eastAsia" w:ascii="宋体" w:hAnsi="宋体" w:eastAsia="宋体" w:cs="宋体"/>
          <w:bCs/>
          <w:kern w:val="44"/>
          <w:sz w:val="22"/>
          <w:szCs w:val="22"/>
          <w:lang w:val="zh-CN"/>
        </w:rPr>
        <w:t>二、投标人须知</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_Toc20647 \h </w:instrText>
      </w:r>
      <w:r>
        <w:rPr>
          <w:rFonts w:hint="eastAsia" w:ascii="宋体" w:hAnsi="宋体" w:eastAsia="宋体" w:cs="宋体"/>
          <w:sz w:val="22"/>
          <w:szCs w:val="22"/>
        </w:rPr>
        <w:fldChar w:fldCharType="separate"/>
      </w:r>
      <w:r>
        <w:rPr>
          <w:rFonts w:hint="eastAsia" w:ascii="宋体" w:hAnsi="宋体" w:eastAsia="宋体" w:cs="宋体"/>
          <w:sz w:val="22"/>
          <w:szCs w:val="22"/>
        </w:rPr>
        <w:t>13</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25"/>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"_Toc6370" </w:instrText>
      </w:r>
      <w:r>
        <w:rPr>
          <w:rFonts w:hint="eastAsia" w:ascii="宋体" w:hAnsi="宋体" w:eastAsia="宋体" w:cs="宋体"/>
          <w:sz w:val="22"/>
          <w:szCs w:val="22"/>
        </w:rPr>
        <w:fldChar w:fldCharType="separate"/>
      </w:r>
      <w:r>
        <w:rPr>
          <w:rFonts w:hint="eastAsia" w:ascii="宋体" w:hAnsi="宋体" w:eastAsia="宋体" w:cs="宋体"/>
          <w:sz w:val="22"/>
          <w:szCs w:val="22"/>
          <w:lang w:val="zh-CN"/>
        </w:rPr>
        <w:t>（一）总则</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_Toc6370 \h </w:instrText>
      </w:r>
      <w:r>
        <w:rPr>
          <w:rFonts w:hint="eastAsia" w:ascii="宋体" w:hAnsi="宋体" w:eastAsia="宋体" w:cs="宋体"/>
          <w:sz w:val="22"/>
          <w:szCs w:val="22"/>
        </w:rPr>
        <w:fldChar w:fldCharType="separate"/>
      </w:r>
      <w:r>
        <w:rPr>
          <w:rFonts w:hint="eastAsia" w:ascii="宋体" w:hAnsi="宋体" w:eastAsia="宋体" w:cs="宋体"/>
          <w:sz w:val="22"/>
          <w:szCs w:val="22"/>
        </w:rPr>
        <w:t>13</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"_Toc2285" </w:instrText>
      </w:r>
      <w:r>
        <w:rPr>
          <w:rFonts w:hint="eastAsia" w:ascii="宋体" w:hAnsi="宋体" w:eastAsia="宋体" w:cs="宋体"/>
          <w:sz w:val="22"/>
          <w:szCs w:val="22"/>
        </w:rPr>
        <w:fldChar w:fldCharType="separate"/>
      </w:r>
      <w:r>
        <w:rPr>
          <w:rFonts w:hint="eastAsia" w:ascii="宋体" w:hAnsi="宋体" w:eastAsia="宋体" w:cs="宋体"/>
          <w:bCs/>
          <w:sz w:val="22"/>
          <w:szCs w:val="22"/>
        </w:rPr>
        <w:t>1. 招标范围及资金来源</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_Toc2285 \h </w:instrText>
      </w:r>
      <w:r>
        <w:rPr>
          <w:rFonts w:hint="eastAsia" w:ascii="宋体" w:hAnsi="宋体" w:eastAsia="宋体" w:cs="宋体"/>
          <w:sz w:val="22"/>
          <w:szCs w:val="22"/>
        </w:rPr>
        <w:fldChar w:fldCharType="separate"/>
      </w:r>
      <w:r>
        <w:rPr>
          <w:rFonts w:hint="eastAsia" w:ascii="宋体" w:hAnsi="宋体" w:eastAsia="宋体" w:cs="宋体"/>
          <w:sz w:val="22"/>
          <w:szCs w:val="22"/>
        </w:rPr>
        <w:t>13</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"_Toc13446" </w:instrText>
      </w:r>
      <w:r>
        <w:rPr>
          <w:rFonts w:hint="eastAsia" w:ascii="宋体" w:hAnsi="宋体" w:eastAsia="宋体" w:cs="宋体"/>
          <w:sz w:val="22"/>
          <w:szCs w:val="22"/>
        </w:rPr>
        <w:fldChar w:fldCharType="separate"/>
      </w:r>
      <w:r>
        <w:rPr>
          <w:rFonts w:hint="eastAsia" w:ascii="宋体" w:hAnsi="宋体" w:eastAsia="宋体" w:cs="宋体"/>
          <w:bCs/>
          <w:sz w:val="22"/>
          <w:szCs w:val="22"/>
        </w:rPr>
        <w:t>2. 定义</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_Toc13446 \h </w:instrText>
      </w:r>
      <w:r>
        <w:rPr>
          <w:rFonts w:hint="eastAsia" w:ascii="宋体" w:hAnsi="宋体" w:eastAsia="宋体" w:cs="宋体"/>
          <w:sz w:val="22"/>
          <w:szCs w:val="22"/>
        </w:rPr>
        <w:fldChar w:fldCharType="separate"/>
      </w:r>
      <w:r>
        <w:rPr>
          <w:rFonts w:hint="eastAsia" w:ascii="宋体" w:hAnsi="宋体" w:eastAsia="宋体" w:cs="宋体"/>
          <w:sz w:val="22"/>
          <w:szCs w:val="22"/>
        </w:rPr>
        <w:t>13</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"_Toc31935" </w:instrText>
      </w:r>
      <w:r>
        <w:rPr>
          <w:rFonts w:hint="eastAsia" w:ascii="宋体" w:hAnsi="宋体" w:eastAsia="宋体" w:cs="宋体"/>
          <w:sz w:val="22"/>
          <w:szCs w:val="22"/>
        </w:rPr>
        <w:fldChar w:fldCharType="separate"/>
      </w:r>
      <w:r>
        <w:rPr>
          <w:rFonts w:hint="eastAsia" w:ascii="宋体" w:hAnsi="宋体" w:eastAsia="宋体" w:cs="宋体"/>
          <w:bCs/>
          <w:sz w:val="22"/>
          <w:szCs w:val="22"/>
        </w:rPr>
        <w:t>3. 合格的投标人</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_Toc31935 \h </w:instrText>
      </w:r>
      <w:r>
        <w:rPr>
          <w:rFonts w:hint="eastAsia" w:ascii="宋体" w:hAnsi="宋体" w:eastAsia="宋体" w:cs="宋体"/>
          <w:sz w:val="22"/>
          <w:szCs w:val="22"/>
        </w:rPr>
        <w:fldChar w:fldCharType="separate"/>
      </w:r>
      <w:r>
        <w:rPr>
          <w:rFonts w:hint="eastAsia" w:ascii="宋体" w:hAnsi="宋体" w:eastAsia="宋体" w:cs="宋体"/>
          <w:sz w:val="22"/>
          <w:szCs w:val="22"/>
        </w:rPr>
        <w:t>14</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"_Toc18554" </w:instrText>
      </w:r>
      <w:r>
        <w:rPr>
          <w:rFonts w:hint="eastAsia" w:ascii="宋体" w:hAnsi="宋体" w:eastAsia="宋体" w:cs="宋体"/>
          <w:sz w:val="22"/>
          <w:szCs w:val="22"/>
        </w:rPr>
        <w:fldChar w:fldCharType="separate"/>
      </w:r>
      <w:r>
        <w:rPr>
          <w:rFonts w:hint="eastAsia" w:ascii="宋体" w:hAnsi="宋体" w:eastAsia="宋体" w:cs="宋体"/>
          <w:bCs/>
          <w:sz w:val="22"/>
          <w:szCs w:val="22"/>
        </w:rPr>
        <w:t>4. 合格的货物和服务及验收</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_Toc18554 \h </w:instrText>
      </w:r>
      <w:r>
        <w:rPr>
          <w:rFonts w:hint="eastAsia" w:ascii="宋体" w:hAnsi="宋体" w:eastAsia="宋体" w:cs="宋体"/>
          <w:sz w:val="22"/>
          <w:szCs w:val="22"/>
        </w:rPr>
        <w:fldChar w:fldCharType="separate"/>
      </w:r>
      <w:r>
        <w:rPr>
          <w:rFonts w:hint="eastAsia" w:ascii="宋体" w:hAnsi="宋体" w:eastAsia="宋体" w:cs="宋体"/>
          <w:sz w:val="22"/>
          <w:szCs w:val="22"/>
        </w:rPr>
        <w:t>15</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"_Toc10177" </w:instrText>
      </w:r>
      <w:r>
        <w:rPr>
          <w:rFonts w:hint="eastAsia" w:ascii="宋体" w:hAnsi="宋体" w:eastAsia="宋体" w:cs="宋体"/>
          <w:sz w:val="22"/>
          <w:szCs w:val="22"/>
        </w:rPr>
        <w:fldChar w:fldCharType="separate"/>
      </w:r>
      <w:r>
        <w:rPr>
          <w:rFonts w:hint="eastAsia" w:ascii="宋体" w:hAnsi="宋体" w:eastAsia="宋体" w:cs="宋体"/>
          <w:bCs/>
          <w:sz w:val="22"/>
          <w:szCs w:val="22"/>
        </w:rPr>
        <w:t>5. 投标费用</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_Toc10177 \h </w:instrText>
      </w:r>
      <w:r>
        <w:rPr>
          <w:rFonts w:hint="eastAsia" w:ascii="宋体" w:hAnsi="宋体" w:eastAsia="宋体" w:cs="宋体"/>
          <w:sz w:val="22"/>
          <w:szCs w:val="22"/>
        </w:rPr>
        <w:fldChar w:fldCharType="separate"/>
      </w:r>
      <w:r>
        <w:rPr>
          <w:rFonts w:hint="eastAsia" w:ascii="宋体" w:hAnsi="宋体" w:eastAsia="宋体" w:cs="宋体"/>
          <w:sz w:val="22"/>
          <w:szCs w:val="22"/>
        </w:rPr>
        <w:t>15</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"_Toc29558" </w:instrText>
      </w:r>
      <w:r>
        <w:rPr>
          <w:rFonts w:hint="eastAsia" w:ascii="宋体" w:hAnsi="宋体" w:eastAsia="宋体" w:cs="宋体"/>
          <w:sz w:val="22"/>
          <w:szCs w:val="22"/>
        </w:rPr>
        <w:fldChar w:fldCharType="separate"/>
      </w:r>
      <w:r>
        <w:rPr>
          <w:rFonts w:hint="eastAsia" w:ascii="宋体" w:hAnsi="宋体" w:eastAsia="宋体" w:cs="宋体"/>
          <w:bCs/>
          <w:sz w:val="22"/>
          <w:szCs w:val="22"/>
        </w:rPr>
        <w:t>6. 踏勘现场</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_Toc29558 \h </w:instrText>
      </w:r>
      <w:r>
        <w:rPr>
          <w:rFonts w:hint="eastAsia" w:ascii="宋体" w:hAnsi="宋体" w:eastAsia="宋体" w:cs="宋体"/>
          <w:sz w:val="22"/>
          <w:szCs w:val="22"/>
        </w:rPr>
        <w:fldChar w:fldCharType="separate"/>
      </w:r>
      <w:r>
        <w:rPr>
          <w:rFonts w:hint="eastAsia" w:ascii="宋体" w:hAnsi="宋体" w:eastAsia="宋体" w:cs="宋体"/>
          <w:sz w:val="22"/>
          <w:szCs w:val="22"/>
        </w:rPr>
        <w:t>16</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25"/>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"_Toc234" </w:instrText>
      </w:r>
      <w:r>
        <w:rPr>
          <w:rFonts w:hint="eastAsia" w:ascii="宋体" w:hAnsi="宋体" w:eastAsia="宋体" w:cs="宋体"/>
          <w:sz w:val="22"/>
          <w:szCs w:val="22"/>
        </w:rPr>
        <w:fldChar w:fldCharType="separate"/>
      </w:r>
      <w:r>
        <w:rPr>
          <w:rFonts w:hint="eastAsia" w:ascii="宋体" w:hAnsi="宋体" w:eastAsia="宋体" w:cs="宋体"/>
          <w:sz w:val="22"/>
          <w:szCs w:val="22"/>
          <w:lang w:val="zh-CN"/>
        </w:rPr>
        <w:t>（二）招标文件</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_Toc234 \h </w:instrText>
      </w:r>
      <w:r>
        <w:rPr>
          <w:rFonts w:hint="eastAsia" w:ascii="宋体" w:hAnsi="宋体" w:eastAsia="宋体" w:cs="宋体"/>
          <w:sz w:val="22"/>
          <w:szCs w:val="22"/>
        </w:rPr>
        <w:fldChar w:fldCharType="separate"/>
      </w:r>
      <w:r>
        <w:rPr>
          <w:rFonts w:hint="eastAsia" w:ascii="宋体" w:hAnsi="宋体" w:eastAsia="宋体" w:cs="宋体"/>
          <w:sz w:val="22"/>
          <w:szCs w:val="22"/>
        </w:rPr>
        <w:t>17</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"_Toc16195" </w:instrText>
      </w:r>
      <w:r>
        <w:rPr>
          <w:rFonts w:hint="eastAsia" w:ascii="宋体" w:hAnsi="宋体" w:eastAsia="宋体" w:cs="宋体"/>
          <w:sz w:val="22"/>
          <w:szCs w:val="22"/>
        </w:rPr>
        <w:fldChar w:fldCharType="separate"/>
      </w:r>
      <w:r>
        <w:rPr>
          <w:rFonts w:hint="eastAsia" w:ascii="宋体" w:hAnsi="宋体" w:eastAsia="宋体" w:cs="宋体"/>
          <w:bCs/>
          <w:sz w:val="22"/>
          <w:szCs w:val="22"/>
        </w:rPr>
        <w:t>7. 招标文件的组成</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_Toc16195 \h </w:instrText>
      </w:r>
      <w:r>
        <w:rPr>
          <w:rFonts w:hint="eastAsia" w:ascii="宋体" w:hAnsi="宋体" w:eastAsia="宋体" w:cs="宋体"/>
          <w:sz w:val="22"/>
          <w:szCs w:val="22"/>
        </w:rPr>
        <w:fldChar w:fldCharType="separate"/>
      </w:r>
      <w:r>
        <w:rPr>
          <w:rFonts w:hint="eastAsia" w:ascii="宋体" w:hAnsi="宋体" w:eastAsia="宋体" w:cs="宋体"/>
          <w:sz w:val="22"/>
          <w:szCs w:val="22"/>
        </w:rPr>
        <w:t>17</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"_Toc26312" </w:instrText>
      </w:r>
      <w:r>
        <w:rPr>
          <w:rFonts w:hint="eastAsia" w:ascii="宋体" w:hAnsi="宋体" w:eastAsia="宋体" w:cs="宋体"/>
          <w:sz w:val="22"/>
          <w:szCs w:val="22"/>
        </w:rPr>
        <w:fldChar w:fldCharType="separate"/>
      </w:r>
      <w:r>
        <w:rPr>
          <w:rFonts w:hint="eastAsia" w:ascii="宋体" w:hAnsi="宋体" w:eastAsia="宋体" w:cs="宋体"/>
          <w:bCs/>
          <w:sz w:val="22"/>
          <w:szCs w:val="22"/>
        </w:rPr>
        <w:t>8. 招标文件的异议</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_Toc26312 \h </w:instrText>
      </w:r>
      <w:r>
        <w:rPr>
          <w:rFonts w:hint="eastAsia" w:ascii="宋体" w:hAnsi="宋体" w:eastAsia="宋体" w:cs="宋体"/>
          <w:sz w:val="22"/>
          <w:szCs w:val="22"/>
        </w:rPr>
        <w:fldChar w:fldCharType="separate"/>
      </w:r>
      <w:r>
        <w:rPr>
          <w:rFonts w:hint="eastAsia" w:ascii="宋体" w:hAnsi="宋体" w:eastAsia="宋体" w:cs="宋体"/>
          <w:sz w:val="22"/>
          <w:szCs w:val="22"/>
        </w:rPr>
        <w:t>17</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"_Toc17535" </w:instrText>
      </w:r>
      <w:r>
        <w:rPr>
          <w:rFonts w:hint="eastAsia" w:ascii="宋体" w:hAnsi="宋体" w:eastAsia="宋体" w:cs="宋体"/>
          <w:sz w:val="22"/>
          <w:szCs w:val="22"/>
        </w:rPr>
        <w:fldChar w:fldCharType="separate"/>
      </w:r>
      <w:r>
        <w:rPr>
          <w:rFonts w:hint="eastAsia" w:ascii="宋体" w:hAnsi="宋体" w:eastAsia="宋体" w:cs="宋体"/>
          <w:bCs/>
          <w:sz w:val="22"/>
          <w:szCs w:val="22"/>
        </w:rPr>
        <w:t>9. 招标文件的澄清及修改</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_Toc17535 \h </w:instrText>
      </w:r>
      <w:r>
        <w:rPr>
          <w:rFonts w:hint="eastAsia" w:ascii="宋体" w:hAnsi="宋体" w:eastAsia="宋体" w:cs="宋体"/>
          <w:sz w:val="22"/>
          <w:szCs w:val="22"/>
        </w:rPr>
        <w:fldChar w:fldCharType="separate"/>
      </w:r>
      <w:r>
        <w:rPr>
          <w:rFonts w:hint="eastAsia" w:ascii="宋体" w:hAnsi="宋体" w:eastAsia="宋体" w:cs="宋体"/>
          <w:sz w:val="22"/>
          <w:szCs w:val="22"/>
        </w:rPr>
        <w:t>17</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25"/>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"_Toc31418" </w:instrText>
      </w:r>
      <w:r>
        <w:rPr>
          <w:rFonts w:hint="eastAsia" w:ascii="宋体" w:hAnsi="宋体" w:eastAsia="宋体" w:cs="宋体"/>
          <w:sz w:val="22"/>
          <w:szCs w:val="22"/>
        </w:rPr>
        <w:fldChar w:fldCharType="separate"/>
      </w:r>
      <w:r>
        <w:rPr>
          <w:rFonts w:hint="eastAsia" w:ascii="宋体" w:hAnsi="宋体" w:eastAsia="宋体" w:cs="宋体"/>
          <w:sz w:val="22"/>
          <w:szCs w:val="22"/>
          <w:lang w:val="zh-CN"/>
        </w:rPr>
        <w:t>（三）投标文件编制</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_Toc31418 \h </w:instrText>
      </w:r>
      <w:r>
        <w:rPr>
          <w:rFonts w:hint="eastAsia" w:ascii="宋体" w:hAnsi="宋体" w:eastAsia="宋体" w:cs="宋体"/>
          <w:sz w:val="22"/>
          <w:szCs w:val="22"/>
        </w:rPr>
        <w:fldChar w:fldCharType="separate"/>
      </w:r>
      <w:r>
        <w:rPr>
          <w:rFonts w:hint="eastAsia" w:ascii="宋体" w:hAnsi="宋体" w:eastAsia="宋体" w:cs="宋体"/>
          <w:sz w:val="22"/>
          <w:szCs w:val="22"/>
        </w:rPr>
        <w:t>18</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"_Toc17750" </w:instrText>
      </w:r>
      <w:r>
        <w:rPr>
          <w:rFonts w:hint="eastAsia" w:ascii="宋体" w:hAnsi="宋体" w:eastAsia="宋体" w:cs="宋体"/>
          <w:sz w:val="22"/>
          <w:szCs w:val="22"/>
        </w:rPr>
        <w:fldChar w:fldCharType="separate"/>
      </w:r>
      <w:r>
        <w:rPr>
          <w:rFonts w:hint="eastAsia" w:ascii="宋体" w:hAnsi="宋体" w:eastAsia="宋体" w:cs="宋体"/>
          <w:bCs/>
          <w:sz w:val="22"/>
          <w:szCs w:val="22"/>
        </w:rPr>
        <w:t>10. 投标文件的语言及度量衡单位</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_Toc17750 \h </w:instrText>
      </w:r>
      <w:r>
        <w:rPr>
          <w:rFonts w:hint="eastAsia" w:ascii="宋体" w:hAnsi="宋体" w:eastAsia="宋体" w:cs="宋体"/>
          <w:sz w:val="22"/>
          <w:szCs w:val="22"/>
        </w:rPr>
        <w:fldChar w:fldCharType="separate"/>
      </w:r>
      <w:r>
        <w:rPr>
          <w:rFonts w:hint="eastAsia" w:ascii="宋体" w:hAnsi="宋体" w:eastAsia="宋体" w:cs="宋体"/>
          <w:sz w:val="22"/>
          <w:szCs w:val="22"/>
        </w:rPr>
        <w:t>18</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"_Toc19267" </w:instrText>
      </w:r>
      <w:r>
        <w:rPr>
          <w:rFonts w:hint="eastAsia" w:ascii="宋体" w:hAnsi="宋体" w:eastAsia="宋体" w:cs="宋体"/>
          <w:sz w:val="22"/>
          <w:szCs w:val="22"/>
        </w:rPr>
        <w:fldChar w:fldCharType="separate"/>
      </w:r>
      <w:r>
        <w:rPr>
          <w:rFonts w:hint="eastAsia" w:ascii="宋体" w:hAnsi="宋体" w:eastAsia="宋体" w:cs="宋体"/>
          <w:bCs/>
          <w:sz w:val="22"/>
          <w:szCs w:val="22"/>
        </w:rPr>
        <w:t>11. 投标文件构成</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_Toc19267 \h </w:instrText>
      </w:r>
      <w:r>
        <w:rPr>
          <w:rFonts w:hint="eastAsia" w:ascii="宋体" w:hAnsi="宋体" w:eastAsia="宋体" w:cs="宋体"/>
          <w:sz w:val="22"/>
          <w:szCs w:val="22"/>
        </w:rPr>
        <w:fldChar w:fldCharType="separate"/>
      </w:r>
      <w:r>
        <w:rPr>
          <w:rFonts w:hint="eastAsia" w:ascii="宋体" w:hAnsi="宋体" w:eastAsia="宋体" w:cs="宋体"/>
          <w:sz w:val="22"/>
          <w:szCs w:val="22"/>
        </w:rPr>
        <w:t>18</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"_Toc16170" </w:instrText>
      </w:r>
      <w:r>
        <w:rPr>
          <w:rFonts w:hint="eastAsia" w:ascii="宋体" w:hAnsi="宋体" w:eastAsia="宋体" w:cs="宋体"/>
          <w:sz w:val="22"/>
          <w:szCs w:val="22"/>
        </w:rPr>
        <w:fldChar w:fldCharType="separate"/>
      </w:r>
      <w:r>
        <w:rPr>
          <w:rFonts w:hint="eastAsia" w:ascii="宋体" w:hAnsi="宋体" w:eastAsia="宋体" w:cs="宋体"/>
          <w:bCs/>
          <w:sz w:val="22"/>
          <w:szCs w:val="22"/>
        </w:rPr>
        <w:t>12. 投标文件格式</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_Toc16170 \h </w:instrText>
      </w:r>
      <w:r>
        <w:rPr>
          <w:rFonts w:hint="eastAsia" w:ascii="宋体" w:hAnsi="宋体" w:eastAsia="宋体" w:cs="宋体"/>
          <w:sz w:val="22"/>
          <w:szCs w:val="22"/>
        </w:rPr>
        <w:fldChar w:fldCharType="separate"/>
      </w:r>
      <w:r>
        <w:rPr>
          <w:rFonts w:hint="eastAsia" w:ascii="宋体" w:hAnsi="宋体" w:eastAsia="宋体" w:cs="宋体"/>
          <w:sz w:val="22"/>
          <w:szCs w:val="22"/>
        </w:rPr>
        <w:t>20</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"_Toc28061" </w:instrText>
      </w:r>
      <w:r>
        <w:rPr>
          <w:rFonts w:hint="eastAsia" w:ascii="宋体" w:hAnsi="宋体" w:eastAsia="宋体" w:cs="宋体"/>
          <w:sz w:val="22"/>
          <w:szCs w:val="22"/>
        </w:rPr>
        <w:fldChar w:fldCharType="separate"/>
      </w:r>
      <w:r>
        <w:rPr>
          <w:rFonts w:hint="eastAsia" w:ascii="宋体" w:hAnsi="宋体" w:eastAsia="宋体" w:cs="宋体"/>
          <w:bCs/>
          <w:sz w:val="22"/>
          <w:szCs w:val="22"/>
        </w:rPr>
        <w:t>13. 投标文件的份数和签署</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_Toc28061 \h </w:instrText>
      </w:r>
      <w:r>
        <w:rPr>
          <w:rFonts w:hint="eastAsia" w:ascii="宋体" w:hAnsi="宋体" w:eastAsia="宋体" w:cs="宋体"/>
          <w:sz w:val="22"/>
          <w:szCs w:val="22"/>
        </w:rPr>
        <w:fldChar w:fldCharType="separate"/>
      </w:r>
      <w:r>
        <w:rPr>
          <w:rFonts w:hint="eastAsia" w:ascii="宋体" w:hAnsi="宋体" w:eastAsia="宋体" w:cs="宋体"/>
          <w:sz w:val="22"/>
          <w:szCs w:val="22"/>
        </w:rPr>
        <w:t>20</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"_Toc12858" </w:instrText>
      </w:r>
      <w:r>
        <w:rPr>
          <w:rFonts w:hint="eastAsia" w:ascii="宋体" w:hAnsi="宋体" w:eastAsia="宋体" w:cs="宋体"/>
          <w:sz w:val="22"/>
          <w:szCs w:val="22"/>
        </w:rPr>
        <w:fldChar w:fldCharType="separate"/>
      </w:r>
      <w:r>
        <w:rPr>
          <w:rFonts w:hint="eastAsia" w:ascii="宋体" w:hAnsi="宋体" w:eastAsia="宋体" w:cs="宋体"/>
          <w:bCs/>
          <w:sz w:val="22"/>
          <w:szCs w:val="22"/>
        </w:rPr>
        <w:t>14. 投标报价和货币</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_Toc12858 \h </w:instrText>
      </w:r>
      <w:r>
        <w:rPr>
          <w:rFonts w:hint="eastAsia" w:ascii="宋体" w:hAnsi="宋体" w:eastAsia="宋体" w:cs="宋体"/>
          <w:sz w:val="22"/>
          <w:szCs w:val="22"/>
        </w:rPr>
        <w:fldChar w:fldCharType="separate"/>
      </w:r>
      <w:r>
        <w:rPr>
          <w:rFonts w:hint="eastAsia" w:ascii="宋体" w:hAnsi="宋体" w:eastAsia="宋体" w:cs="宋体"/>
          <w:sz w:val="22"/>
          <w:szCs w:val="22"/>
        </w:rPr>
        <w:t>20</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"_Toc26931" </w:instrText>
      </w:r>
      <w:r>
        <w:rPr>
          <w:rFonts w:hint="eastAsia" w:ascii="宋体" w:hAnsi="宋体" w:eastAsia="宋体" w:cs="宋体"/>
          <w:sz w:val="22"/>
          <w:szCs w:val="22"/>
        </w:rPr>
        <w:fldChar w:fldCharType="separate"/>
      </w:r>
      <w:r>
        <w:rPr>
          <w:rFonts w:hint="eastAsia" w:ascii="宋体" w:hAnsi="宋体" w:eastAsia="宋体" w:cs="宋体"/>
          <w:sz w:val="22"/>
          <w:szCs w:val="22"/>
        </w:rPr>
        <w:t xml:space="preserve">15. </w:t>
      </w:r>
      <w:r>
        <w:rPr>
          <w:rFonts w:hint="eastAsia" w:ascii="宋体" w:hAnsi="宋体" w:eastAsia="宋体" w:cs="宋体"/>
          <w:bCs/>
          <w:sz w:val="22"/>
          <w:szCs w:val="22"/>
        </w:rPr>
        <w:t>证明货物和服务的合格性和符合招标文件规定的文件</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_Toc26931 \h </w:instrText>
      </w:r>
      <w:r>
        <w:rPr>
          <w:rFonts w:hint="eastAsia" w:ascii="宋体" w:hAnsi="宋体" w:eastAsia="宋体" w:cs="宋体"/>
          <w:sz w:val="22"/>
          <w:szCs w:val="22"/>
        </w:rPr>
        <w:fldChar w:fldCharType="separate"/>
      </w:r>
      <w:r>
        <w:rPr>
          <w:rFonts w:hint="eastAsia" w:ascii="宋体" w:hAnsi="宋体" w:eastAsia="宋体" w:cs="宋体"/>
          <w:sz w:val="22"/>
          <w:szCs w:val="22"/>
        </w:rPr>
        <w:t>21</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"_Toc6090" </w:instrText>
      </w:r>
      <w:r>
        <w:rPr>
          <w:rFonts w:hint="eastAsia" w:ascii="宋体" w:hAnsi="宋体" w:eastAsia="宋体" w:cs="宋体"/>
          <w:sz w:val="22"/>
          <w:szCs w:val="22"/>
        </w:rPr>
        <w:fldChar w:fldCharType="separate"/>
      </w:r>
      <w:r>
        <w:rPr>
          <w:rFonts w:hint="eastAsia" w:ascii="宋体" w:hAnsi="宋体" w:eastAsia="宋体" w:cs="宋体"/>
          <w:bCs/>
          <w:sz w:val="22"/>
          <w:szCs w:val="22"/>
        </w:rPr>
        <w:t>16. 投标保证金</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_Toc6090 \h </w:instrText>
      </w:r>
      <w:r>
        <w:rPr>
          <w:rFonts w:hint="eastAsia" w:ascii="宋体" w:hAnsi="宋体" w:eastAsia="宋体" w:cs="宋体"/>
          <w:sz w:val="22"/>
          <w:szCs w:val="22"/>
        </w:rPr>
        <w:fldChar w:fldCharType="separate"/>
      </w:r>
      <w:r>
        <w:rPr>
          <w:rFonts w:hint="eastAsia" w:ascii="宋体" w:hAnsi="宋体" w:eastAsia="宋体" w:cs="宋体"/>
          <w:sz w:val="22"/>
          <w:szCs w:val="22"/>
        </w:rPr>
        <w:t>21</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"_Toc11185" </w:instrText>
      </w:r>
      <w:r>
        <w:rPr>
          <w:rFonts w:hint="eastAsia" w:ascii="宋体" w:hAnsi="宋体" w:eastAsia="宋体" w:cs="宋体"/>
          <w:sz w:val="22"/>
          <w:szCs w:val="22"/>
        </w:rPr>
        <w:fldChar w:fldCharType="separate"/>
      </w:r>
      <w:r>
        <w:rPr>
          <w:rFonts w:hint="eastAsia" w:ascii="宋体" w:hAnsi="宋体" w:eastAsia="宋体" w:cs="宋体"/>
          <w:bCs/>
          <w:sz w:val="22"/>
          <w:szCs w:val="22"/>
        </w:rPr>
        <w:t>17. 投标有效期</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_Toc11185 \h </w:instrText>
      </w:r>
      <w:r>
        <w:rPr>
          <w:rFonts w:hint="eastAsia" w:ascii="宋体" w:hAnsi="宋体" w:eastAsia="宋体" w:cs="宋体"/>
          <w:sz w:val="22"/>
          <w:szCs w:val="22"/>
        </w:rPr>
        <w:fldChar w:fldCharType="separate"/>
      </w:r>
      <w:r>
        <w:rPr>
          <w:rFonts w:hint="eastAsia" w:ascii="宋体" w:hAnsi="宋体" w:eastAsia="宋体" w:cs="宋体"/>
          <w:sz w:val="22"/>
          <w:szCs w:val="22"/>
        </w:rPr>
        <w:t>22</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25"/>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"_Toc611" </w:instrText>
      </w:r>
      <w:r>
        <w:rPr>
          <w:rFonts w:hint="eastAsia" w:ascii="宋体" w:hAnsi="宋体" w:eastAsia="宋体" w:cs="宋体"/>
          <w:sz w:val="22"/>
          <w:szCs w:val="22"/>
        </w:rPr>
        <w:fldChar w:fldCharType="separate"/>
      </w:r>
      <w:r>
        <w:rPr>
          <w:rFonts w:hint="eastAsia" w:ascii="宋体" w:hAnsi="宋体" w:eastAsia="宋体" w:cs="宋体"/>
          <w:sz w:val="22"/>
          <w:szCs w:val="22"/>
          <w:lang w:val="zh-CN"/>
        </w:rPr>
        <w:t>（四）投标文件的递交</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_Toc611 \h </w:instrText>
      </w:r>
      <w:r>
        <w:rPr>
          <w:rFonts w:hint="eastAsia" w:ascii="宋体" w:hAnsi="宋体" w:eastAsia="宋体" w:cs="宋体"/>
          <w:sz w:val="22"/>
          <w:szCs w:val="22"/>
        </w:rPr>
        <w:fldChar w:fldCharType="separate"/>
      </w:r>
      <w:r>
        <w:rPr>
          <w:rFonts w:hint="eastAsia" w:ascii="宋体" w:hAnsi="宋体" w:eastAsia="宋体" w:cs="宋体"/>
          <w:sz w:val="22"/>
          <w:szCs w:val="22"/>
        </w:rPr>
        <w:t>22</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"_Toc13001" </w:instrText>
      </w:r>
      <w:r>
        <w:rPr>
          <w:rFonts w:hint="eastAsia" w:ascii="宋体" w:hAnsi="宋体" w:eastAsia="宋体" w:cs="宋体"/>
          <w:sz w:val="22"/>
          <w:szCs w:val="22"/>
        </w:rPr>
        <w:fldChar w:fldCharType="separate"/>
      </w:r>
      <w:r>
        <w:rPr>
          <w:rFonts w:hint="eastAsia" w:ascii="宋体" w:hAnsi="宋体" w:eastAsia="宋体" w:cs="宋体"/>
          <w:bCs/>
          <w:sz w:val="22"/>
          <w:szCs w:val="22"/>
        </w:rPr>
        <w:t>18. 投标文件的装订、密封和标记</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_Toc13001 \h </w:instrText>
      </w:r>
      <w:r>
        <w:rPr>
          <w:rFonts w:hint="eastAsia" w:ascii="宋体" w:hAnsi="宋体" w:eastAsia="宋体" w:cs="宋体"/>
          <w:sz w:val="22"/>
          <w:szCs w:val="22"/>
        </w:rPr>
        <w:fldChar w:fldCharType="separate"/>
      </w:r>
      <w:r>
        <w:rPr>
          <w:rFonts w:hint="eastAsia" w:ascii="宋体" w:hAnsi="宋体" w:eastAsia="宋体" w:cs="宋体"/>
          <w:sz w:val="22"/>
          <w:szCs w:val="22"/>
        </w:rPr>
        <w:t>22</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"_Toc280" </w:instrText>
      </w:r>
      <w:r>
        <w:rPr>
          <w:rFonts w:hint="eastAsia" w:ascii="宋体" w:hAnsi="宋体" w:eastAsia="宋体" w:cs="宋体"/>
          <w:sz w:val="22"/>
          <w:szCs w:val="22"/>
        </w:rPr>
        <w:fldChar w:fldCharType="separate"/>
      </w:r>
      <w:r>
        <w:rPr>
          <w:rFonts w:hint="eastAsia" w:ascii="宋体" w:hAnsi="宋体" w:eastAsia="宋体" w:cs="宋体"/>
          <w:bCs/>
          <w:sz w:val="22"/>
          <w:szCs w:val="22"/>
        </w:rPr>
        <w:t>19. 投标截止时间</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_Toc280 \h </w:instrText>
      </w:r>
      <w:r>
        <w:rPr>
          <w:rFonts w:hint="eastAsia" w:ascii="宋体" w:hAnsi="宋体" w:eastAsia="宋体" w:cs="宋体"/>
          <w:sz w:val="22"/>
          <w:szCs w:val="22"/>
        </w:rPr>
        <w:fldChar w:fldCharType="separate"/>
      </w:r>
      <w:r>
        <w:rPr>
          <w:rFonts w:hint="eastAsia" w:ascii="宋体" w:hAnsi="宋体" w:eastAsia="宋体" w:cs="宋体"/>
          <w:sz w:val="22"/>
          <w:szCs w:val="22"/>
        </w:rPr>
        <w:t>23</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"_Toc16602" </w:instrText>
      </w:r>
      <w:r>
        <w:rPr>
          <w:rFonts w:hint="eastAsia" w:ascii="宋体" w:hAnsi="宋体" w:eastAsia="宋体" w:cs="宋体"/>
          <w:sz w:val="22"/>
          <w:szCs w:val="22"/>
        </w:rPr>
        <w:fldChar w:fldCharType="separate"/>
      </w:r>
      <w:r>
        <w:rPr>
          <w:rFonts w:hint="eastAsia" w:ascii="宋体" w:hAnsi="宋体" w:eastAsia="宋体" w:cs="宋体"/>
          <w:bCs/>
          <w:sz w:val="22"/>
          <w:szCs w:val="22"/>
        </w:rPr>
        <w:t>20. 迟交的投标文件</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_Toc16602 \h </w:instrText>
      </w:r>
      <w:r>
        <w:rPr>
          <w:rFonts w:hint="eastAsia" w:ascii="宋体" w:hAnsi="宋体" w:eastAsia="宋体" w:cs="宋体"/>
          <w:sz w:val="22"/>
          <w:szCs w:val="22"/>
        </w:rPr>
        <w:fldChar w:fldCharType="separate"/>
      </w:r>
      <w:r>
        <w:rPr>
          <w:rFonts w:hint="eastAsia" w:ascii="宋体" w:hAnsi="宋体" w:eastAsia="宋体" w:cs="宋体"/>
          <w:sz w:val="22"/>
          <w:szCs w:val="22"/>
        </w:rPr>
        <w:t>23</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"_Toc26104" </w:instrText>
      </w:r>
      <w:r>
        <w:rPr>
          <w:rFonts w:hint="eastAsia" w:ascii="宋体" w:hAnsi="宋体" w:eastAsia="宋体" w:cs="宋体"/>
          <w:sz w:val="22"/>
          <w:szCs w:val="22"/>
        </w:rPr>
        <w:fldChar w:fldCharType="separate"/>
      </w:r>
      <w:r>
        <w:rPr>
          <w:rFonts w:hint="eastAsia" w:ascii="宋体" w:hAnsi="宋体" w:eastAsia="宋体" w:cs="宋体"/>
          <w:bCs/>
          <w:sz w:val="22"/>
          <w:szCs w:val="22"/>
        </w:rPr>
        <w:t>21. 投标文件的修改与撤回</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_Toc26104 \h </w:instrText>
      </w:r>
      <w:r>
        <w:rPr>
          <w:rFonts w:hint="eastAsia" w:ascii="宋体" w:hAnsi="宋体" w:eastAsia="宋体" w:cs="宋体"/>
          <w:sz w:val="22"/>
          <w:szCs w:val="22"/>
        </w:rPr>
        <w:fldChar w:fldCharType="separate"/>
      </w:r>
      <w:r>
        <w:rPr>
          <w:rFonts w:hint="eastAsia" w:ascii="宋体" w:hAnsi="宋体" w:eastAsia="宋体" w:cs="宋体"/>
          <w:sz w:val="22"/>
          <w:szCs w:val="22"/>
        </w:rPr>
        <w:t>23</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25"/>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"_Toc23582" </w:instrText>
      </w:r>
      <w:r>
        <w:rPr>
          <w:rFonts w:hint="eastAsia" w:ascii="宋体" w:hAnsi="宋体" w:eastAsia="宋体" w:cs="宋体"/>
          <w:sz w:val="22"/>
          <w:szCs w:val="22"/>
        </w:rPr>
        <w:fldChar w:fldCharType="separate"/>
      </w:r>
      <w:r>
        <w:rPr>
          <w:rFonts w:hint="eastAsia" w:ascii="宋体" w:hAnsi="宋体" w:eastAsia="宋体" w:cs="宋体"/>
          <w:sz w:val="22"/>
          <w:szCs w:val="22"/>
          <w:lang w:val="zh-CN"/>
        </w:rPr>
        <w:t>（五）开标与评标</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_Toc23582 \h </w:instrText>
      </w:r>
      <w:r>
        <w:rPr>
          <w:rFonts w:hint="eastAsia" w:ascii="宋体" w:hAnsi="宋体" w:eastAsia="宋体" w:cs="宋体"/>
          <w:sz w:val="22"/>
          <w:szCs w:val="22"/>
        </w:rPr>
        <w:fldChar w:fldCharType="separate"/>
      </w:r>
      <w:r>
        <w:rPr>
          <w:rFonts w:hint="eastAsia" w:ascii="宋体" w:hAnsi="宋体" w:eastAsia="宋体" w:cs="宋体"/>
          <w:sz w:val="22"/>
          <w:szCs w:val="22"/>
        </w:rPr>
        <w:t>24</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"_Toc20762" </w:instrText>
      </w:r>
      <w:r>
        <w:rPr>
          <w:rFonts w:hint="eastAsia" w:ascii="宋体" w:hAnsi="宋体" w:eastAsia="宋体" w:cs="宋体"/>
          <w:sz w:val="22"/>
          <w:szCs w:val="22"/>
        </w:rPr>
        <w:fldChar w:fldCharType="separate"/>
      </w:r>
      <w:r>
        <w:rPr>
          <w:rFonts w:hint="eastAsia" w:ascii="宋体" w:hAnsi="宋体" w:eastAsia="宋体" w:cs="宋体"/>
          <w:bCs/>
          <w:sz w:val="22"/>
          <w:szCs w:val="22"/>
        </w:rPr>
        <w:t>22. 开标</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_Toc20762 \h </w:instrText>
      </w:r>
      <w:r>
        <w:rPr>
          <w:rFonts w:hint="eastAsia" w:ascii="宋体" w:hAnsi="宋体" w:eastAsia="宋体" w:cs="宋体"/>
          <w:sz w:val="22"/>
          <w:szCs w:val="22"/>
        </w:rPr>
        <w:fldChar w:fldCharType="separate"/>
      </w:r>
      <w:r>
        <w:rPr>
          <w:rFonts w:hint="eastAsia" w:ascii="宋体" w:hAnsi="宋体" w:eastAsia="宋体" w:cs="宋体"/>
          <w:sz w:val="22"/>
          <w:szCs w:val="22"/>
        </w:rPr>
        <w:t>24</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"_Toc5137" </w:instrText>
      </w:r>
      <w:r>
        <w:rPr>
          <w:rFonts w:hint="eastAsia" w:ascii="宋体" w:hAnsi="宋体" w:eastAsia="宋体" w:cs="宋体"/>
          <w:sz w:val="22"/>
          <w:szCs w:val="22"/>
        </w:rPr>
        <w:fldChar w:fldCharType="separate"/>
      </w:r>
      <w:r>
        <w:rPr>
          <w:rFonts w:hint="eastAsia" w:ascii="宋体" w:hAnsi="宋体" w:eastAsia="宋体" w:cs="宋体"/>
          <w:bCs/>
          <w:sz w:val="22"/>
          <w:szCs w:val="22"/>
        </w:rPr>
        <w:t>23. 评标委员会</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_Toc5137 \h </w:instrText>
      </w:r>
      <w:r>
        <w:rPr>
          <w:rFonts w:hint="eastAsia" w:ascii="宋体" w:hAnsi="宋体" w:eastAsia="宋体" w:cs="宋体"/>
          <w:sz w:val="22"/>
          <w:szCs w:val="22"/>
        </w:rPr>
        <w:fldChar w:fldCharType="separate"/>
      </w:r>
      <w:r>
        <w:rPr>
          <w:rFonts w:hint="eastAsia" w:ascii="宋体" w:hAnsi="宋体" w:eastAsia="宋体" w:cs="宋体"/>
          <w:sz w:val="22"/>
          <w:szCs w:val="22"/>
        </w:rPr>
        <w:t>24</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"_Toc11482" </w:instrText>
      </w:r>
      <w:r>
        <w:rPr>
          <w:rFonts w:hint="eastAsia" w:ascii="宋体" w:hAnsi="宋体" w:eastAsia="宋体" w:cs="宋体"/>
          <w:sz w:val="22"/>
          <w:szCs w:val="22"/>
        </w:rPr>
        <w:fldChar w:fldCharType="separate"/>
      </w:r>
      <w:r>
        <w:rPr>
          <w:rFonts w:hint="eastAsia" w:ascii="宋体" w:hAnsi="宋体" w:eastAsia="宋体" w:cs="宋体"/>
          <w:bCs/>
          <w:sz w:val="22"/>
          <w:szCs w:val="22"/>
        </w:rPr>
        <w:t>24. 评标过程的保密性</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_Toc11482 \h </w:instrText>
      </w:r>
      <w:r>
        <w:rPr>
          <w:rFonts w:hint="eastAsia" w:ascii="宋体" w:hAnsi="宋体" w:eastAsia="宋体" w:cs="宋体"/>
          <w:sz w:val="22"/>
          <w:szCs w:val="22"/>
        </w:rPr>
        <w:fldChar w:fldCharType="separate"/>
      </w:r>
      <w:r>
        <w:rPr>
          <w:rFonts w:hint="eastAsia" w:ascii="宋体" w:hAnsi="宋体" w:eastAsia="宋体" w:cs="宋体"/>
          <w:sz w:val="22"/>
          <w:szCs w:val="22"/>
        </w:rPr>
        <w:t>25</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"_Toc10020" </w:instrText>
      </w:r>
      <w:r>
        <w:rPr>
          <w:rFonts w:hint="eastAsia" w:ascii="宋体" w:hAnsi="宋体" w:eastAsia="宋体" w:cs="宋体"/>
          <w:sz w:val="22"/>
          <w:szCs w:val="22"/>
        </w:rPr>
        <w:fldChar w:fldCharType="separate"/>
      </w:r>
      <w:r>
        <w:rPr>
          <w:rFonts w:hint="eastAsia" w:ascii="宋体" w:hAnsi="宋体" w:eastAsia="宋体" w:cs="宋体"/>
          <w:bCs/>
          <w:sz w:val="22"/>
          <w:szCs w:val="22"/>
        </w:rPr>
        <w:t>25. 投标文件评审</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_Toc10020 \h </w:instrText>
      </w:r>
      <w:r>
        <w:rPr>
          <w:rFonts w:hint="eastAsia" w:ascii="宋体" w:hAnsi="宋体" w:eastAsia="宋体" w:cs="宋体"/>
          <w:sz w:val="22"/>
          <w:szCs w:val="22"/>
        </w:rPr>
        <w:fldChar w:fldCharType="separate"/>
      </w:r>
      <w:r>
        <w:rPr>
          <w:rFonts w:hint="eastAsia" w:ascii="宋体" w:hAnsi="宋体" w:eastAsia="宋体" w:cs="宋体"/>
          <w:sz w:val="22"/>
          <w:szCs w:val="22"/>
        </w:rPr>
        <w:t>25</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"_Toc27977" </w:instrText>
      </w:r>
      <w:r>
        <w:rPr>
          <w:rFonts w:hint="eastAsia" w:ascii="宋体" w:hAnsi="宋体" w:eastAsia="宋体" w:cs="宋体"/>
          <w:sz w:val="22"/>
          <w:szCs w:val="22"/>
        </w:rPr>
        <w:fldChar w:fldCharType="separate"/>
      </w:r>
      <w:r>
        <w:rPr>
          <w:rFonts w:hint="eastAsia" w:ascii="宋体" w:hAnsi="宋体" w:eastAsia="宋体" w:cs="宋体"/>
          <w:bCs/>
          <w:sz w:val="22"/>
          <w:szCs w:val="22"/>
        </w:rPr>
        <w:t>26. 投标文件的澄清</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_Toc27977 \h </w:instrText>
      </w:r>
      <w:r>
        <w:rPr>
          <w:rFonts w:hint="eastAsia" w:ascii="宋体" w:hAnsi="宋体" w:eastAsia="宋体" w:cs="宋体"/>
          <w:sz w:val="22"/>
          <w:szCs w:val="22"/>
        </w:rPr>
        <w:fldChar w:fldCharType="separate"/>
      </w:r>
      <w:r>
        <w:rPr>
          <w:rFonts w:hint="eastAsia" w:ascii="宋体" w:hAnsi="宋体" w:eastAsia="宋体" w:cs="宋体"/>
          <w:sz w:val="22"/>
          <w:szCs w:val="22"/>
        </w:rPr>
        <w:t>26</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"_Toc13055" </w:instrText>
      </w:r>
      <w:r>
        <w:rPr>
          <w:rFonts w:hint="eastAsia" w:ascii="宋体" w:hAnsi="宋体" w:eastAsia="宋体" w:cs="宋体"/>
          <w:sz w:val="22"/>
          <w:szCs w:val="22"/>
        </w:rPr>
        <w:fldChar w:fldCharType="separate"/>
      </w:r>
      <w:r>
        <w:rPr>
          <w:rFonts w:hint="eastAsia" w:ascii="宋体" w:hAnsi="宋体" w:eastAsia="宋体" w:cs="宋体"/>
          <w:bCs/>
          <w:sz w:val="22"/>
          <w:szCs w:val="22"/>
        </w:rPr>
        <w:t>27. 对投标文件的比较和评价</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_Toc13055 \h </w:instrText>
      </w:r>
      <w:r>
        <w:rPr>
          <w:rFonts w:hint="eastAsia" w:ascii="宋体" w:hAnsi="宋体" w:eastAsia="宋体" w:cs="宋体"/>
          <w:sz w:val="22"/>
          <w:szCs w:val="22"/>
        </w:rPr>
        <w:fldChar w:fldCharType="separate"/>
      </w:r>
      <w:r>
        <w:rPr>
          <w:rFonts w:hint="eastAsia" w:ascii="宋体" w:hAnsi="宋体" w:eastAsia="宋体" w:cs="宋体"/>
          <w:sz w:val="22"/>
          <w:szCs w:val="22"/>
        </w:rPr>
        <w:t>26</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"_Toc13281" </w:instrText>
      </w:r>
      <w:r>
        <w:rPr>
          <w:rFonts w:hint="eastAsia" w:ascii="宋体" w:hAnsi="宋体" w:eastAsia="宋体" w:cs="宋体"/>
          <w:sz w:val="22"/>
          <w:szCs w:val="22"/>
        </w:rPr>
        <w:fldChar w:fldCharType="separate"/>
      </w:r>
      <w:r>
        <w:rPr>
          <w:rFonts w:hint="eastAsia" w:ascii="宋体" w:hAnsi="宋体" w:eastAsia="宋体" w:cs="宋体"/>
          <w:bCs/>
          <w:sz w:val="22"/>
          <w:szCs w:val="22"/>
        </w:rPr>
        <w:t>28. 评标原则及方法</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_Toc13281 \h </w:instrText>
      </w:r>
      <w:r>
        <w:rPr>
          <w:rFonts w:hint="eastAsia" w:ascii="宋体" w:hAnsi="宋体" w:eastAsia="宋体" w:cs="宋体"/>
          <w:sz w:val="22"/>
          <w:szCs w:val="22"/>
        </w:rPr>
        <w:fldChar w:fldCharType="separate"/>
      </w:r>
      <w:r>
        <w:rPr>
          <w:rFonts w:hint="eastAsia" w:ascii="宋体" w:hAnsi="宋体" w:eastAsia="宋体" w:cs="宋体"/>
          <w:sz w:val="22"/>
          <w:szCs w:val="22"/>
        </w:rPr>
        <w:t>26</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"_Toc11229" </w:instrText>
      </w:r>
      <w:r>
        <w:rPr>
          <w:rFonts w:hint="eastAsia" w:ascii="宋体" w:hAnsi="宋体" w:eastAsia="宋体" w:cs="宋体"/>
          <w:sz w:val="22"/>
          <w:szCs w:val="22"/>
        </w:rPr>
        <w:fldChar w:fldCharType="separate"/>
      </w:r>
      <w:r>
        <w:rPr>
          <w:rFonts w:hint="eastAsia" w:ascii="宋体" w:hAnsi="宋体" w:eastAsia="宋体" w:cs="宋体"/>
          <w:bCs/>
          <w:sz w:val="22"/>
          <w:szCs w:val="22"/>
        </w:rPr>
        <w:t>29. 评标结果公示及异议、投诉</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_Toc11229 \h </w:instrText>
      </w:r>
      <w:r>
        <w:rPr>
          <w:rFonts w:hint="eastAsia" w:ascii="宋体" w:hAnsi="宋体" w:eastAsia="宋体" w:cs="宋体"/>
          <w:sz w:val="22"/>
          <w:szCs w:val="22"/>
        </w:rPr>
        <w:fldChar w:fldCharType="separate"/>
      </w:r>
      <w:r>
        <w:rPr>
          <w:rFonts w:hint="eastAsia" w:ascii="宋体" w:hAnsi="宋体" w:eastAsia="宋体" w:cs="宋体"/>
          <w:sz w:val="22"/>
          <w:szCs w:val="22"/>
        </w:rPr>
        <w:t>26</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"_Toc16882" </w:instrText>
      </w:r>
      <w:r>
        <w:rPr>
          <w:rFonts w:hint="eastAsia" w:ascii="宋体" w:hAnsi="宋体" w:eastAsia="宋体" w:cs="宋体"/>
          <w:sz w:val="22"/>
          <w:szCs w:val="22"/>
        </w:rPr>
        <w:fldChar w:fldCharType="separate"/>
      </w:r>
      <w:r>
        <w:rPr>
          <w:rFonts w:hint="eastAsia" w:ascii="宋体" w:hAnsi="宋体" w:eastAsia="宋体" w:cs="宋体"/>
          <w:bCs/>
          <w:sz w:val="22"/>
          <w:szCs w:val="22"/>
        </w:rPr>
        <w:t>30. 真实性审查</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_Toc16882 \h </w:instrText>
      </w:r>
      <w:r>
        <w:rPr>
          <w:rFonts w:hint="eastAsia" w:ascii="宋体" w:hAnsi="宋体" w:eastAsia="宋体" w:cs="宋体"/>
          <w:sz w:val="22"/>
          <w:szCs w:val="22"/>
        </w:rPr>
        <w:fldChar w:fldCharType="separate"/>
      </w:r>
      <w:r>
        <w:rPr>
          <w:rFonts w:hint="eastAsia" w:ascii="宋体" w:hAnsi="宋体" w:eastAsia="宋体" w:cs="宋体"/>
          <w:sz w:val="22"/>
          <w:szCs w:val="22"/>
        </w:rPr>
        <w:t>27</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"_Toc31690" </w:instrText>
      </w:r>
      <w:r>
        <w:rPr>
          <w:rFonts w:hint="eastAsia" w:ascii="宋体" w:hAnsi="宋体" w:eastAsia="宋体" w:cs="宋体"/>
          <w:sz w:val="22"/>
          <w:szCs w:val="22"/>
        </w:rPr>
        <w:fldChar w:fldCharType="separate"/>
      </w:r>
      <w:r>
        <w:rPr>
          <w:rFonts w:hint="eastAsia" w:ascii="宋体" w:hAnsi="宋体" w:eastAsia="宋体" w:cs="宋体"/>
          <w:bCs/>
          <w:sz w:val="22"/>
          <w:szCs w:val="22"/>
        </w:rPr>
        <w:t>31. 中标通知书</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_Toc31690 \h </w:instrText>
      </w:r>
      <w:r>
        <w:rPr>
          <w:rFonts w:hint="eastAsia" w:ascii="宋体" w:hAnsi="宋体" w:eastAsia="宋体" w:cs="宋体"/>
          <w:sz w:val="22"/>
          <w:szCs w:val="22"/>
        </w:rPr>
        <w:fldChar w:fldCharType="separate"/>
      </w:r>
      <w:r>
        <w:rPr>
          <w:rFonts w:hint="eastAsia" w:ascii="宋体" w:hAnsi="宋体" w:eastAsia="宋体" w:cs="宋体"/>
          <w:sz w:val="22"/>
          <w:szCs w:val="22"/>
        </w:rPr>
        <w:t>27</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25"/>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"_Toc14185" </w:instrText>
      </w:r>
      <w:r>
        <w:rPr>
          <w:rFonts w:hint="eastAsia" w:ascii="宋体" w:hAnsi="宋体" w:eastAsia="宋体" w:cs="宋体"/>
          <w:sz w:val="22"/>
          <w:szCs w:val="22"/>
        </w:rPr>
        <w:fldChar w:fldCharType="separate"/>
      </w:r>
      <w:r>
        <w:rPr>
          <w:rFonts w:hint="eastAsia" w:ascii="宋体" w:hAnsi="宋体" w:eastAsia="宋体" w:cs="宋体"/>
          <w:sz w:val="22"/>
          <w:szCs w:val="22"/>
          <w:lang w:val="zh-CN"/>
        </w:rPr>
        <w:t>（六）合同的授予</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_Toc14185 \h </w:instrText>
      </w:r>
      <w:r>
        <w:rPr>
          <w:rFonts w:hint="eastAsia" w:ascii="宋体" w:hAnsi="宋体" w:eastAsia="宋体" w:cs="宋体"/>
          <w:sz w:val="22"/>
          <w:szCs w:val="22"/>
        </w:rPr>
        <w:fldChar w:fldCharType="separate"/>
      </w:r>
      <w:r>
        <w:rPr>
          <w:rFonts w:hint="eastAsia" w:ascii="宋体" w:hAnsi="宋体" w:eastAsia="宋体" w:cs="宋体"/>
          <w:sz w:val="22"/>
          <w:szCs w:val="22"/>
        </w:rPr>
        <w:t>28</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"_Toc28874" </w:instrText>
      </w:r>
      <w:r>
        <w:rPr>
          <w:rFonts w:hint="eastAsia" w:ascii="宋体" w:hAnsi="宋体" w:eastAsia="宋体" w:cs="宋体"/>
          <w:sz w:val="22"/>
          <w:szCs w:val="22"/>
        </w:rPr>
        <w:fldChar w:fldCharType="separate"/>
      </w:r>
      <w:r>
        <w:rPr>
          <w:rFonts w:hint="eastAsia" w:ascii="宋体" w:hAnsi="宋体" w:eastAsia="宋体" w:cs="宋体"/>
          <w:bCs/>
          <w:sz w:val="22"/>
          <w:szCs w:val="22"/>
        </w:rPr>
        <w:t>32. 合同授予标准</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_Toc28874 \h </w:instrText>
      </w:r>
      <w:r>
        <w:rPr>
          <w:rFonts w:hint="eastAsia" w:ascii="宋体" w:hAnsi="宋体" w:eastAsia="宋体" w:cs="宋体"/>
          <w:sz w:val="22"/>
          <w:szCs w:val="22"/>
        </w:rPr>
        <w:fldChar w:fldCharType="separate"/>
      </w:r>
      <w:r>
        <w:rPr>
          <w:rFonts w:hint="eastAsia" w:ascii="宋体" w:hAnsi="宋体" w:eastAsia="宋体" w:cs="宋体"/>
          <w:sz w:val="22"/>
          <w:szCs w:val="22"/>
        </w:rPr>
        <w:t>28</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"_Toc18653" </w:instrText>
      </w:r>
      <w:r>
        <w:rPr>
          <w:rFonts w:hint="eastAsia" w:ascii="宋体" w:hAnsi="宋体" w:eastAsia="宋体" w:cs="宋体"/>
          <w:sz w:val="22"/>
          <w:szCs w:val="22"/>
        </w:rPr>
        <w:fldChar w:fldCharType="separate"/>
      </w:r>
      <w:r>
        <w:rPr>
          <w:rFonts w:hint="eastAsia" w:ascii="宋体" w:hAnsi="宋体" w:eastAsia="宋体" w:cs="宋体"/>
          <w:bCs/>
          <w:sz w:val="22"/>
          <w:szCs w:val="22"/>
        </w:rPr>
        <w:t>33. 接受和拒绝任何或所有投标的权利</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_Toc18653 \h </w:instrText>
      </w:r>
      <w:r>
        <w:rPr>
          <w:rFonts w:hint="eastAsia" w:ascii="宋体" w:hAnsi="宋体" w:eastAsia="宋体" w:cs="宋体"/>
          <w:sz w:val="22"/>
          <w:szCs w:val="22"/>
        </w:rPr>
        <w:fldChar w:fldCharType="separate"/>
      </w:r>
      <w:r>
        <w:rPr>
          <w:rFonts w:hint="eastAsia" w:ascii="宋体" w:hAnsi="宋体" w:eastAsia="宋体" w:cs="宋体"/>
          <w:sz w:val="22"/>
          <w:szCs w:val="22"/>
        </w:rPr>
        <w:t>28</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"_Toc6447" </w:instrText>
      </w:r>
      <w:r>
        <w:rPr>
          <w:rFonts w:hint="eastAsia" w:ascii="宋体" w:hAnsi="宋体" w:eastAsia="宋体" w:cs="宋体"/>
          <w:sz w:val="22"/>
          <w:szCs w:val="22"/>
        </w:rPr>
        <w:fldChar w:fldCharType="separate"/>
      </w:r>
      <w:r>
        <w:rPr>
          <w:rFonts w:hint="eastAsia" w:ascii="宋体" w:hAnsi="宋体" w:eastAsia="宋体" w:cs="宋体"/>
          <w:bCs/>
          <w:sz w:val="22"/>
          <w:szCs w:val="22"/>
        </w:rPr>
        <w:t>34. 授标时更改采购数量的权利</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_Toc6447 \h </w:instrText>
      </w:r>
      <w:r>
        <w:rPr>
          <w:rFonts w:hint="eastAsia" w:ascii="宋体" w:hAnsi="宋体" w:eastAsia="宋体" w:cs="宋体"/>
          <w:sz w:val="22"/>
          <w:szCs w:val="22"/>
        </w:rPr>
        <w:fldChar w:fldCharType="separate"/>
      </w:r>
      <w:r>
        <w:rPr>
          <w:rFonts w:hint="eastAsia" w:ascii="宋体" w:hAnsi="宋体" w:eastAsia="宋体" w:cs="宋体"/>
          <w:sz w:val="22"/>
          <w:szCs w:val="22"/>
        </w:rPr>
        <w:t>28</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"_Toc12045" </w:instrText>
      </w:r>
      <w:r>
        <w:rPr>
          <w:rFonts w:hint="eastAsia" w:ascii="宋体" w:hAnsi="宋体" w:eastAsia="宋体" w:cs="宋体"/>
          <w:sz w:val="22"/>
          <w:szCs w:val="22"/>
        </w:rPr>
        <w:fldChar w:fldCharType="separate"/>
      </w:r>
      <w:r>
        <w:rPr>
          <w:rFonts w:hint="eastAsia" w:ascii="宋体" w:hAnsi="宋体" w:eastAsia="宋体" w:cs="宋体"/>
          <w:bCs/>
          <w:sz w:val="22"/>
          <w:szCs w:val="22"/>
        </w:rPr>
        <w:t>35. 履约担保</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_Toc12045 \h </w:instrText>
      </w:r>
      <w:r>
        <w:rPr>
          <w:rFonts w:hint="eastAsia" w:ascii="宋体" w:hAnsi="宋体" w:eastAsia="宋体" w:cs="宋体"/>
          <w:sz w:val="22"/>
          <w:szCs w:val="22"/>
        </w:rPr>
        <w:fldChar w:fldCharType="separate"/>
      </w:r>
      <w:r>
        <w:rPr>
          <w:rFonts w:hint="eastAsia" w:ascii="宋体" w:hAnsi="宋体" w:eastAsia="宋体" w:cs="宋体"/>
          <w:sz w:val="22"/>
          <w:szCs w:val="22"/>
        </w:rPr>
        <w:t>28</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"_Toc26535" </w:instrText>
      </w:r>
      <w:r>
        <w:rPr>
          <w:rFonts w:hint="eastAsia" w:ascii="宋体" w:hAnsi="宋体" w:eastAsia="宋体" w:cs="宋体"/>
          <w:sz w:val="22"/>
          <w:szCs w:val="22"/>
        </w:rPr>
        <w:fldChar w:fldCharType="separate"/>
      </w:r>
      <w:r>
        <w:rPr>
          <w:rFonts w:hint="eastAsia" w:ascii="宋体" w:hAnsi="宋体" w:eastAsia="宋体" w:cs="宋体"/>
          <w:bCs/>
          <w:sz w:val="22"/>
          <w:szCs w:val="22"/>
        </w:rPr>
        <w:t>36. 合同协议书的签订</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_Toc26535 \h </w:instrText>
      </w:r>
      <w:r>
        <w:rPr>
          <w:rFonts w:hint="eastAsia" w:ascii="宋体" w:hAnsi="宋体" w:eastAsia="宋体" w:cs="宋体"/>
          <w:sz w:val="22"/>
          <w:szCs w:val="22"/>
        </w:rPr>
        <w:fldChar w:fldCharType="separate"/>
      </w:r>
      <w:r>
        <w:rPr>
          <w:rFonts w:hint="eastAsia" w:ascii="宋体" w:hAnsi="宋体" w:eastAsia="宋体" w:cs="宋体"/>
          <w:sz w:val="22"/>
          <w:szCs w:val="22"/>
        </w:rPr>
        <w:t>28</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"_Toc25389" </w:instrText>
      </w:r>
      <w:r>
        <w:rPr>
          <w:rFonts w:hint="eastAsia" w:ascii="宋体" w:hAnsi="宋体" w:eastAsia="宋体" w:cs="宋体"/>
          <w:sz w:val="22"/>
          <w:szCs w:val="22"/>
        </w:rPr>
        <w:fldChar w:fldCharType="separate"/>
      </w:r>
      <w:r>
        <w:rPr>
          <w:rFonts w:hint="eastAsia" w:ascii="宋体" w:hAnsi="宋体" w:eastAsia="宋体" w:cs="宋体"/>
          <w:bCs/>
          <w:sz w:val="22"/>
          <w:szCs w:val="22"/>
        </w:rPr>
        <w:t>37. 其他</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_Toc25389 \h </w:instrText>
      </w:r>
      <w:r>
        <w:rPr>
          <w:rFonts w:hint="eastAsia" w:ascii="宋体" w:hAnsi="宋体" w:eastAsia="宋体" w:cs="宋体"/>
          <w:sz w:val="22"/>
          <w:szCs w:val="22"/>
        </w:rPr>
        <w:fldChar w:fldCharType="separate"/>
      </w:r>
      <w:r>
        <w:rPr>
          <w:rFonts w:hint="eastAsia" w:ascii="宋体" w:hAnsi="宋体" w:eastAsia="宋体" w:cs="宋体"/>
          <w:sz w:val="22"/>
          <w:szCs w:val="22"/>
        </w:rPr>
        <w:t>28</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"_Toc1233" </w:instrText>
      </w:r>
      <w:r>
        <w:rPr>
          <w:rFonts w:hint="eastAsia" w:ascii="宋体" w:hAnsi="宋体" w:eastAsia="宋体" w:cs="宋体"/>
          <w:sz w:val="22"/>
          <w:szCs w:val="22"/>
        </w:rPr>
        <w:fldChar w:fldCharType="separate"/>
      </w:r>
      <w:r>
        <w:rPr>
          <w:rFonts w:hint="eastAsia" w:ascii="宋体" w:hAnsi="宋体" w:eastAsia="宋体" w:cs="宋体"/>
          <w:bCs/>
          <w:sz w:val="22"/>
          <w:szCs w:val="22"/>
        </w:rPr>
        <w:t>38. 招标文件的解释权</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_Toc1233 \h </w:instrText>
      </w:r>
      <w:r>
        <w:rPr>
          <w:rFonts w:hint="eastAsia" w:ascii="宋体" w:hAnsi="宋体" w:eastAsia="宋体" w:cs="宋体"/>
          <w:sz w:val="22"/>
          <w:szCs w:val="22"/>
        </w:rPr>
        <w:fldChar w:fldCharType="separate"/>
      </w:r>
      <w:r>
        <w:rPr>
          <w:rFonts w:hint="eastAsia" w:ascii="宋体" w:hAnsi="宋体" w:eastAsia="宋体" w:cs="宋体"/>
          <w:sz w:val="22"/>
          <w:szCs w:val="22"/>
        </w:rPr>
        <w:t>29</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21"/>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"_Toc5810" </w:instrText>
      </w:r>
      <w:r>
        <w:rPr>
          <w:rFonts w:hint="eastAsia" w:ascii="宋体" w:hAnsi="宋体" w:eastAsia="宋体" w:cs="宋体"/>
          <w:sz w:val="22"/>
          <w:szCs w:val="22"/>
        </w:rPr>
        <w:fldChar w:fldCharType="separate"/>
      </w:r>
      <w:r>
        <w:rPr>
          <w:rFonts w:hint="eastAsia" w:ascii="宋体" w:hAnsi="宋体" w:eastAsia="宋体" w:cs="宋体"/>
          <w:sz w:val="22"/>
          <w:szCs w:val="22"/>
        </w:rPr>
        <w:t>第三章 评标办法</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_Toc5810 \h </w:instrText>
      </w:r>
      <w:r>
        <w:rPr>
          <w:rFonts w:hint="eastAsia" w:ascii="宋体" w:hAnsi="宋体" w:eastAsia="宋体" w:cs="宋体"/>
          <w:sz w:val="22"/>
          <w:szCs w:val="22"/>
        </w:rPr>
        <w:fldChar w:fldCharType="separate"/>
      </w:r>
      <w:r>
        <w:rPr>
          <w:rFonts w:hint="eastAsia" w:ascii="宋体" w:hAnsi="宋体" w:eastAsia="宋体" w:cs="宋体"/>
          <w:sz w:val="22"/>
          <w:szCs w:val="22"/>
        </w:rPr>
        <w:t>30</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25"/>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"_Toc8789" </w:instrText>
      </w:r>
      <w:r>
        <w:rPr>
          <w:rFonts w:hint="eastAsia" w:ascii="宋体" w:hAnsi="宋体" w:eastAsia="宋体" w:cs="宋体"/>
          <w:sz w:val="22"/>
          <w:szCs w:val="22"/>
        </w:rPr>
        <w:fldChar w:fldCharType="separate"/>
      </w:r>
      <w:r>
        <w:rPr>
          <w:rFonts w:hint="eastAsia" w:ascii="宋体" w:hAnsi="宋体" w:eastAsia="宋体" w:cs="宋体"/>
          <w:sz w:val="22"/>
          <w:szCs w:val="22"/>
        </w:rPr>
        <w:t>一、评标原则和目的</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_Toc8789 \h </w:instrText>
      </w:r>
      <w:r>
        <w:rPr>
          <w:rFonts w:hint="eastAsia" w:ascii="宋体" w:hAnsi="宋体" w:eastAsia="宋体" w:cs="宋体"/>
          <w:sz w:val="22"/>
          <w:szCs w:val="22"/>
        </w:rPr>
        <w:fldChar w:fldCharType="separate"/>
      </w:r>
      <w:r>
        <w:rPr>
          <w:rFonts w:hint="eastAsia" w:ascii="宋体" w:hAnsi="宋体" w:eastAsia="宋体" w:cs="宋体"/>
          <w:sz w:val="22"/>
          <w:szCs w:val="22"/>
        </w:rPr>
        <w:t>31</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25"/>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"_Toc2695" </w:instrText>
      </w:r>
      <w:r>
        <w:rPr>
          <w:rFonts w:hint="eastAsia" w:ascii="宋体" w:hAnsi="宋体" w:eastAsia="宋体" w:cs="宋体"/>
          <w:sz w:val="22"/>
          <w:szCs w:val="22"/>
        </w:rPr>
        <w:fldChar w:fldCharType="separate"/>
      </w:r>
      <w:r>
        <w:rPr>
          <w:rFonts w:hint="eastAsia" w:ascii="宋体" w:hAnsi="宋体" w:eastAsia="宋体" w:cs="宋体"/>
          <w:sz w:val="22"/>
          <w:szCs w:val="22"/>
        </w:rPr>
        <w:t>二、评标程序</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_Toc2695 \h </w:instrText>
      </w:r>
      <w:r>
        <w:rPr>
          <w:rFonts w:hint="eastAsia" w:ascii="宋体" w:hAnsi="宋体" w:eastAsia="宋体" w:cs="宋体"/>
          <w:sz w:val="22"/>
          <w:szCs w:val="22"/>
        </w:rPr>
        <w:fldChar w:fldCharType="separate"/>
      </w:r>
      <w:r>
        <w:rPr>
          <w:rFonts w:hint="eastAsia" w:ascii="宋体" w:hAnsi="宋体" w:eastAsia="宋体" w:cs="宋体"/>
          <w:sz w:val="22"/>
          <w:szCs w:val="22"/>
        </w:rPr>
        <w:t>31</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25"/>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"_Toc976" </w:instrText>
      </w:r>
      <w:r>
        <w:rPr>
          <w:rFonts w:hint="eastAsia" w:ascii="宋体" w:hAnsi="宋体" w:eastAsia="宋体" w:cs="宋体"/>
          <w:sz w:val="22"/>
          <w:szCs w:val="22"/>
        </w:rPr>
        <w:fldChar w:fldCharType="separate"/>
      </w:r>
      <w:r>
        <w:rPr>
          <w:rFonts w:hint="eastAsia" w:ascii="宋体" w:hAnsi="宋体" w:eastAsia="宋体" w:cs="宋体"/>
          <w:sz w:val="22"/>
          <w:szCs w:val="22"/>
        </w:rPr>
        <w:t>三、评分标准和细则</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_Toc976 \h </w:instrText>
      </w:r>
      <w:r>
        <w:rPr>
          <w:rFonts w:hint="eastAsia" w:ascii="宋体" w:hAnsi="宋体" w:eastAsia="宋体" w:cs="宋体"/>
          <w:sz w:val="22"/>
          <w:szCs w:val="22"/>
        </w:rPr>
        <w:fldChar w:fldCharType="separate"/>
      </w:r>
      <w:r>
        <w:rPr>
          <w:rFonts w:hint="eastAsia" w:ascii="宋体" w:hAnsi="宋体" w:eastAsia="宋体" w:cs="宋体"/>
          <w:sz w:val="22"/>
          <w:szCs w:val="22"/>
        </w:rPr>
        <w:t>35</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21"/>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"_Toc18632" </w:instrText>
      </w:r>
      <w:r>
        <w:rPr>
          <w:rFonts w:hint="eastAsia" w:ascii="宋体" w:hAnsi="宋体" w:eastAsia="宋体" w:cs="宋体"/>
          <w:sz w:val="22"/>
          <w:szCs w:val="22"/>
        </w:rPr>
        <w:fldChar w:fldCharType="separate"/>
      </w:r>
      <w:r>
        <w:rPr>
          <w:rFonts w:hint="eastAsia" w:ascii="宋体" w:hAnsi="宋体" w:eastAsia="宋体" w:cs="宋体"/>
          <w:sz w:val="22"/>
          <w:szCs w:val="22"/>
        </w:rPr>
        <w:t>第四章 用户需求书</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_Toc18632 \h </w:instrText>
      </w:r>
      <w:r>
        <w:rPr>
          <w:rFonts w:hint="eastAsia" w:ascii="宋体" w:hAnsi="宋体" w:eastAsia="宋体" w:cs="宋体"/>
          <w:sz w:val="22"/>
          <w:szCs w:val="22"/>
        </w:rPr>
        <w:fldChar w:fldCharType="separate"/>
      </w:r>
      <w:r>
        <w:rPr>
          <w:rFonts w:hint="eastAsia" w:ascii="宋体" w:hAnsi="宋体" w:eastAsia="宋体" w:cs="宋体"/>
          <w:sz w:val="22"/>
          <w:szCs w:val="22"/>
        </w:rPr>
        <w:t>41</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25"/>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"_Toc21528" </w:instrText>
      </w:r>
      <w:r>
        <w:rPr>
          <w:rFonts w:hint="eastAsia" w:ascii="宋体" w:hAnsi="宋体" w:eastAsia="宋体" w:cs="宋体"/>
          <w:sz w:val="22"/>
          <w:szCs w:val="22"/>
        </w:rPr>
        <w:fldChar w:fldCharType="separate"/>
      </w:r>
      <w:r>
        <w:rPr>
          <w:rFonts w:hint="eastAsia" w:ascii="宋体" w:hAnsi="宋体" w:eastAsia="宋体" w:cs="宋体"/>
          <w:sz w:val="22"/>
          <w:szCs w:val="22"/>
        </w:rPr>
        <w:t>一、 项目背景</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_Toc21528 \h </w:instrText>
      </w:r>
      <w:r>
        <w:rPr>
          <w:rFonts w:hint="eastAsia" w:ascii="宋体" w:hAnsi="宋体" w:eastAsia="宋体" w:cs="宋体"/>
          <w:sz w:val="22"/>
          <w:szCs w:val="22"/>
        </w:rPr>
        <w:fldChar w:fldCharType="separate"/>
      </w:r>
      <w:r>
        <w:rPr>
          <w:rFonts w:hint="eastAsia" w:ascii="宋体" w:hAnsi="宋体" w:eastAsia="宋体" w:cs="宋体"/>
          <w:sz w:val="22"/>
          <w:szCs w:val="22"/>
        </w:rPr>
        <w:t>44</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25"/>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"_Toc7542" </w:instrText>
      </w:r>
      <w:r>
        <w:rPr>
          <w:rFonts w:hint="eastAsia" w:ascii="宋体" w:hAnsi="宋体" w:eastAsia="宋体" w:cs="宋体"/>
          <w:sz w:val="22"/>
          <w:szCs w:val="22"/>
        </w:rPr>
        <w:fldChar w:fldCharType="separate"/>
      </w:r>
      <w:r>
        <w:rPr>
          <w:rFonts w:hint="eastAsia" w:ascii="宋体" w:hAnsi="宋体" w:eastAsia="宋体" w:cs="宋体"/>
          <w:sz w:val="22"/>
          <w:szCs w:val="22"/>
        </w:rPr>
        <w:t>二、 项目建设内容</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_Toc7542 \h </w:instrText>
      </w:r>
      <w:r>
        <w:rPr>
          <w:rFonts w:hint="eastAsia" w:ascii="宋体" w:hAnsi="宋体" w:eastAsia="宋体" w:cs="宋体"/>
          <w:sz w:val="22"/>
          <w:szCs w:val="22"/>
        </w:rPr>
        <w:fldChar w:fldCharType="separate"/>
      </w:r>
      <w:r>
        <w:rPr>
          <w:rFonts w:hint="eastAsia" w:ascii="宋体" w:hAnsi="宋体" w:eastAsia="宋体" w:cs="宋体"/>
          <w:sz w:val="22"/>
          <w:szCs w:val="22"/>
        </w:rPr>
        <w:t>44</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25"/>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"_Toc20894" </w:instrText>
      </w:r>
      <w:r>
        <w:rPr>
          <w:rFonts w:hint="eastAsia" w:ascii="宋体" w:hAnsi="宋体" w:eastAsia="宋体" w:cs="宋体"/>
          <w:sz w:val="22"/>
          <w:szCs w:val="22"/>
        </w:rPr>
        <w:fldChar w:fldCharType="separate"/>
      </w:r>
      <w:r>
        <w:rPr>
          <w:rFonts w:hint="eastAsia" w:ascii="宋体" w:hAnsi="宋体" w:eastAsia="宋体" w:cs="宋体"/>
          <w:sz w:val="22"/>
          <w:szCs w:val="22"/>
        </w:rPr>
        <w:t>1.1. 建设目标</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_Toc20894 \h </w:instrText>
      </w:r>
      <w:r>
        <w:rPr>
          <w:rFonts w:hint="eastAsia" w:ascii="宋体" w:hAnsi="宋体" w:eastAsia="宋体" w:cs="宋体"/>
          <w:sz w:val="22"/>
          <w:szCs w:val="22"/>
        </w:rPr>
        <w:fldChar w:fldCharType="separate"/>
      </w:r>
      <w:r>
        <w:rPr>
          <w:rFonts w:hint="eastAsia" w:ascii="宋体" w:hAnsi="宋体" w:eastAsia="宋体" w:cs="宋体"/>
          <w:sz w:val="22"/>
          <w:szCs w:val="22"/>
        </w:rPr>
        <w:t>44</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25"/>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"_Toc19916" </w:instrText>
      </w:r>
      <w:r>
        <w:rPr>
          <w:rFonts w:hint="eastAsia" w:ascii="宋体" w:hAnsi="宋体" w:eastAsia="宋体" w:cs="宋体"/>
          <w:sz w:val="22"/>
          <w:szCs w:val="22"/>
        </w:rPr>
        <w:fldChar w:fldCharType="separate"/>
      </w:r>
      <w:r>
        <w:rPr>
          <w:rFonts w:hint="eastAsia" w:ascii="宋体" w:hAnsi="宋体" w:eastAsia="宋体" w:cs="宋体"/>
          <w:bCs/>
          <w:sz w:val="22"/>
          <w:szCs w:val="22"/>
        </w:rPr>
        <w:t>1.2. 采购链建设内容</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_Toc19916 \h </w:instrText>
      </w:r>
      <w:r>
        <w:rPr>
          <w:rFonts w:hint="eastAsia" w:ascii="宋体" w:hAnsi="宋体" w:eastAsia="宋体" w:cs="宋体"/>
          <w:sz w:val="22"/>
          <w:szCs w:val="22"/>
        </w:rPr>
        <w:fldChar w:fldCharType="separate"/>
      </w:r>
      <w:r>
        <w:rPr>
          <w:rFonts w:hint="eastAsia" w:ascii="宋体" w:hAnsi="宋体" w:eastAsia="宋体" w:cs="宋体"/>
          <w:sz w:val="22"/>
          <w:szCs w:val="22"/>
        </w:rPr>
        <w:t>45</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"_Toc29442" </w:instrText>
      </w:r>
      <w:r>
        <w:rPr>
          <w:rFonts w:hint="eastAsia" w:ascii="宋体" w:hAnsi="宋体" w:eastAsia="宋体" w:cs="宋体"/>
          <w:sz w:val="22"/>
          <w:szCs w:val="22"/>
        </w:rPr>
        <w:fldChar w:fldCharType="separate"/>
      </w:r>
      <w:r>
        <w:rPr>
          <w:rFonts w:hint="eastAsia" w:ascii="宋体" w:hAnsi="宋体" w:eastAsia="宋体" w:cs="宋体"/>
          <w:bCs/>
          <w:sz w:val="22"/>
          <w:szCs w:val="22"/>
        </w:rPr>
        <w:t>1.2.1. 供应链平台统一门户网站</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_Toc29442 \h </w:instrText>
      </w:r>
      <w:r>
        <w:rPr>
          <w:rFonts w:hint="eastAsia" w:ascii="宋体" w:hAnsi="宋体" w:eastAsia="宋体" w:cs="宋体"/>
          <w:sz w:val="22"/>
          <w:szCs w:val="22"/>
        </w:rPr>
        <w:fldChar w:fldCharType="separate"/>
      </w:r>
      <w:r>
        <w:rPr>
          <w:rFonts w:hint="eastAsia" w:ascii="宋体" w:hAnsi="宋体" w:eastAsia="宋体" w:cs="宋体"/>
          <w:sz w:val="22"/>
          <w:szCs w:val="22"/>
        </w:rPr>
        <w:t>45</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"_Toc19214" </w:instrText>
      </w:r>
      <w:r>
        <w:rPr>
          <w:rFonts w:hint="eastAsia" w:ascii="宋体" w:hAnsi="宋体" w:eastAsia="宋体" w:cs="宋体"/>
          <w:sz w:val="22"/>
          <w:szCs w:val="22"/>
        </w:rPr>
        <w:fldChar w:fldCharType="separate"/>
      </w:r>
      <w:r>
        <w:rPr>
          <w:rFonts w:hint="eastAsia" w:ascii="宋体" w:hAnsi="宋体" w:eastAsia="宋体" w:cs="宋体"/>
          <w:bCs/>
          <w:sz w:val="22"/>
          <w:szCs w:val="22"/>
        </w:rPr>
        <w:t>1.2.2. 供应商管理</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_Toc19214 \h </w:instrText>
      </w:r>
      <w:r>
        <w:rPr>
          <w:rFonts w:hint="eastAsia" w:ascii="宋体" w:hAnsi="宋体" w:eastAsia="宋体" w:cs="宋体"/>
          <w:sz w:val="22"/>
          <w:szCs w:val="22"/>
        </w:rPr>
        <w:fldChar w:fldCharType="separate"/>
      </w:r>
      <w:r>
        <w:rPr>
          <w:rFonts w:hint="eastAsia" w:ascii="宋体" w:hAnsi="宋体" w:eastAsia="宋体" w:cs="宋体"/>
          <w:sz w:val="22"/>
          <w:szCs w:val="22"/>
        </w:rPr>
        <w:t>45</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"_Toc27918" </w:instrText>
      </w:r>
      <w:r>
        <w:rPr>
          <w:rFonts w:hint="eastAsia" w:ascii="宋体" w:hAnsi="宋体" w:eastAsia="宋体" w:cs="宋体"/>
          <w:sz w:val="22"/>
          <w:szCs w:val="22"/>
        </w:rPr>
        <w:fldChar w:fldCharType="separate"/>
      </w:r>
      <w:r>
        <w:rPr>
          <w:rFonts w:hint="eastAsia" w:ascii="宋体" w:hAnsi="宋体" w:eastAsia="宋体" w:cs="宋体"/>
          <w:bCs/>
          <w:sz w:val="22"/>
          <w:szCs w:val="22"/>
        </w:rPr>
        <w:t>1.2.3. 供应商考评管理</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_Toc27918 \h </w:instrText>
      </w:r>
      <w:r>
        <w:rPr>
          <w:rFonts w:hint="eastAsia" w:ascii="宋体" w:hAnsi="宋体" w:eastAsia="宋体" w:cs="宋体"/>
          <w:sz w:val="22"/>
          <w:szCs w:val="22"/>
        </w:rPr>
        <w:fldChar w:fldCharType="separate"/>
      </w:r>
      <w:r>
        <w:rPr>
          <w:rFonts w:hint="eastAsia" w:ascii="宋体" w:hAnsi="宋体" w:eastAsia="宋体" w:cs="宋体"/>
          <w:sz w:val="22"/>
          <w:szCs w:val="22"/>
        </w:rPr>
        <w:t>46</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"_Toc17681" </w:instrText>
      </w:r>
      <w:r>
        <w:rPr>
          <w:rFonts w:hint="eastAsia" w:ascii="宋体" w:hAnsi="宋体" w:eastAsia="宋体" w:cs="宋体"/>
          <w:sz w:val="22"/>
          <w:szCs w:val="22"/>
        </w:rPr>
        <w:fldChar w:fldCharType="separate"/>
      </w:r>
      <w:r>
        <w:rPr>
          <w:rFonts w:hint="eastAsia" w:ascii="宋体" w:hAnsi="宋体" w:eastAsia="宋体" w:cs="宋体"/>
          <w:bCs/>
          <w:sz w:val="22"/>
          <w:szCs w:val="22"/>
        </w:rPr>
        <w:t>1.2.4. 供应商信息查询和统计</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_Toc17681 \h </w:instrText>
      </w:r>
      <w:r>
        <w:rPr>
          <w:rFonts w:hint="eastAsia" w:ascii="宋体" w:hAnsi="宋体" w:eastAsia="宋体" w:cs="宋体"/>
          <w:sz w:val="22"/>
          <w:szCs w:val="22"/>
        </w:rPr>
        <w:fldChar w:fldCharType="separate"/>
      </w:r>
      <w:r>
        <w:rPr>
          <w:rFonts w:hint="eastAsia" w:ascii="宋体" w:hAnsi="宋体" w:eastAsia="宋体" w:cs="宋体"/>
          <w:sz w:val="22"/>
          <w:szCs w:val="22"/>
        </w:rPr>
        <w:t>46</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"_Toc3503" </w:instrText>
      </w:r>
      <w:r>
        <w:rPr>
          <w:rFonts w:hint="eastAsia" w:ascii="宋体" w:hAnsi="宋体" w:eastAsia="宋体" w:cs="宋体"/>
          <w:sz w:val="22"/>
          <w:szCs w:val="22"/>
        </w:rPr>
        <w:fldChar w:fldCharType="separate"/>
      </w:r>
      <w:r>
        <w:rPr>
          <w:rFonts w:hint="eastAsia" w:ascii="宋体" w:hAnsi="宋体" w:eastAsia="宋体" w:cs="宋体"/>
          <w:bCs/>
          <w:sz w:val="22"/>
          <w:szCs w:val="22"/>
        </w:rPr>
        <w:t>1.2.5. 评标专家管理</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_Toc3503 \h </w:instrText>
      </w:r>
      <w:r>
        <w:rPr>
          <w:rFonts w:hint="eastAsia" w:ascii="宋体" w:hAnsi="宋体" w:eastAsia="宋体" w:cs="宋体"/>
          <w:sz w:val="22"/>
          <w:szCs w:val="22"/>
        </w:rPr>
        <w:fldChar w:fldCharType="separate"/>
      </w:r>
      <w:r>
        <w:rPr>
          <w:rFonts w:hint="eastAsia" w:ascii="宋体" w:hAnsi="宋体" w:eastAsia="宋体" w:cs="宋体"/>
          <w:sz w:val="22"/>
          <w:szCs w:val="22"/>
        </w:rPr>
        <w:t>46</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"_Toc25040" </w:instrText>
      </w:r>
      <w:r>
        <w:rPr>
          <w:rFonts w:hint="eastAsia" w:ascii="宋体" w:hAnsi="宋体" w:eastAsia="宋体" w:cs="宋体"/>
          <w:sz w:val="22"/>
          <w:szCs w:val="22"/>
        </w:rPr>
        <w:fldChar w:fldCharType="separate"/>
      </w:r>
      <w:r>
        <w:rPr>
          <w:rFonts w:hint="eastAsia" w:ascii="宋体" w:hAnsi="宋体" w:eastAsia="宋体" w:cs="宋体"/>
          <w:bCs/>
          <w:sz w:val="22"/>
          <w:szCs w:val="22"/>
        </w:rPr>
        <w:t>1.2.6. 专家抽取</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_Toc25040 \h </w:instrText>
      </w:r>
      <w:r>
        <w:rPr>
          <w:rFonts w:hint="eastAsia" w:ascii="宋体" w:hAnsi="宋体" w:eastAsia="宋体" w:cs="宋体"/>
          <w:sz w:val="22"/>
          <w:szCs w:val="22"/>
        </w:rPr>
        <w:fldChar w:fldCharType="separate"/>
      </w:r>
      <w:r>
        <w:rPr>
          <w:rFonts w:hint="eastAsia" w:ascii="宋体" w:hAnsi="宋体" w:eastAsia="宋体" w:cs="宋体"/>
          <w:sz w:val="22"/>
          <w:szCs w:val="22"/>
        </w:rPr>
        <w:t>47</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"_Toc19137" </w:instrText>
      </w:r>
      <w:r>
        <w:rPr>
          <w:rFonts w:hint="eastAsia" w:ascii="宋体" w:hAnsi="宋体" w:eastAsia="宋体" w:cs="宋体"/>
          <w:sz w:val="22"/>
          <w:szCs w:val="22"/>
        </w:rPr>
        <w:fldChar w:fldCharType="separate"/>
      </w:r>
      <w:r>
        <w:rPr>
          <w:rFonts w:hint="eastAsia" w:ascii="宋体" w:hAnsi="宋体" w:eastAsia="宋体" w:cs="宋体"/>
          <w:bCs/>
          <w:sz w:val="22"/>
          <w:szCs w:val="22"/>
        </w:rPr>
        <w:t>1.2.7. 专家请假管理</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_Toc19137 \h </w:instrText>
      </w:r>
      <w:r>
        <w:rPr>
          <w:rFonts w:hint="eastAsia" w:ascii="宋体" w:hAnsi="宋体" w:eastAsia="宋体" w:cs="宋体"/>
          <w:sz w:val="22"/>
          <w:szCs w:val="22"/>
        </w:rPr>
        <w:fldChar w:fldCharType="separate"/>
      </w:r>
      <w:r>
        <w:rPr>
          <w:rFonts w:hint="eastAsia" w:ascii="宋体" w:hAnsi="宋体" w:eastAsia="宋体" w:cs="宋体"/>
          <w:sz w:val="22"/>
          <w:szCs w:val="22"/>
        </w:rPr>
        <w:t>47</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"_Toc10547" </w:instrText>
      </w:r>
      <w:r>
        <w:rPr>
          <w:rFonts w:hint="eastAsia" w:ascii="宋体" w:hAnsi="宋体" w:eastAsia="宋体" w:cs="宋体"/>
          <w:sz w:val="22"/>
          <w:szCs w:val="22"/>
        </w:rPr>
        <w:fldChar w:fldCharType="separate"/>
      </w:r>
      <w:r>
        <w:rPr>
          <w:rFonts w:hint="eastAsia" w:ascii="宋体" w:hAnsi="宋体" w:eastAsia="宋体" w:cs="宋体"/>
          <w:bCs/>
          <w:sz w:val="22"/>
          <w:szCs w:val="22"/>
        </w:rPr>
        <w:t>1.2.8. 招标采购管理</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_Toc10547 \h </w:instrText>
      </w:r>
      <w:r>
        <w:rPr>
          <w:rFonts w:hint="eastAsia" w:ascii="宋体" w:hAnsi="宋体" w:eastAsia="宋体" w:cs="宋体"/>
          <w:sz w:val="22"/>
          <w:szCs w:val="22"/>
        </w:rPr>
        <w:fldChar w:fldCharType="separate"/>
      </w:r>
      <w:r>
        <w:rPr>
          <w:rFonts w:hint="eastAsia" w:ascii="宋体" w:hAnsi="宋体" w:eastAsia="宋体" w:cs="宋体"/>
          <w:sz w:val="22"/>
          <w:szCs w:val="22"/>
        </w:rPr>
        <w:t>47</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"_Toc1486" </w:instrText>
      </w:r>
      <w:r>
        <w:rPr>
          <w:rFonts w:hint="eastAsia" w:ascii="宋体" w:hAnsi="宋体" w:eastAsia="宋体" w:cs="宋体"/>
          <w:sz w:val="22"/>
          <w:szCs w:val="22"/>
        </w:rPr>
        <w:fldChar w:fldCharType="separate"/>
      </w:r>
      <w:r>
        <w:rPr>
          <w:rFonts w:hint="eastAsia" w:ascii="宋体" w:hAnsi="宋体" w:eastAsia="宋体" w:cs="宋体"/>
          <w:bCs/>
          <w:sz w:val="22"/>
          <w:szCs w:val="22"/>
        </w:rPr>
        <w:t>1.2.9. 非招标采购管理</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_Toc1486 \h </w:instrText>
      </w:r>
      <w:r>
        <w:rPr>
          <w:rFonts w:hint="eastAsia" w:ascii="宋体" w:hAnsi="宋体" w:eastAsia="宋体" w:cs="宋体"/>
          <w:sz w:val="22"/>
          <w:szCs w:val="22"/>
        </w:rPr>
        <w:fldChar w:fldCharType="separate"/>
      </w:r>
      <w:r>
        <w:rPr>
          <w:rFonts w:hint="eastAsia" w:ascii="宋体" w:hAnsi="宋体" w:eastAsia="宋体" w:cs="宋体"/>
          <w:sz w:val="22"/>
          <w:szCs w:val="22"/>
        </w:rPr>
        <w:t>54</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"_Toc30551" </w:instrText>
      </w:r>
      <w:r>
        <w:rPr>
          <w:rFonts w:hint="eastAsia" w:ascii="宋体" w:hAnsi="宋体" w:eastAsia="宋体" w:cs="宋体"/>
          <w:sz w:val="22"/>
          <w:szCs w:val="22"/>
        </w:rPr>
        <w:fldChar w:fldCharType="separate"/>
      </w:r>
      <w:r>
        <w:rPr>
          <w:rFonts w:hint="eastAsia" w:ascii="宋体" w:hAnsi="宋体" w:eastAsia="宋体" w:cs="宋体"/>
          <w:bCs/>
          <w:sz w:val="22"/>
          <w:szCs w:val="22"/>
        </w:rPr>
        <w:t>1.2.10. 协议采购管理</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_Toc30551 \h </w:instrText>
      </w:r>
      <w:r>
        <w:rPr>
          <w:rFonts w:hint="eastAsia" w:ascii="宋体" w:hAnsi="宋体" w:eastAsia="宋体" w:cs="宋体"/>
          <w:sz w:val="22"/>
          <w:szCs w:val="22"/>
        </w:rPr>
        <w:fldChar w:fldCharType="separate"/>
      </w:r>
      <w:r>
        <w:rPr>
          <w:rFonts w:hint="eastAsia" w:ascii="宋体" w:hAnsi="宋体" w:eastAsia="宋体" w:cs="宋体"/>
          <w:sz w:val="22"/>
          <w:szCs w:val="22"/>
        </w:rPr>
        <w:t>55</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"_Toc32542" </w:instrText>
      </w:r>
      <w:r>
        <w:rPr>
          <w:rFonts w:hint="eastAsia" w:ascii="宋体" w:hAnsi="宋体" w:eastAsia="宋体" w:cs="宋体"/>
          <w:sz w:val="22"/>
          <w:szCs w:val="22"/>
        </w:rPr>
        <w:fldChar w:fldCharType="separate"/>
      </w:r>
      <w:r>
        <w:rPr>
          <w:rFonts w:hint="eastAsia" w:ascii="宋体" w:hAnsi="宋体" w:eastAsia="宋体" w:cs="宋体"/>
          <w:bCs/>
          <w:sz w:val="22"/>
          <w:szCs w:val="22"/>
        </w:rPr>
        <w:t>1.2.11. 商城系统</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_Toc32542 \h </w:instrText>
      </w:r>
      <w:r>
        <w:rPr>
          <w:rFonts w:hint="eastAsia" w:ascii="宋体" w:hAnsi="宋体" w:eastAsia="宋体" w:cs="宋体"/>
          <w:sz w:val="22"/>
          <w:szCs w:val="22"/>
        </w:rPr>
        <w:fldChar w:fldCharType="separate"/>
      </w:r>
      <w:r>
        <w:rPr>
          <w:rFonts w:hint="eastAsia" w:ascii="宋体" w:hAnsi="宋体" w:eastAsia="宋体" w:cs="宋体"/>
          <w:sz w:val="22"/>
          <w:szCs w:val="22"/>
        </w:rPr>
        <w:t>55</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"_Toc15185" </w:instrText>
      </w:r>
      <w:r>
        <w:rPr>
          <w:rFonts w:hint="eastAsia" w:ascii="宋体" w:hAnsi="宋体" w:eastAsia="宋体" w:cs="宋体"/>
          <w:sz w:val="22"/>
          <w:szCs w:val="22"/>
        </w:rPr>
        <w:fldChar w:fldCharType="separate"/>
      </w:r>
      <w:r>
        <w:rPr>
          <w:rFonts w:hint="eastAsia" w:ascii="宋体" w:hAnsi="宋体" w:eastAsia="宋体" w:cs="宋体"/>
          <w:bCs/>
          <w:sz w:val="22"/>
          <w:szCs w:val="22"/>
        </w:rPr>
        <w:t>1.2.12. 合同模板管理</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_Toc15185 \h </w:instrText>
      </w:r>
      <w:r>
        <w:rPr>
          <w:rFonts w:hint="eastAsia" w:ascii="宋体" w:hAnsi="宋体" w:eastAsia="宋体" w:cs="宋体"/>
          <w:sz w:val="22"/>
          <w:szCs w:val="22"/>
        </w:rPr>
        <w:fldChar w:fldCharType="separate"/>
      </w:r>
      <w:r>
        <w:rPr>
          <w:rFonts w:hint="eastAsia" w:ascii="宋体" w:hAnsi="宋体" w:eastAsia="宋体" w:cs="宋体"/>
          <w:sz w:val="22"/>
          <w:szCs w:val="22"/>
        </w:rPr>
        <w:t>56</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"_Toc4624" </w:instrText>
      </w:r>
      <w:r>
        <w:rPr>
          <w:rFonts w:hint="eastAsia" w:ascii="宋体" w:hAnsi="宋体" w:eastAsia="宋体" w:cs="宋体"/>
          <w:sz w:val="22"/>
          <w:szCs w:val="22"/>
        </w:rPr>
        <w:fldChar w:fldCharType="separate"/>
      </w:r>
      <w:r>
        <w:rPr>
          <w:rFonts w:hint="eastAsia" w:ascii="宋体" w:hAnsi="宋体" w:eastAsia="宋体" w:cs="宋体"/>
          <w:bCs/>
          <w:sz w:val="22"/>
          <w:szCs w:val="22"/>
        </w:rPr>
        <w:t>1.2.13. 合同管理</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_Toc4624 \h </w:instrText>
      </w:r>
      <w:r>
        <w:rPr>
          <w:rFonts w:hint="eastAsia" w:ascii="宋体" w:hAnsi="宋体" w:eastAsia="宋体" w:cs="宋体"/>
          <w:sz w:val="22"/>
          <w:szCs w:val="22"/>
        </w:rPr>
        <w:fldChar w:fldCharType="separate"/>
      </w:r>
      <w:r>
        <w:rPr>
          <w:rFonts w:hint="eastAsia" w:ascii="宋体" w:hAnsi="宋体" w:eastAsia="宋体" w:cs="宋体"/>
          <w:sz w:val="22"/>
          <w:szCs w:val="22"/>
        </w:rPr>
        <w:t>57</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"_Toc6658" </w:instrText>
      </w:r>
      <w:r>
        <w:rPr>
          <w:rFonts w:hint="eastAsia" w:ascii="宋体" w:hAnsi="宋体" w:eastAsia="宋体" w:cs="宋体"/>
          <w:sz w:val="22"/>
          <w:szCs w:val="22"/>
        </w:rPr>
        <w:fldChar w:fldCharType="separate"/>
      </w:r>
      <w:r>
        <w:rPr>
          <w:rFonts w:hint="eastAsia" w:ascii="宋体" w:hAnsi="宋体" w:eastAsia="宋体" w:cs="宋体"/>
          <w:bCs/>
          <w:sz w:val="22"/>
          <w:szCs w:val="22"/>
        </w:rPr>
        <w:t>1.2.14. 归档管理</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_Toc6658 \h </w:instrText>
      </w:r>
      <w:r>
        <w:rPr>
          <w:rFonts w:hint="eastAsia" w:ascii="宋体" w:hAnsi="宋体" w:eastAsia="宋体" w:cs="宋体"/>
          <w:sz w:val="22"/>
          <w:szCs w:val="22"/>
        </w:rPr>
        <w:fldChar w:fldCharType="separate"/>
      </w:r>
      <w:r>
        <w:rPr>
          <w:rFonts w:hint="eastAsia" w:ascii="宋体" w:hAnsi="宋体" w:eastAsia="宋体" w:cs="宋体"/>
          <w:sz w:val="22"/>
          <w:szCs w:val="22"/>
        </w:rPr>
        <w:t>57</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"_Toc4878" </w:instrText>
      </w:r>
      <w:r>
        <w:rPr>
          <w:rFonts w:hint="eastAsia" w:ascii="宋体" w:hAnsi="宋体" w:eastAsia="宋体" w:cs="宋体"/>
          <w:sz w:val="22"/>
          <w:szCs w:val="22"/>
        </w:rPr>
        <w:fldChar w:fldCharType="separate"/>
      </w:r>
      <w:r>
        <w:rPr>
          <w:rFonts w:hint="eastAsia" w:ascii="宋体" w:hAnsi="宋体" w:eastAsia="宋体" w:cs="宋体"/>
          <w:bCs/>
          <w:sz w:val="22"/>
          <w:szCs w:val="22"/>
        </w:rPr>
        <w:t>1.2.15. 采购监督管理</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_Toc4878 \h </w:instrText>
      </w:r>
      <w:r>
        <w:rPr>
          <w:rFonts w:hint="eastAsia" w:ascii="宋体" w:hAnsi="宋体" w:eastAsia="宋体" w:cs="宋体"/>
          <w:sz w:val="22"/>
          <w:szCs w:val="22"/>
        </w:rPr>
        <w:fldChar w:fldCharType="separate"/>
      </w:r>
      <w:r>
        <w:rPr>
          <w:rFonts w:hint="eastAsia" w:ascii="宋体" w:hAnsi="宋体" w:eastAsia="宋体" w:cs="宋体"/>
          <w:sz w:val="22"/>
          <w:szCs w:val="22"/>
        </w:rPr>
        <w:t>57</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"_Toc5358" </w:instrText>
      </w:r>
      <w:r>
        <w:rPr>
          <w:rFonts w:hint="eastAsia" w:ascii="宋体" w:hAnsi="宋体" w:eastAsia="宋体" w:cs="宋体"/>
          <w:sz w:val="22"/>
          <w:szCs w:val="22"/>
        </w:rPr>
        <w:fldChar w:fldCharType="separate"/>
      </w:r>
      <w:r>
        <w:rPr>
          <w:rFonts w:hint="eastAsia" w:ascii="宋体" w:hAnsi="宋体" w:eastAsia="宋体" w:cs="宋体"/>
          <w:bCs/>
          <w:sz w:val="22"/>
          <w:szCs w:val="22"/>
        </w:rPr>
        <w:t>1.2.16. 采购时效管理</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_Toc5358 \h </w:instrText>
      </w:r>
      <w:r>
        <w:rPr>
          <w:rFonts w:hint="eastAsia" w:ascii="宋体" w:hAnsi="宋体" w:eastAsia="宋体" w:cs="宋体"/>
          <w:sz w:val="22"/>
          <w:szCs w:val="22"/>
        </w:rPr>
        <w:fldChar w:fldCharType="separate"/>
      </w:r>
      <w:r>
        <w:rPr>
          <w:rFonts w:hint="eastAsia" w:ascii="宋体" w:hAnsi="宋体" w:eastAsia="宋体" w:cs="宋体"/>
          <w:sz w:val="22"/>
          <w:szCs w:val="22"/>
        </w:rPr>
        <w:t>58</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"_Toc10549" </w:instrText>
      </w:r>
      <w:r>
        <w:rPr>
          <w:rFonts w:hint="eastAsia" w:ascii="宋体" w:hAnsi="宋体" w:eastAsia="宋体" w:cs="宋体"/>
          <w:sz w:val="22"/>
          <w:szCs w:val="22"/>
        </w:rPr>
        <w:fldChar w:fldCharType="separate"/>
      </w:r>
      <w:r>
        <w:rPr>
          <w:rFonts w:hint="eastAsia" w:ascii="宋体" w:hAnsi="宋体" w:eastAsia="宋体" w:cs="宋体"/>
          <w:bCs/>
          <w:sz w:val="22"/>
          <w:szCs w:val="22"/>
        </w:rPr>
        <w:t>1.2.17. 基础支撑</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_Toc10549 \h </w:instrText>
      </w:r>
      <w:r>
        <w:rPr>
          <w:rFonts w:hint="eastAsia" w:ascii="宋体" w:hAnsi="宋体" w:eastAsia="宋体" w:cs="宋体"/>
          <w:sz w:val="22"/>
          <w:szCs w:val="22"/>
        </w:rPr>
        <w:fldChar w:fldCharType="separate"/>
      </w:r>
      <w:r>
        <w:rPr>
          <w:rFonts w:hint="eastAsia" w:ascii="宋体" w:hAnsi="宋体" w:eastAsia="宋体" w:cs="宋体"/>
          <w:sz w:val="22"/>
          <w:szCs w:val="22"/>
        </w:rPr>
        <w:t>58</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"_Toc15325" </w:instrText>
      </w:r>
      <w:r>
        <w:rPr>
          <w:rFonts w:hint="eastAsia" w:ascii="宋体" w:hAnsi="宋体" w:eastAsia="宋体" w:cs="宋体"/>
          <w:sz w:val="22"/>
          <w:szCs w:val="22"/>
        </w:rPr>
        <w:fldChar w:fldCharType="separate"/>
      </w:r>
      <w:r>
        <w:rPr>
          <w:rFonts w:hint="eastAsia" w:ascii="宋体" w:hAnsi="宋体" w:eastAsia="宋体" w:cs="宋体"/>
          <w:bCs/>
          <w:sz w:val="22"/>
          <w:szCs w:val="22"/>
        </w:rPr>
        <w:t>1.2.18. 移动应用</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_Toc15325 \h </w:instrText>
      </w:r>
      <w:r>
        <w:rPr>
          <w:rFonts w:hint="eastAsia" w:ascii="宋体" w:hAnsi="宋体" w:eastAsia="宋体" w:cs="宋体"/>
          <w:sz w:val="22"/>
          <w:szCs w:val="22"/>
        </w:rPr>
        <w:fldChar w:fldCharType="separate"/>
      </w:r>
      <w:r>
        <w:rPr>
          <w:rFonts w:hint="eastAsia" w:ascii="宋体" w:hAnsi="宋体" w:eastAsia="宋体" w:cs="宋体"/>
          <w:sz w:val="22"/>
          <w:szCs w:val="22"/>
        </w:rPr>
        <w:t>59</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"_Toc32215" </w:instrText>
      </w:r>
      <w:r>
        <w:rPr>
          <w:rFonts w:hint="eastAsia" w:ascii="宋体" w:hAnsi="宋体" w:eastAsia="宋体" w:cs="宋体"/>
          <w:sz w:val="22"/>
          <w:szCs w:val="22"/>
        </w:rPr>
        <w:fldChar w:fldCharType="separate"/>
      </w:r>
      <w:r>
        <w:rPr>
          <w:rFonts w:hint="eastAsia" w:ascii="宋体" w:hAnsi="宋体" w:eastAsia="宋体" w:cs="宋体"/>
          <w:bCs/>
          <w:sz w:val="22"/>
          <w:szCs w:val="22"/>
        </w:rPr>
        <w:t>1.2.19. 接口集成</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_Toc32215 \h </w:instrText>
      </w:r>
      <w:r>
        <w:rPr>
          <w:rFonts w:hint="eastAsia" w:ascii="宋体" w:hAnsi="宋体" w:eastAsia="宋体" w:cs="宋体"/>
          <w:sz w:val="22"/>
          <w:szCs w:val="22"/>
        </w:rPr>
        <w:fldChar w:fldCharType="separate"/>
      </w:r>
      <w:r>
        <w:rPr>
          <w:rFonts w:hint="eastAsia" w:ascii="宋体" w:hAnsi="宋体" w:eastAsia="宋体" w:cs="宋体"/>
          <w:sz w:val="22"/>
          <w:szCs w:val="22"/>
        </w:rPr>
        <w:t>60</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25"/>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"_Toc20676" </w:instrText>
      </w:r>
      <w:r>
        <w:rPr>
          <w:rFonts w:hint="eastAsia" w:ascii="宋体" w:hAnsi="宋体" w:eastAsia="宋体" w:cs="宋体"/>
          <w:sz w:val="22"/>
          <w:szCs w:val="22"/>
        </w:rPr>
        <w:fldChar w:fldCharType="separate"/>
      </w:r>
      <w:r>
        <w:rPr>
          <w:rFonts w:hint="eastAsia" w:ascii="宋体" w:hAnsi="宋体" w:eastAsia="宋体" w:cs="宋体"/>
          <w:bCs/>
          <w:sz w:val="22"/>
          <w:szCs w:val="22"/>
        </w:rPr>
        <w:t>1.3. 物资链建设内容</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_Toc20676 \h </w:instrText>
      </w:r>
      <w:r>
        <w:rPr>
          <w:rFonts w:hint="eastAsia" w:ascii="宋体" w:hAnsi="宋体" w:eastAsia="宋体" w:cs="宋体"/>
          <w:sz w:val="22"/>
          <w:szCs w:val="22"/>
        </w:rPr>
        <w:fldChar w:fldCharType="separate"/>
      </w:r>
      <w:r>
        <w:rPr>
          <w:rFonts w:hint="eastAsia" w:ascii="宋体" w:hAnsi="宋体" w:eastAsia="宋体" w:cs="宋体"/>
          <w:sz w:val="22"/>
          <w:szCs w:val="22"/>
        </w:rPr>
        <w:t>61</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"_Toc14685" </w:instrText>
      </w:r>
      <w:r>
        <w:rPr>
          <w:rFonts w:hint="eastAsia" w:ascii="宋体" w:hAnsi="宋体" w:eastAsia="宋体" w:cs="宋体"/>
          <w:sz w:val="22"/>
          <w:szCs w:val="22"/>
        </w:rPr>
        <w:fldChar w:fldCharType="separate"/>
      </w:r>
      <w:r>
        <w:rPr>
          <w:rFonts w:hint="eastAsia" w:ascii="宋体" w:hAnsi="宋体" w:eastAsia="宋体" w:cs="宋体"/>
          <w:bCs/>
          <w:sz w:val="22"/>
          <w:szCs w:val="22"/>
        </w:rPr>
        <w:t>1.3.1. 物资管理</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_Toc14685 \h </w:instrText>
      </w:r>
      <w:r>
        <w:rPr>
          <w:rFonts w:hint="eastAsia" w:ascii="宋体" w:hAnsi="宋体" w:eastAsia="宋体" w:cs="宋体"/>
          <w:sz w:val="22"/>
          <w:szCs w:val="22"/>
        </w:rPr>
        <w:fldChar w:fldCharType="separate"/>
      </w:r>
      <w:r>
        <w:rPr>
          <w:rFonts w:hint="eastAsia" w:ascii="宋体" w:hAnsi="宋体" w:eastAsia="宋体" w:cs="宋体"/>
          <w:sz w:val="22"/>
          <w:szCs w:val="22"/>
        </w:rPr>
        <w:t>61</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"_Toc6047" </w:instrText>
      </w:r>
      <w:r>
        <w:rPr>
          <w:rFonts w:hint="eastAsia" w:ascii="宋体" w:hAnsi="宋体" w:eastAsia="宋体" w:cs="宋体"/>
          <w:sz w:val="22"/>
          <w:szCs w:val="22"/>
        </w:rPr>
        <w:fldChar w:fldCharType="separate"/>
      </w:r>
      <w:r>
        <w:rPr>
          <w:rFonts w:hint="eastAsia" w:ascii="宋体" w:hAnsi="宋体" w:eastAsia="宋体" w:cs="宋体"/>
          <w:bCs/>
          <w:sz w:val="22"/>
          <w:szCs w:val="22"/>
        </w:rPr>
        <w:t>1.3.2. 需求管理</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_Toc6047 \h </w:instrText>
      </w:r>
      <w:r>
        <w:rPr>
          <w:rFonts w:hint="eastAsia" w:ascii="宋体" w:hAnsi="宋体" w:eastAsia="宋体" w:cs="宋体"/>
          <w:sz w:val="22"/>
          <w:szCs w:val="22"/>
        </w:rPr>
        <w:fldChar w:fldCharType="separate"/>
      </w:r>
      <w:r>
        <w:rPr>
          <w:rFonts w:hint="eastAsia" w:ascii="宋体" w:hAnsi="宋体" w:eastAsia="宋体" w:cs="宋体"/>
          <w:sz w:val="22"/>
          <w:szCs w:val="22"/>
        </w:rPr>
        <w:t>61</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"_Toc16423" </w:instrText>
      </w:r>
      <w:r>
        <w:rPr>
          <w:rFonts w:hint="eastAsia" w:ascii="宋体" w:hAnsi="宋体" w:eastAsia="宋体" w:cs="宋体"/>
          <w:sz w:val="22"/>
          <w:szCs w:val="22"/>
        </w:rPr>
        <w:fldChar w:fldCharType="separate"/>
      </w:r>
      <w:r>
        <w:rPr>
          <w:rFonts w:hint="eastAsia" w:ascii="宋体" w:hAnsi="宋体" w:eastAsia="宋体" w:cs="宋体"/>
          <w:bCs/>
          <w:sz w:val="22"/>
          <w:szCs w:val="22"/>
        </w:rPr>
        <w:t>1.3.3. 合同履约管理</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_Toc16423 \h </w:instrText>
      </w:r>
      <w:r>
        <w:rPr>
          <w:rFonts w:hint="eastAsia" w:ascii="宋体" w:hAnsi="宋体" w:eastAsia="宋体" w:cs="宋体"/>
          <w:sz w:val="22"/>
          <w:szCs w:val="22"/>
        </w:rPr>
        <w:fldChar w:fldCharType="separate"/>
      </w:r>
      <w:r>
        <w:rPr>
          <w:rFonts w:hint="eastAsia" w:ascii="宋体" w:hAnsi="宋体" w:eastAsia="宋体" w:cs="宋体"/>
          <w:sz w:val="22"/>
          <w:szCs w:val="22"/>
        </w:rPr>
        <w:t>61</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"_Toc6747" </w:instrText>
      </w:r>
      <w:r>
        <w:rPr>
          <w:rFonts w:hint="eastAsia" w:ascii="宋体" w:hAnsi="宋体" w:eastAsia="宋体" w:cs="宋体"/>
          <w:sz w:val="22"/>
          <w:szCs w:val="22"/>
        </w:rPr>
        <w:fldChar w:fldCharType="separate"/>
      </w:r>
      <w:r>
        <w:rPr>
          <w:rFonts w:hint="eastAsia" w:ascii="宋体" w:hAnsi="宋体" w:eastAsia="宋体" w:cs="宋体"/>
          <w:bCs/>
          <w:sz w:val="22"/>
          <w:szCs w:val="22"/>
        </w:rPr>
        <w:t>1.3.4. 仓储管理</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_Toc6747 \h </w:instrText>
      </w:r>
      <w:r>
        <w:rPr>
          <w:rFonts w:hint="eastAsia" w:ascii="宋体" w:hAnsi="宋体" w:eastAsia="宋体" w:cs="宋体"/>
          <w:sz w:val="22"/>
          <w:szCs w:val="22"/>
        </w:rPr>
        <w:fldChar w:fldCharType="separate"/>
      </w:r>
      <w:r>
        <w:rPr>
          <w:rFonts w:hint="eastAsia" w:ascii="宋体" w:hAnsi="宋体" w:eastAsia="宋体" w:cs="宋体"/>
          <w:sz w:val="22"/>
          <w:szCs w:val="22"/>
        </w:rPr>
        <w:t>62</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25"/>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"_Toc30535" </w:instrText>
      </w:r>
      <w:r>
        <w:rPr>
          <w:rFonts w:hint="eastAsia" w:ascii="宋体" w:hAnsi="宋体" w:eastAsia="宋体" w:cs="宋体"/>
          <w:sz w:val="22"/>
          <w:szCs w:val="22"/>
        </w:rPr>
        <w:fldChar w:fldCharType="separate"/>
      </w:r>
      <w:r>
        <w:rPr>
          <w:rFonts w:hint="eastAsia" w:ascii="宋体" w:hAnsi="宋体" w:eastAsia="宋体" w:cs="宋体"/>
          <w:bCs/>
          <w:sz w:val="22"/>
          <w:szCs w:val="22"/>
        </w:rPr>
        <w:t>1.4. 信息链建设内容</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_Toc30535 \h </w:instrText>
      </w:r>
      <w:r>
        <w:rPr>
          <w:rFonts w:hint="eastAsia" w:ascii="宋体" w:hAnsi="宋体" w:eastAsia="宋体" w:cs="宋体"/>
          <w:sz w:val="22"/>
          <w:szCs w:val="22"/>
        </w:rPr>
        <w:fldChar w:fldCharType="separate"/>
      </w:r>
      <w:r>
        <w:rPr>
          <w:rFonts w:hint="eastAsia" w:ascii="宋体" w:hAnsi="宋体" w:eastAsia="宋体" w:cs="宋体"/>
          <w:sz w:val="22"/>
          <w:szCs w:val="22"/>
        </w:rPr>
        <w:t>63</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"_Toc10520" </w:instrText>
      </w:r>
      <w:r>
        <w:rPr>
          <w:rFonts w:hint="eastAsia" w:ascii="宋体" w:hAnsi="宋体" w:eastAsia="宋体" w:cs="宋体"/>
          <w:sz w:val="22"/>
          <w:szCs w:val="22"/>
        </w:rPr>
        <w:fldChar w:fldCharType="separate"/>
      </w:r>
      <w:r>
        <w:rPr>
          <w:rFonts w:hint="eastAsia" w:ascii="宋体" w:hAnsi="宋体" w:eastAsia="宋体" w:cs="宋体"/>
          <w:bCs/>
          <w:sz w:val="22"/>
          <w:szCs w:val="22"/>
        </w:rPr>
        <w:t>1.4.1. 驾驶舱</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_Toc10520 \h </w:instrText>
      </w:r>
      <w:r>
        <w:rPr>
          <w:rFonts w:hint="eastAsia" w:ascii="宋体" w:hAnsi="宋体" w:eastAsia="宋体" w:cs="宋体"/>
          <w:sz w:val="22"/>
          <w:szCs w:val="22"/>
        </w:rPr>
        <w:fldChar w:fldCharType="separate"/>
      </w:r>
      <w:r>
        <w:rPr>
          <w:rFonts w:hint="eastAsia" w:ascii="宋体" w:hAnsi="宋体" w:eastAsia="宋体" w:cs="宋体"/>
          <w:sz w:val="22"/>
          <w:szCs w:val="22"/>
        </w:rPr>
        <w:t>63</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"_Toc22615" </w:instrText>
      </w:r>
      <w:r>
        <w:rPr>
          <w:rFonts w:hint="eastAsia" w:ascii="宋体" w:hAnsi="宋体" w:eastAsia="宋体" w:cs="宋体"/>
          <w:sz w:val="22"/>
          <w:szCs w:val="22"/>
        </w:rPr>
        <w:fldChar w:fldCharType="separate"/>
      </w:r>
      <w:r>
        <w:rPr>
          <w:rFonts w:hint="eastAsia" w:ascii="宋体" w:hAnsi="宋体" w:eastAsia="宋体" w:cs="宋体"/>
          <w:bCs/>
          <w:sz w:val="22"/>
          <w:szCs w:val="22"/>
        </w:rPr>
        <w:t>1.4.2. 用户画像</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_Toc22615 \h </w:instrText>
      </w:r>
      <w:r>
        <w:rPr>
          <w:rFonts w:hint="eastAsia" w:ascii="宋体" w:hAnsi="宋体" w:eastAsia="宋体" w:cs="宋体"/>
          <w:sz w:val="22"/>
          <w:szCs w:val="22"/>
        </w:rPr>
        <w:fldChar w:fldCharType="separate"/>
      </w:r>
      <w:r>
        <w:rPr>
          <w:rFonts w:hint="eastAsia" w:ascii="宋体" w:hAnsi="宋体" w:eastAsia="宋体" w:cs="宋体"/>
          <w:sz w:val="22"/>
          <w:szCs w:val="22"/>
        </w:rPr>
        <w:t>64</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"_Toc24885" </w:instrText>
      </w:r>
      <w:r>
        <w:rPr>
          <w:rFonts w:hint="eastAsia" w:ascii="宋体" w:hAnsi="宋体" w:eastAsia="宋体" w:cs="宋体"/>
          <w:sz w:val="22"/>
          <w:szCs w:val="22"/>
        </w:rPr>
        <w:fldChar w:fldCharType="separate"/>
      </w:r>
      <w:r>
        <w:rPr>
          <w:rFonts w:hint="eastAsia" w:ascii="宋体" w:hAnsi="宋体" w:eastAsia="宋体" w:cs="宋体"/>
          <w:bCs/>
          <w:sz w:val="22"/>
          <w:szCs w:val="22"/>
        </w:rPr>
        <w:t>1.4.3. 供应链全过程标准数据接口</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_Toc24885 \h </w:instrText>
      </w:r>
      <w:r>
        <w:rPr>
          <w:rFonts w:hint="eastAsia" w:ascii="宋体" w:hAnsi="宋体" w:eastAsia="宋体" w:cs="宋体"/>
          <w:sz w:val="22"/>
          <w:szCs w:val="22"/>
        </w:rPr>
        <w:fldChar w:fldCharType="separate"/>
      </w:r>
      <w:r>
        <w:rPr>
          <w:rFonts w:hint="eastAsia" w:ascii="宋体" w:hAnsi="宋体" w:eastAsia="宋体" w:cs="宋体"/>
          <w:sz w:val="22"/>
          <w:szCs w:val="22"/>
        </w:rPr>
        <w:t>65</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25"/>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"_Toc6668" </w:instrText>
      </w:r>
      <w:r>
        <w:rPr>
          <w:rFonts w:hint="eastAsia" w:ascii="宋体" w:hAnsi="宋体" w:eastAsia="宋体" w:cs="宋体"/>
          <w:sz w:val="22"/>
          <w:szCs w:val="22"/>
        </w:rPr>
        <w:fldChar w:fldCharType="separate"/>
      </w:r>
      <w:r>
        <w:rPr>
          <w:rFonts w:hint="eastAsia" w:ascii="宋体" w:hAnsi="宋体" w:eastAsia="宋体" w:cs="宋体"/>
          <w:sz w:val="22"/>
          <w:szCs w:val="22"/>
        </w:rPr>
        <w:t>1.5. ★技术要求</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_Toc6668 \h </w:instrText>
      </w:r>
      <w:r>
        <w:rPr>
          <w:rFonts w:hint="eastAsia" w:ascii="宋体" w:hAnsi="宋体" w:eastAsia="宋体" w:cs="宋体"/>
          <w:sz w:val="22"/>
          <w:szCs w:val="22"/>
        </w:rPr>
        <w:fldChar w:fldCharType="separate"/>
      </w:r>
      <w:r>
        <w:rPr>
          <w:rFonts w:hint="eastAsia" w:ascii="宋体" w:hAnsi="宋体" w:eastAsia="宋体" w:cs="宋体"/>
          <w:sz w:val="22"/>
          <w:szCs w:val="22"/>
        </w:rPr>
        <w:t>65</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"_Toc19440" </w:instrText>
      </w:r>
      <w:r>
        <w:rPr>
          <w:rFonts w:hint="eastAsia" w:ascii="宋体" w:hAnsi="宋体" w:eastAsia="宋体" w:cs="宋体"/>
          <w:sz w:val="22"/>
          <w:szCs w:val="22"/>
        </w:rPr>
        <w:fldChar w:fldCharType="separate"/>
      </w:r>
      <w:r>
        <w:rPr>
          <w:rFonts w:hint="eastAsia" w:ascii="宋体" w:hAnsi="宋体" w:eastAsia="宋体" w:cs="宋体"/>
          <w:sz w:val="22"/>
          <w:szCs w:val="22"/>
        </w:rPr>
        <w:t>1.5.1. 通用要求</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_Toc19440 \h </w:instrText>
      </w:r>
      <w:r>
        <w:rPr>
          <w:rFonts w:hint="eastAsia" w:ascii="宋体" w:hAnsi="宋体" w:eastAsia="宋体" w:cs="宋体"/>
          <w:sz w:val="22"/>
          <w:szCs w:val="22"/>
        </w:rPr>
        <w:fldChar w:fldCharType="separate"/>
      </w:r>
      <w:r>
        <w:rPr>
          <w:rFonts w:hint="eastAsia" w:ascii="宋体" w:hAnsi="宋体" w:eastAsia="宋体" w:cs="宋体"/>
          <w:sz w:val="22"/>
          <w:szCs w:val="22"/>
        </w:rPr>
        <w:t>65</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"_Toc19529" </w:instrText>
      </w:r>
      <w:r>
        <w:rPr>
          <w:rFonts w:hint="eastAsia" w:ascii="宋体" w:hAnsi="宋体" w:eastAsia="宋体" w:cs="宋体"/>
          <w:sz w:val="22"/>
          <w:szCs w:val="22"/>
        </w:rPr>
        <w:fldChar w:fldCharType="separate"/>
      </w:r>
      <w:r>
        <w:rPr>
          <w:rFonts w:hint="eastAsia" w:ascii="宋体" w:hAnsi="宋体" w:eastAsia="宋体" w:cs="宋体"/>
          <w:sz w:val="22"/>
          <w:szCs w:val="22"/>
        </w:rPr>
        <w:t>1.5.2. 安全要求</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_Toc19529 \h </w:instrText>
      </w:r>
      <w:r>
        <w:rPr>
          <w:rFonts w:hint="eastAsia" w:ascii="宋体" w:hAnsi="宋体" w:eastAsia="宋体" w:cs="宋体"/>
          <w:sz w:val="22"/>
          <w:szCs w:val="22"/>
        </w:rPr>
        <w:fldChar w:fldCharType="separate"/>
      </w:r>
      <w:r>
        <w:rPr>
          <w:rFonts w:hint="eastAsia" w:ascii="宋体" w:hAnsi="宋体" w:eastAsia="宋体" w:cs="宋体"/>
          <w:sz w:val="22"/>
          <w:szCs w:val="22"/>
        </w:rPr>
        <w:t>65</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"_Toc28993" </w:instrText>
      </w:r>
      <w:r>
        <w:rPr>
          <w:rFonts w:hint="eastAsia" w:ascii="宋体" w:hAnsi="宋体" w:eastAsia="宋体" w:cs="宋体"/>
          <w:sz w:val="22"/>
          <w:szCs w:val="22"/>
        </w:rPr>
        <w:fldChar w:fldCharType="separate"/>
      </w:r>
      <w:r>
        <w:rPr>
          <w:rFonts w:hint="eastAsia" w:ascii="宋体" w:hAnsi="宋体" w:eastAsia="宋体" w:cs="宋体"/>
          <w:sz w:val="22"/>
          <w:szCs w:val="22"/>
        </w:rPr>
        <w:t>1.5.3. 工作流引擎要求</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_Toc28993 \h </w:instrText>
      </w:r>
      <w:r>
        <w:rPr>
          <w:rFonts w:hint="eastAsia" w:ascii="宋体" w:hAnsi="宋体" w:eastAsia="宋体" w:cs="宋体"/>
          <w:sz w:val="22"/>
          <w:szCs w:val="22"/>
        </w:rPr>
        <w:fldChar w:fldCharType="separate"/>
      </w:r>
      <w:r>
        <w:rPr>
          <w:rFonts w:hint="eastAsia" w:ascii="宋体" w:hAnsi="宋体" w:eastAsia="宋体" w:cs="宋体"/>
          <w:sz w:val="22"/>
          <w:szCs w:val="22"/>
        </w:rPr>
        <w:t>66</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"_Toc27247" </w:instrText>
      </w:r>
      <w:r>
        <w:rPr>
          <w:rFonts w:hint="eastAsia" w:ascii="宋体" w:hAnsi="宋体" w:eastAsia="宋体" w:cs="宋体"/>
          <w:sz w:val="22"/>
          <w:szCs w:val="22"/>
        </w:rPr>
        <w:fldChar w:fldCharType="separate"/>
      </w:r>
      <w:r>
        <w:rPr>
          <w:rFonts w:hint="eastAsia" w:ascii="宋体" w:hAnsi="宋体" w:eastAsia="宋体" w:cs="宋体"/>
          <w:sz w:val="22"/>
          <w:szCs w:val="22"/>
        </w:rPr>
        <w:t>1.5.4. 服务器环境要求</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_Toc27247 \h </w:instrText>
      </w:r>
      <w:r>
        <w:rPr>
          <w:rFonts w:hint="eastAsia" w:ascii="宋体" w:hAnsi="宋体" w:eastAsia="宋体" w:cs="宋体"/>
          <w:sz w:val="22"/>
          <w:szCs w:val="22"/>
        </w:rPr>
        <w:fldChar w:fldCharType="separate"/>
      </w:r>
      <w:r>
        <w:rPr>
          <w:rFonts w:hint="eastAsia" w:ascii="宋体" w:hAnsi="宋体" w:eastAsia="宋体" w:cs="宋体"/>
          <w:sz w:val="22"/>
          <w:szCs w:val="22"/>
        </w:rPr>
        <w:t>66</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21"/>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"_Toc436" </w:instrText>
      </w:r>
      <w:r>
        <w:rPr>
          <w:rFonts w:hint="eastAsia" w:ascii="宋体" w:hAnsi="宋体" w:eastAsia="宋体" w:cs="宋体"/>
          <w:sz w:val="22"/>
          <w:szCs w:val="22"/>
        </w:rPr>
        <w:fldChar w:fldCharType="separate"/>
      </w:r>
      <w:r>
        <w:rPr>
          <w:rFonts w:hint="eastAsia" w:ascii="宋体" w:hAnsi="宋体" w:eastAsia="宋体" w:cs="宋体"/>
          <w:sz w:val="22"/>
          <w:szCs w:val="22"/>
        </w:rPr>
        <w:t>第五章 合同格式</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_Toc436 \h </w:instrText>
      </w:r>
      <w:r>
        <w:rPr>
          <w:rFonts w:hint="eastAsia" w:ascii="宋体" w:hAnsi="宋体" w:eastAsia="宋体" w:cs="宋体"/>
          <w:sz w:val="22"/>
          <w:szCs w:val="22"/>
        </w:rPr>
        <w:fldChar w:fldCharType="separate"/>
      </w:r>
      <w:r>
        <w:rPr>
          <w:rFonts w:hint="eastAsia" w:ascii="宋体" w:hAnsi="宋体" w:eastAsia="宋体" w:cs="宋体"/>
          <w:sz w:val="22"/>
          <w:szCs w:val="22"/>
        </w:rPr>
        <w:t>68</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25"/>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"_Toc27501" </w:instrText>
      </w:r>
      <w:r>
        <w:rPr>
          <w:rFonts w:hint="eastAsia" w:ascii="宋体" w:hAnsi="宋体" w:eastAsia="宋体" w:cs="宋体"/>
          <w:sz w:val="22"/>
          <w:szCs w:val="22"/>
        </w:rPr>
        <w:fldChar w:fldCharType="separate"/>
      </w:r>
      <w:r>
        <w:rPr>
          <w:rFonts w:hint="eastAsia" w:ascii="宋体" w:hAnsi="宋体" w:eastAsia="宋体" w:cs="宋体"/>
          <w:sz w:val="22"/>
          <w:szCs w:val="22"/>
        </w:rPr>
        <w:t>一、 合同范围及要求</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_Toc27501 \h </w:instrText>
      </w:r>
      <w:r>
        <w:rPr>
          <w:rFonts w:hint="eastAsia" w:ascii="宋体" w:hAnsi="宋体" w:eastAsia="宋体" w:cs="宋体"/>
          <w:sz w:val="22"/>
          <w:szCs w:val="22"/>
        </w:rPr>
        <w:fldChar w:fldCharType="separate"/>
      </w:r>
      <w:r>
        <w:rPr>
          <w:rFonts w:hint="eastAsia" w:ascii="宋体" w:hAnsi="宋体" w:eastAsia="宋体" w:cs="宋体"/>
          <w:sz w:val="22"/>
          <w:szCs w:val="22"/>
        </w:rPr>
        <w:t>72</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25"/>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"_Toc14295" </w:instrText>
      </w:r>
      <w:r>
        <w:rPr>
          <w:rFonts w:hint="eastAsia" w:ascii="宋体" w:hAnsi="宋体" w:eastAsia="宋体" w:cs="宋体"/>
          <w:sz w:val="22"/>
          <w:szCs w:val="22"/>
        </w:rPr>
        <w:fldChar w:fldCharType="separate"/>
      </w:r>
      <w:r>
        <w:rPr>
          <w:rFonts w:hint="eastAsia" w:ascii="宋体" w:hAnsi="宋体" w:eastAsia="宋体" w:cs="宋体"/>
          <w:sz w:val="22"/>
          <w:szCs w:val="22"/>
        </w:rPr>
        <w:t>二、合同价格</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_Toc14295 \h </w:instrText>
      </w:r>
      <w:r>
        <w:rPr>
          <w:rFonts w:hint="eastAsia" w:ascii="宋体" w:hAnsi="宋体" w:eastAsia="宋体" w:cs="宋体"/>
          <w:sz w:val="22"/>
          <w:szCs w:val="22"/>
        </w:rPr>
        <w:fldChar w:fldCharType="separate"/>
      </w:r>
      <w:r>
        <w:rPr>
          <w:rFonts w:hint="eastAsia" w:ascii="宋体" w:hAnsi="宋体" w:eastAsia="宋体" w:cs="宋体"/>
          <w:sz w:val="22"/>
          <w:szCs w:val="22"/>
        </w:rPr>
        <w:t>72</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25"/>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"_Toc11589" </w:instrText>
      </w:r>
      <w:r>
        <w:rPr>
          <w:rFonts w:hint="eastAsia" w:ascii="宋体" w:hAnsi="宋体" w:eastAsia="宋体" w:cs="宋体"/>
          <w:sz w:val="22"/>
          <w:szCs w:val="22"/>
        </w:rPr>
        <w:fldChar w:fldCharType="separate"/>
      </w:r>
      <w:r>
        <w:rPr>
          <w:rFonts w:hint="eastAsia" w:ascii="宋体" w:hAnsi="宋体" w:eastAsia="宋体" w:cs="宋体"/>
          <w:sz w:val="22"/>
          <w:szCs w:val="22"/>
        </w:rPr>
        <w:t>三、合同工期</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_Toc11589 \h </w:instrText>
      </w:r>
      <w:r>
        <w:rPr>
          <w:rFonts w:hint="eastAsia" w:ascii="宋体" w:hAnsi="宋体" w:eastAsia="宋体" w:cs="宋体"/>
          <w:sz w:val="22"/>
          <w:szCs w:val="22"/>
        </w:rPr>
        <w:fldChar w:fldCharType="separate"/>
      </w:r>
      <w:r>
        <w:rPr>
          <w:rFonts w:hint="eastAsia" w:ascii="宋体" w:hAnsi="宋体" w:eastAsia="宋体" w:cs="宋体"/>
          <w:sz w:val="22"/>
          <w:szCs w:val="22"/>
        </w:rPr>
        <w:t>73</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25"/>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"_Toc5802" </w:instrText>
      </w:r>
      <w:r>
        <w:rPr>
          <w:rFonts w:hint="eastAsia" w:ascii="宋体" w:hAnsi="宋体" w:eastAsia="宋体" w:cs="宋体"/>
          <w:sz w:val="22"/>
          <w:szCs w:val="22"/>
        </w:rPr>
        <w:fldChar w:fldCharType="separate"/>
      </w:r>
      <w:r>
        <w:rPr>
          <w:rFonts w:hint="eastAsia" w:ascii="宋体" w:hAnsi="宋体" w:eastAsia="宋体" w:cs="宋体"/>
          <w:sz w:val="22"/>
          <w:szCs w:val="22"/>
        </w:rPr>
        <w:t>四、施工地点</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_Toc5802 \h </w:instrText>
      </w:r>
      <w:r>
        <w:rPr>
          <w:rFonts w:hint="eastAsia" w:ascii="宋体" w:hAnsi="宋体" w:eastAsia="宋体" w:cs="宋体"/>
          <w:sz w:val="22"/>
          <w:szCs w:val="22"/>
        </w:rPr>
        <w:fldChar w:fldCharType="separate"/>
      </w:r>
      <w:r>
        <w:rPr>
          <w:rFonts w:hint="eastAsia" w:ascii="宋体" w:hAnsi="宋体" w:eastAsia="宋体" w:cs="宋体"/>
          <w:sz w:val="22"/>
          <w:szCs w:val="22"/>
        </w:rPr>
        <w:t>73</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25"/>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"_Toc12379" </w:instrText>
      </w:r>
      <w:r>
        <w:rPr>
          <w:rFonts w:hint="eastAsia" w:ascii="宋体" w:hAnsi="宋体" w:eastAsia="宋体" w:cs="宋体"/>
          <w:sz w:val="22"/>
          <w:szCs w:val="22"/>
        </w:rPr>
        <w:fldChar w:fldCharType="separate"/>
      </w:r>
      <w:r>
        <w:rPr>
          <w:rFonts w:hint="eastAsia" w:ascii="宋体" w:hAnsi="宋体" w:eastAsia="宋体" w:cs="宋体"/>
          <w:sz w:val="22"/>
          <w:szCs w:val="22"/>
        </w:rPr>
        <w:t>五、付款方式</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_Toc12379 \h </w:instrText>
      </w:r>
      <w:r>
        <w:rPr>
          <w:rFonts w:hint="eastAsia" w:ascii="宋体" w:hAnsi="宋体" w:eastAsia="宋体" w:cs="宋体"/>
          <w:sz w:val="22"/>
          <w:szCs w:val="22"/>
        </w:rPr>
        <w:fldChar w:fldCharType="separate"/>
      </w:r>
      <w:r>
        <w:rPr>
          <w:rFonts w:hint="eastAsia" w:ascii="宋体" w:hAnsi="宋体" w:eastAsia="宋体" w:cs="宋体"/>
          <w:sz w:val="22"/>
          <w:szCs w:val="22"/>
        </w:rPr>
        <w:t>73</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25"/>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"_Toc2264" </w:instrText>
      </w:r>
      <w:r>
        <w:rPr>
          <w:rFonts w:hint="eastAsia" w:ascii="宋体" w:hAnsi="宋体" w:eastAsia="宋体" w:cs="宋体"/>
          <w:sz w:val="22"/>
          <w:szCs w:val="22"/>
        </w:rPr>
        <w:fldChar w:fldCharType="separate"/>
      </w:r>
      <w:r>
        <w:rPr>
          <w:rFonts w:hint="eastAsia" w:ascii="宋体" w:hAnsi="宋体" w:eastAsia="宋体" w:cs="宋体"/>
          <w:sz w:val="22"/>
          <w:szCs w:val="22"/>
        </w:rPr>
        <w:t>六、税费</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_Toc2264 \h </w:instrText>
      </w:r>
      <w:r>
        <w:rPr>
          <w:rFonts w:hint="eastAsia" w:ascii="宋体" w:hAnsi="宋体" w:eastAsia="宋体" w:cs="宋体"/>
          <w:sz w:val="22"/>
          <w:szCs w:val="22"/>
        </w:rPr>
        <w:fldChar w:fldCharType="separate"/>
      </w:r>
      <w:r>
        <w:rPr>
          <w:rFonts w:hint="eastAsia" w:ascii="宋体" w:hAnsi="宋体" w:eastAsia="宋体" w:cs="宋体"/>
          <w:sz w:val="22"/>
          <w:szCs w:val="22"/>
        </w:rPr>
        <w:t>74</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25"/>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"_Toc22818" </w:instrText>
      </w:r>
      <w:r>
        <w:rPr>
          <w:rFonts w:hint="eastAsia" w:ascii="宋体" w:hAnsi="宋体" w:eastAsia="宋体" w:cs="宋体"/>
          <w:sz w:val="22"/>
          <w:szCs w:val="22"/>
        </w:rPr>
        <w:fldChar w:fldCharType="separate"/>
      </w:r>
      <w:r>
        <w:rPr>
          <w:rFonts w:hint="eastAsia" w:ascii="宋体" w:hAnsi="宋体" w:eastAsia="宋体" w:cs="宋体"/>
          <w:sz w:val="22"/>
          <w:szCs w:val="22"/>
        </w:rPr>
        <w:t>七、组成合同的文件及解释顺序</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_Toc22818 \h </w:instrText>
      </w:r>
      <w:r>
        <w:rPr>
          <w:rFonts w:hint="eastAsia" w:ascii="宋体" w:hAnsi="宋体" w:eastAsia="宋体" w:cs="宋体"/>
          <w:sz w:val="22"/>
          <w:szCs w:val="22"/>
        </w:rPr>
        <w:fldChar w:fldCharType="separate"/>
      </w:r>
      <w:r>
        <w:rPr>
          <w:rFonts w:hint="eastAsia" w:ascii="宋体" w:hAnsi="宋体" w:eastAsia="宋体" w:cs="宋体"/>
          <w:sz w:val="22"/>
          <w:szCs w:val="22"/>
        </w:rPr>
        <w:t>74</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25"/>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"_Toc15282" </w:instrText>
      </w:r>
      <w:r>
        <w:rPr>
          <w:rFonts w:hint="eastAsia" w:ascii="宋体" w:hAnsi="宋体" w:eastAsia="宋体" w:cs="宋体"/>
          <w:sz w:val="22"/>
          <w:szCs w:val="22"/>
        </w:rPr>
        <w:fldChar w:fldCharType="separate"/>
      </w:r>
      <w:r>
        <w:rPr>
          <w:rFonts w:hint="eastAsia" w:ascii="宋体" w:hAnsi="宋体" w:eastAsia="宋体" w:cs="宋体"/>
          <w:sz w:val="22"/>
          <w:szCs w:val="22"/>
        </w:rPr>
        <w:t>八、双方的权利和义务</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_Toc15282 \h </w:instrText>
      </w:r>
      <w:r>
        <w:rPr>
          <w:rFonts w:hint="eastAsia" w:ascii="宋体" w:hAnsi="宋体" w:eastAsia="宋体" w:cs="宋体"/>
          <w:sz w:val="22"/>
          <w:szCs w:val="22"/>
        </w:rPr>
        <w:fldChar w:fldCharType="separate"/>
      </w:r>
      <w:r>
        <w:rPr>
          <w:rFonts w:hint="eastAsia" w:ascii="宋体" w:hAnsi="宋体" w:eastAsia="宋体" w:cs="宋体"/>
          <w:sz w:val="22"/>
          <w:szCs w:val="22"/>
        </w:rPr>
        <w:t>74</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25"/>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"_Toc14246" </w:instrText>
      </w:r>
      <w:r>
        <w:rPr>
          <w:rFonts w:hint="eastAsia" w:ascii="宋体" w:hAnsi="宋体" w:eastAsia="宋体" w:cs="宋体"/>
          <w:sz w:val="22"/>
          <w:szCs w:val="22"/>
        </w:rPr>
        <w:fldChar w:fldCharType="separate"/>
      </w:r>
      <w:r>
        <w:rPr>
          <w:rFonts w:hint="eastAsia" w:ascii="宋体" w:hAnsi="宋体" w:eastAsia="宋体" w:cs="宋体"/>
          <w:sz w:val="22"/>
          <w:szCs w:val="22"/>
        </w:rPr>
        <w:t>九、安全责任及保险</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_Toc14246 \h </w:instrText>
      </w:r>
      <w:r>
        <w:rPr>
          <w:rFonts w:hint="eastAsia" w:ascii="宋体" w:hAnsi="宋体" w:eastAsia="宋体" w:cs="宋体"/>
          <w:sz w:val="22"/>
          <w:szCs w:val="22"/>
        </w:rPr>
        <w:fldChar w:fldCharType="separate"/>
      </w:r>
      <w:r>
        <w:rPr>
          <w:rFonts w:hint="eastAsia" w:ascii="宋体" w:hAnsi="宋体" w:eastAsia="宋体" w:cs="宋体"/>
          <w:sz w:val="22"/>
          <w:szCs w:val="22"/>
        </w:rPr>
        <w:t>75</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25"/>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"_Toc16144" </w:instrText>
      </w:r>
      <w:r>
        <w:rPr>
          <w:rFonts w:hint="eastAsia" w:ascii="宋体" w:hAnsi="宋体" w:eastAsia="宋体" w:cs="宋体"/>
          <w:sz w:val="22"/>
          <w:szCs w:val="22"/>
        </w:rPr>
        <w:fldChar w:fldCharType="separate"/>
      </w:r>
      <w:r>
        <w:rPr>
          <w:rFonts w:hint="eastAsia" w:ascii="宋体" w:hAnsi="宋体" w:eastAsia="宋体" w:cs="宋体"/>
          <w:sz w:val="22"/>
          <w:szCs w:val="22"/>
        </w:rPr>
        <w:t>十、检查和培训</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_Toc16144 \h </w:instrText>
      </w:r>
      <w:r>
        <w:rPr>
          <w:rFonts w:hint="eastAsia" w:ascii="宋体" w:hAnsi="宋体" w:eastAsia="宋体" w:cs="宋体"/>
          <w:sz w:val="22"/>
          <w:szCs w:val="22"/>
        </w:rPr>
        <w:fldChar w:fldCharType="separate"/>
      </w:r>
      <w:r>
        <w:rPr>
          <w:rFonts w:hint="eastAsia" w:ascii="宋体" w:hAnsi="宋体" w:eastAsia="宋体" w:cs="宋体"/>
          <w:sz w:val="22"/>
          <w:szCs w:val="22"/>
        </w:rPr>
        <w:t>76</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25"/>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"_Toc17523" </w:instrText>
      </w:r>
      <w:r>
        <w:rPr>
          <w:rFonts w:hint="eastAsia" w:ascii="宋体" w:hAnsi="宋体" w:eastAsia="宋体" w:cs="宋体"/>
          <w:sz w:val="22"/>
          <w:szCs w:val="22"/>
        </w:rPr>
        <w:fldChar w:fldCharType="separate"/>
      </w:r>
      <w:r>
        <w:rPr>
          <w:rFonts w:hint="eastAsia" w:ascii="宋体" w:hAnsi="宋体" w:eastAsia="宋体" w:cs="宋体"/>
          <w:sz w:val="22"/>
          <w:szCs w:val="22"/>
        </w:rPr>
        <w:t>十一、调试、试运行和验收</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_Toc17523 \h </w:instrText>
      </w:r>
      <w:r>
        <w:rPr>
          <w:rFonts w:hint="eastAsia" w:ascii="宋体" w:hAnsi="宋体" w:eastAsia="宋体" w:cs="宋体"/>
          <w:sz w:val="22"/>
          <w:szCs w:val="22"/>
        </w:rPr>
        <w:fldChar w:fldCharType="separate"/>
      </w:r>
      <w:r>
        <w:rPr>
          <w:rFonts w:hint="eastAsia" w:ascii="宋体" w:hAnsi="宋体" w:eastAsia="宋体" w:cs="宋体"/>
          <w:sz w:val="22"/>
          <w:szCs w:val="22"/>
        </w:rPr>
        <w:t>76</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25"/>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"_Toc30995" </w:instrText>
      </w:r>
      <w:r>
        <w:rPr>
          <w:rFonts w:hint="eastAsia" w:ascii="宋体" w:hAnsi="宋体" w:eastAsia="宋体" w:cs="宋体"/>
          <w:sz w:val="22"/>
          <w:szCs w:val="22"/>
        </w:rPr>
        <w:fldChar w:fldCharType="separate"/>
      </w:r>
      <w:r>
        <w:rPr>
          <w:rFonts w:hint="eastAsia" w:ascii="宋体" w:hAnsi="宋体" w:eastAsia="宋体" w:cs="宋体"/>
          <w:sz w:val="22"/>
          <w:szCs w:val="22"/>
        </w:rPr>
        <w:t>十二、售后服务</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_Toc30995 \h </w:instrText>
      </w:r>
      <w:r>
        <w:rPr>
          <w:rFonts w:hint="eastAsia" w:ascii="宋体" w:hAnsi="宋体" w:eastAsia="宋体" w:cs="宋体"/>
          <w:sz w:val="22"/>
          <w:szCs w:val="22"/>
        </w:rPr>
        <w:fldChar w:fldCharType="separate"/>
      </w:r>
      <w:r>
        <w:rPr>
          <w:rFonts w:hint="eastAsia" w:ascii="宋体" w:hAnsi="宋体" w:eastAsia="宋体" w:cs="宋体"/>
          <w:sz w:val="22"/>
          <w:szCs w:val="22"/>
        </w:rPr>
        <w:t>77</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25"/>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"_Toc1480" </w:instrText>
      </w:r>
      <w:r>
        <w:rPr>
          <w:rFonts w:hint="eastAsia" w:ascii="宋体" w:hAnsi="宋体" w:eastAsia="宋体" w:cs="宋体"/>
          <w:sz w:val="22"/>
          <w:szCs w:val="22"/>
        </w:rPr>
        <w:fldChar w:fldCharType="separate"/>
      </w:r>
      <w:r>
        <w:rPr>
          <w:rFonts w:hint="eastAsia" w:ascii="宋体" w:hAnsi="宋体" w:eastAsia="宋体" w:cs="宋体"/>
          <w:sz w:val="22"/>
          <w:szCs w:val="22"/>
        </w:rPr>
        <w:t>十三、转让</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_Toc1480 \h </w:instrText>
      </w:r>
      <w:r>
        <w:rPr>
          <w:rFonts w:hint="eastAsia" w:ascii="宋体" w:hAnsi="宋体" w:eastAsia="宋体" w:cs="宋体"/>
          <w:sz w:val="22"/>
          <w:szCs w:val="22"/>
        </w:rPr>
        <w:fldChar w:fldCharType="separate"/>
      </w:r>
      <w:r>
        <w:rPr>
          <w:rFonts w:hint="eastAsia" w:ascii="宋体" w:hAnsi="宋体" w:eastAsia="宋体" w:cs="宋体"/>
          <w:sz w:val="22"/>
          <w:szCs w:val="22"/>
        </w:rPr>
        <w:t>77</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25"/>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"_Toc13599" </w:instrText>
      </w:r>
      <w:r>
        <w:rPr>
          <w:rFonts w:hint="eastAsia" w:ascii="宋体" w:hAnsi="宋体" w:eastAsia="宋体" w:cs="宋体"/>
          <w:sz w:val="22"/>
          <w:szCs w:val="22"/>
        </w:rPr>
        <w:fldChar w:fldCharType="separate"/>
      </w:r>
      <w:r>
        <w:rPr>
          <w:rFonts w:hint="eastAsia" w:ascii="宋体" w:hAnsi="宋体" w:eastAsia="宋体" w:cs="宋体"/>
          <w:sz w:val="22"/>
          <w:szCs w:val="22"/>
        </w:rPr>
        <w:t>十四、变更</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_Toc13599 \h </w:instrText>
      </w:r>
      <w:r>
        <w:rPr>
          <w:rFonts w:hint="eastAsia" w:ascii="宋体" w:hAnsi="宋体" w:eastAsia="宋体" w:cs="宋体"/>
          <w:sz w:val="22"/>
          <w:szCs w:val="22"/>
        </w:rPr>
        <w:fldChar w:fldCharType="separate"/>
      </w:r>
      <w:r>
        <w:rPr>
          <w:rFonts w:hint="eastAsia" w:ascii="宋体" w:hAnsi="宋体" w:eastAsia="宋体" w:cs="宋体"/>
          <w:sz w:val="22"/>
          <w:szCs w:val="22"/>
        </w:rPr>
        <w:t>77</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25"/>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"_Toc26410" </w:instrText>
      </w:r>
      <w:r>
        <w:rPr>
          <w:rFonts w:hint="eastAsia" w:ascii="宋体" w:hAnsi="宋体" w:eastAsia="宋体" w:cs="宋体"/>
          <w:sz w:val="22"/>
          <w:szCs w:val="22"/>
        </w:rPr>
        <w:fldChar w:fldCharType="separate"/>
      </w:r>
      <w:r>
        <w:rPr>
          <w:rFonts w:hint="eastAsia" w:ascii="宋体" w:hAnsi="宋体" w:eastAsia="宋体" w:cs="宋体"/>
          <w:sz w:val="22"/>
          <w:szCs w:val="22"/>
        </w:rPr>
        <w:t>十五、知识产权</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_Toc26410 \h </w:instrText>
      </w:r>
      <w:r>
        <w:rPr>
          <w:rFonts w:hint="eastAsia" w:ascii="宋体" w:hAnsi="宋体" w:eastAsia="宋体" w:cs="宋体"/>
          <w:sz w:val="22"/>
          <w:szCs w:val="22"/>
        </w:rPr>
        <w:fldChar w:fldCharType="separate"/>
      </w:r>
      <w:r>
        <w:rPr>
          <w:rFonts w:hint="eastAsia" w:ascii="宋体" w:hAnsi="宋体" w:eastAsia="宋体" w:cs="宋体"/>
          <w:sz w:val="22"/>
          <w:szCs w:val="22"/>
        </w:rPr>
        <w:t>78</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25"/>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"_Toc3977" </w:instrText>
      </w:r>
      <w:r>
        <w:rPr>
          <w:rFonts w:hint="eastAsia" w:ascii="宋体" w:hAnsi="宋体" w:eastAsia="宋体" w:cs="宋体"/>
          <w:sz w:val="22"/>
          <w:szCs w:val="22"/>
        </w:rPr>
        <w:fldChar w:fldCharType="separate"/>
      </w:r>
      <w:r>
        <w:rPr>
          <w:rFonts w:hint="eastAsia" w:ascii="宋体" w:hAnsi="宋体" w:eastAsia="宋体" w:cs="宋体"/>
          <w:sz w:val="22"/>
          <w:szCs w:val="22"/>
        </w:rPr>
        <w:t>十六、违约责任</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_Toc3977 \h </w:instrText>
      </w:r>
      <w:r>
        <w:rPr>
          <w:rFonts w:hint="eastAsia" w:ascii="宋体" w:hAnsi="宋体" w:eastAsia="宋体" w:cs="宋体"/>
          <w:sz w:val="22"/>
          <w:szCs w:val="22"/>
        </w:rPr>
        <w:fldChar w:fldCharType="separate"/>
      </w:r>
      <w:r>
        <w:rPr>
          <w:rFonts w:hint="eastAsia" w:ascii="宋体" w:hAnsi="宋体" w:eastAsia="宋体" w:cs="宋体"/>
          <w:sz w:val="22"/>
          <w:szCs w:val="22"/>
        </w:rPr>
        <w:t>78</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25"/>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"_Toc7897" </w:instrText>
      </w:r>
      <w:r>
        <w:rPr>
          <w:rFonts w:hint="eastAsia" w:ascii="宋体" w:hAnsi="宋体" w:eastAsia="宋体" w:cs="宋体"/>
          <w:sz w:val="22"/>
          <w:szCs w:val="22"/>
        </w:rPr>
        <w:fldChar w:fldCharType="separate"/>
      </w:r>
      <w:r>
        <w:rPr>
          <w:rFonts w:hint="eastAsia" w:ascii="宋体" w:hAnsi="宋体" w:eastAsia="宋体" w:cs="宋体"/>
          <w:sz w:val="22"/>
          <w:szCs w:val="22"/>
        </w:rPr>
        <w:t>十七、争议解决</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_Toc7897 \h </w:instrText>
      </w:r>
      <w:r>
        <w:rPr>
          <w:rFonts w:hint="eastAsia" w:ascii="宋体" w:hAnsi="宋体" w:eastAsia="宋体" w:cs="宋体"/>
          <w:sz w:val="22"/>
          <w:szCs w:val="22"/>
        </w:rPr>
        <w:fldChar w:fldCharType="separate"/>
      </w:r>
      <w:r>
        <w:rPr>
          <w:rFonts w:hint="eastAsia" w:ascii="宋体" w:hAnsi="宋体" w:eastAsia="宋体" w:cs="宋体"/>
          <w:sz w:val="22"/>
          <w:szCs w:val="22"/>
        </w:rPr>
        <w:t>79</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"_Toc19404" </w:instrText>
      </w:r>
      <w:r>
        <w:rPr>
          <w:rFonts w:hint="eastAsia" w:ascii="宋体" w:hAnsi="宋体" w:eastAsia="宋体" w:cs="宋体"/>
          <w:sz w:val="22"/>
          <w:szCs w:val="22"/>
        </w:rPr>
        <w:fldChar w:fldCharType="separate"/>
      </w:r>
      <w:r>
        <w:rPr>
          <w:rFonts w:hint="eastAsia" w:ascii="宋体" w:hAnsi="宋体" w:eastAsia="宋体" w:cs="宋体"/>
          <w:sz w:val="22"/>
          <w:szCs w:val="22"/>
        </w:rPr>
        <w:t>附件1.廉洁合同</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_Toc19404 \h </w:instrText>
      </w:r>
      <w:r>
        <w:rPr>
          <w:rFonts w:hint="eastAsia" w:ascii="宋体" w:hAnsi="宋体" w:eastAsia="宋体" w:cs="宋体"/>
          <w:sz w:val="22"/>
          <w:szCs w:val="22"/>
        </w:rPr>
        <w:fldChar w:fldCharType="separate"/>
      </w:r>
      <w:r>
        <w:rPr>
          <w:rFonts w:hint="eastAsia" w:ascii="宋体" w:hAnsi="宋体" w:eastAsia="宋体" w:cs="宋体"/>
          <w:sz w:val="22"/>
          <w:szCs w:val="22"/>
        </w:rPr>
        <w:t>81</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"_Toc6077" </w:instrText>
      </w:r>
      <w:r>
        <w:rPr>
          <w:rFonts w:hint="eastAsia" w:ascii="宋体" w:hAnsi="宋体" w:eastAsia="宋体" w:cs="宋体"/>
          <w:sz w:val="22"/>
          <w:szCs w:val="22"/>
        </w:rPr>
        <w:fldChar w:fldCharType="separate"/>
      </w:r>
      <w:r>
        <w:rPr>
          <w:rFonts w:hint="eastAsia" w:ascii="宋体" w:hAnsi="宋体" w:eastAsia="宋体" w:cs="宋体"/>
          <w:bCs/>
          <w:sz w:val="22"/>
          <w:szCs w:val="22"/>
        </w:rPr>
        <w:t>附件2.系统最终验收投运后支付考核标准</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_Toc6077 \h </w:instrText>
      </w:r>
      <w:r>
        <w:rPr>
          <w:rFonts w:hint="eastAsia" w:ascii="宋体" w:hAnsi="宋体" w:eastAsia="宋体" w:cs="宋体"/>
          <w:sz w:val="22"/>
          <w:szCs w:val="22"/>
        </w:rPr>
        <w:fldChar w:fldCharType="separate"/>
      </w:r>
      <w:r>
        <w:rPr>
          <w:rFonts w:hint="eastAsia" w:ascii="宋体" w:hAnsi="宋体" w:eastAsia="宋体" w:cs="宋体"/>
          <w:sz w:val="22"/>
          <w:szCs w:val="22"/>
        </w:rPr>
        <w:t>83</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"_Toc20797" </w:instrText>
      </w:r>
      <w:r>
        <w:rPr>
          <w:rFonts w:hint="eastAsia" w:ascii="宋体" w:hAnsi="宋体" w:eastAsia="宋体" w:cs="宋体"/>
          <w:sz w:val="22"/>
          <w:szCs w:val="22"/>
        </w:rPr>
        <w:fldChar w:fldCharType="separate"/>
      </w:r>
      <w:r>
        <w:rPr>
          <w:rFonts w:hint="eastAsia" w:ascii="宋体" w:hAnsi="宋体" w:eastAsia="宋体" w:cs="宋体"/>
          <w:bCs/>
          <w:sz w:val="22"/>
          <w:szCs w:val="22"/>
        </w:rPr>
        <w:t>附件3.供应链服务平台模块清单</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_Toc20797 \h </w:instrText>
      </w:r>
      <w:r>
        <w:rPr>
          <w:rFonts w:hint="eastAsia" w:ascii="宋体" w:hAnsi="宋体" w:eastAsia="宋体" w:cs="宋体"/>
          <w:sz w:val="22"/>
          <w:szCs w:val="22"/>
        </w:rPr>
        <w:fldChar w:fldCharType="separate"/>
      </w:r>
      <w:r>
        <w:rPr>
          <w:rFonts w:hint="eastAsia" w:ascii="宋体" w:hAnsi="宋体" w:eastAsia="宋体" w:cs="宋体"/>
          <w:sz w:val="22"/>
          <w:szCs w:val="22"/>
        </w:rPr>
        <w:t>84</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21"/>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"_Toc19379" </w:instrText>
      </w:r>
      <w:r>
        <w:rPr>
          <w:rFonts w:hint="eastAsia" w:ascii="宋体" w:hAnsi="宋体" w:eastAsia="宋体" w:cs="宋体"/>
          <w:sz w:val="22"/>
          <w:szCs w:val="22"/>
        </w:rPr>
        <w:fldChar w:fldCharType="separate"/>
      </w:r>
      <w:r>
        <w:rPr>
          <w:rFonts w:hint="eastAsia" w:ascii="宋体" w:hAnsi="宋体" w:eastAsia="宋体" w:cs="宋体"/>
          <w:sz w:val="22"/>
          <w:szCs w:val="22"/>
        </w:rPr>
        <w:t>第五章 投标文件格式</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_Toc19379 \h </w:instrText>
      </w:r>
      <w:r>
        <w:rPr>
          <w:rFonts w:hint="eastAsia" w:ascii="宋体" w:hAnsi="宋体" w:eastAsia="宋体" w:cs="宋体"/>
          <w:sz w:val="22"/>
          <w:szCs w:val="22"/>
        </w:rPr>
        <w:fldChar w:fldCharType="separate"/>
      </w:r>
      <w:r>
        <w:rPr>
          <w:rFonts w:hint="eastAsia" w:ascii="宋体" w:hAnsi="宋体" w:eastAsia="宋体" w:cs="宋体"/>
          <w:sz w:val="22"/>
          <w:szCs w:val="22"/>
        </w:rPr>
        <w:t>89</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25"/>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"_Toc10908" </w:instrText>
      </w:r>
      <w:r>
        <w:rPr>
          <w:rFonts w:hint="eastAsia" w:ascii="宋体" w:hAnsi="宋体" w:eastAsia="宋体" w:cs="宋体"/>
          <w:sz w:val="22"/>
          <w:szCs w:val="22"/>
        </w:rPr>
        <w:fldChar w:fldCharType="separate"/>
      </w:r>
      <w:r>
        <w:rPr>
          <w:rFonts w:hint="eastAsia" w:ascii="宋体" w:hAnsi="宋体" w:eastAsia="宋体" w:cs="宋体"/>
          <w:bCs/>
          <w:spacing w:val="-6"/>
          <w:sz w:val="22"/>
          <w:szCs w:val="22"/>
        </w:rPr>
        <w:t>一、价格部分文件</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_Toc10908 \h </w:instrText>
      </w:r>
      <w:r>
        <w:rPr>
          <w:rFonts w:hint="eastAsia" w:ascii="宋体" w:hAnsi="宋体" w:eastAsia="宋体" w:cs="宋体"/>
          <w:sz w:val="22"/>
          <w:szCs w:val="22"/>
        </w:rPr>
        <w:fldChar w:fldCharType="separate"/>
      </w:r>
      <w:r>
        <w:rPr>
          <w:rFonts w:hint="eastAsia" w:ascii="宋体" w:hAnsi="宋体" w:eastAsia="宋体" w:cs="宋体"/>
          <w:sz w:val="22"/>
          <w:szCs w:val="22"/>
        </w:rPr>
        <w:t>90</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"_Toc6513" </w:instrText>
      </w:r>
      <w:r>
        <w:rPr>
          <w:rFonts w:hint="eastAsia" w:ascii="宋体" w:hAnsi="宋体" w:eastAsia="宋体" w:cs="宋体"/>
          <w:sz w:val="22"/>
          <w:szCs w:val="22"/>
        </w:rPr>
        <w:fldChar w:fldCharType="separate"/>
      </w:r>
      <w:r>
        <w:rPr>
          <w:rFonts w:hint="eastAsia" w:ascii="宋体" w:hAnsi="宋体" w:eastAsia="宋体" w:cs="宋体"/>
          <w:sz w:val="22"/>
          <w:szCs w:val="22"/>
        </w:rPr>
        <w:t>1、</w:t>
      </w:r>
      <w:r>
        <w:rPr>
          <w:rFonts w:hint="eastAsia" w:ascii="宋体" w:hAnsi="宋体" w:eastAsia="宋体" w:cs="宋体"/>
          <w:bCs/>
          <w:sz w:val="22"/>
          <w:szCs w:val="22"/>
        </w:rPr>
        <w:t xml:space="preserve"> </w:t>
      </w:r>
      <w:r>
        <w:rPr>
          <w:rFonts w:hint="eastAsia" w:ascii="宋体" w:hAnsi="宋体" w:eastAsia="宋体" w:cs="宋体"/>
          <w:sz w:val="22"/>
          <w:szCs w:val="22"/>
        </w:rPr>
        <w:t>投标报价一览表</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_Toc6513 \h </w:instrText>
      </w:r>
      <w:r>
        <w:rPr>
          <w:rFonts w:hint="eastAsia" w:ascii="宋体" w:hAnsi="宋体" w:eastAsia="宋体" w:cs="宋体"/>
          <w:sz w:val="22"/>
          <w:szCs w:val="22"/>
        </w:rPr>
        <w:fldChar w:fldCharType="separate"/>
      </w:r>
      <w:r>
        <w:rPr>
          <w:rFonts w:hint="eastAsia" w:ascii="宋体" w:hAnsi="宋体" w:eastAsia="宋体" w:cs="宋体"/>
          <w:sz w:val="22"/>
          <w:szCs w:val="22"/>
        </w:rPr>
        <w:t>91</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25"/>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"_Toc1780" </w:instrText>
      </w:r>
      <w:r>
        <w:rPr>
          <w:rFonts w:hint="eastAsia" w:ascii="宋体" w:hAnsi="宋体" w:eastAsia="宋体" w:cs="宋体"/>
          <w:sz w:val="22"/>
          <w:szCs w:val="22"/>
        </w:rPr>
        <w:fldChar w:fldCharType="separate"/>
      </w:r>
      <w:r>
        <w:rPr>
          <w:rFonts w:hint="eastAsia" w:ascii="宋体" w:hAnsi="宋体" w:eastAsia="宋体" w:cs="宋体"/>
          <w:bCs/>
          <w:spacing w:val="-6"/>
          <w:sz w:val="22"/>
          <w:szCs w:val="22"/>
        </w:rPr>
        <w:t>二、商务、技术部分文件</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_Toc1780 \h </w:instrText>
      </w:r>
      <w:r>
        <w:rPr>
          <w:rFonts w:hint="eastAsia" w:ascii="宋体" w:hAnsi="宋体" w:eastAsia="宋体" w:cs="宋体"/>
          <w:sz w:val="22"/>
          <w:szCs w:val="22"/>
        </w:rPr>
        <w:fldChar w:fldCharType="separate"/>
      </w:r>
      <w:r>
        <w:rPr>
          <w:rFonts w:hint="eastAsia" w:ascii="宋体" w:hAnsi="宋体" w:eastAsia="宋体" w:cs="宋体"/>
          <w:sz w:val="22"/>
          <w:szCs w:val="22"/>
        </w:rPr>
        <w:t>92</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"_Toc14933" </w:instrText>
      </w:r>
      <w:r>
        <w:rPr>
          <w:rFonts w:hint="eastAsia" w:ascii="宋体" w:hAnsi="宋体" w:eastAsia="宋体" w:cs="宋体"/>
          <w:sz w:val="22"/>
          <w:szCs w:val="22"/>
        </w:rPr>
        <w:fldChar w:fldCharType="separate"/>
      </w:r>
      <w:r>
        <w:rPr>
          <w:rFonts w:hint="eastAsia" w:ascii="宋体" w:hAnsi="宋体" w:eastAsia="宋体" w:cs="宋体"/>
          <w:bCs/>
          <w:sz w:val="22"/>
          <w:szCs w:val="22"/>
        </w:rPr>
        <w:t>1、投标函</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_Toc14933 \h </w:instrText>
      </w:r>
      <w:r>
        <w:rPr>
          <w:rFonts w:hint="eastAsia" w:ascii="宋体" w:hAnsi="宋体" w:eastAsia="宋体" w:cs="宋体"/>
          <w:sz w:val="22"/>
          <w:szCs w:val="22"/>
        </w:rPr>
        <w:fldChar w:fldCharType="separate"/>
      </w:r>
      <w:r>
        <w:rPr>
          <w:rFonts w:hint="eastAsia" w:ascii="宋体" w:hAnsi="宋体" w:eastAsia="宋体" w:cs="宋体"/>
          <w:sz w:val="22"/>
          <w:szCs w:val="22"/>
        </w:rPr>
        <w:t>93</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"_Toc28324" </w:instrText>
      </w:r>
      <w:r>
        <w:rPr>
          <w:rFonts w:hint="eastAsia" w:ascii="宋体" w:hAnsi="宋体" w:eastAsia="宋体" w:cs="宋体"/>
          <w:sz w:val="22"/>
          <w:szCs w:val="22"/>
        </w:rPr>
        <w:fldChar w:fldCharType="separate"/>
      </w:r>
      <w:r>
        <w:rPr>
          <w:rFonts w:hint="eastAsia" w:ascii="宋体" w:hAnsi="宋体" w:eastAsia="宋体" w:cs="宋体"/>
          <w:sz w:val="22"/>
          <w:szCs w:val="22"/>
        </w:rPr>
        <w:t>2、承诺书</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_Toc28324 \h </w:instrText>
      </w:r>
      <w:r>
        <w:rPr>
          <w:rFonts w:hint="eastAsia" w:ascii="宋体" w:hAnsi="宋体" w:eastAsia="宋体" w:cs="宋体"/>
          <w:sz w:val="22"/>
          <w:szCs w:val="22"/>
        </w:rPr>
        <w:fldChar w:fldCharType="separate"/>
      </w:r>
      <w:r>
        <w:rPr>
          <w:rFonts w:hint="eastAsia" w:ascii="宋体" w:hAnsi="宋体" w:eastAsia="宋体" w:cs="宋体"/>
          <w:sz w:val="22"/>
          <w:szCs w:val="22"/>
        </w:rPr>
        <w:t>94</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"_Toc24536" </w:instrText>
      </w:r>
      <w:r>
        <w:rPr>
          <w:rFonts w:hint="eastAsia" w:ascii="宋体" w:hAnsi="宋体" w:eastAsia="宋体" w:cs="宋体"/>
          <w:sz w:val="22"/>
          <w:szCs w:val="22"/>
        </w:rPr>
        <w:fldChar w:fldCharType="separate"/>
      </w:r>
      <w:r>
        <w:rPr>
          <w:rFonts w:hint="eastAsia" w:ascii="宋体" w:hAnsi="宋体" w:eastAsia="宋体" w:cs="宋体"/>
          <w:sz w:val="22"/>
          <w:szCs w:val="22"/>
        </w:rPr>
        <w:t>3、法定代表人身份证明书</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_Toc24536 \h </w:instrText>
      </w:r>
      <w:r>
        <w:rPr>
          <w:rFonts w:hint="eastAsia" w:ascii="宋体" w:hAnsi="宋体" w:eastAsia="宋体" w:cs="宋体"/>
          <w:sz w:val="22"/>
          <w:szCs w:val="22"/>
        </w:rPr>
        <w:fldChar w:fldCharType="separate"/>
      </w:r>
      <w:r>
        <w:rPr>
          <w:rFonts w:hint="eastAsia" w:ascii="宋体" w:hAnsi="宋体" w:eastAsia="宋体" w:cs="宋体"/>
          <w:sz w:val="22"/>
          <w:szCs w:val="22"/>
        </w:rPr>
        <w:t>95</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"_Toc13703" </w:instrText>
      </w:r>
      <w:r>
        <w:rPr>
          <w:rFonts w:hint="eastAsia" w:ascii="宋体" w:hAnsi="宋体" w:eastAsia="宋体" w:cs="宋体"/>
          <w:sz w:val="22"/>
          <w:szCs w:val="22"/>
        </w:rPr>
        <w:fldChar w:fldCharType="separate"/>
      </w:r>
      <w:r>
        <w:rPr>
          <w:rFonts w:hint="eastAsia" w:ascii="宋体" w:hAnsi="宋体" w:eastAsia="宋体" w:cs="宋体"/>
          <w:sz w:val="22"/>
          <w:szCs w:val="22"/>
        </w:rPr>
        <w:t>4、法定代表人授权委托书</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_Toc13703 \h </w:instrText>
      </w:r>
      <w:r>
        <w:rPr>
          <w:rFonts w:hint="eastAsia" w:ascii="宋体" w:hAnsi="宋体" w:eastAsia="宋体" w:cs="宋体"/>
          <w:sz w:val="22"/>
          <w:szCs w:val="22"/>
        </w:rPr>
        <w:fldChar w:fldCharType="separate"/>
      </w:r>
      <w:r>
        <w:rPr>
          <w:rFonts w:hint="eastAsia" w:ascii="宋体" w:hAnsi="宋体" w:eastAsia="宋体" w:cs="宋体"/>
          <w:sz w:val="22"/>
          <w:szCs w:val="22"/>
        </w:rPr>
        <w:t>96</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"_Toc32133" </w:instrText>
      </w:r>
      <w:r>
        <w:rPr>
          <w:rFonts w:hint="eastAsia" w:ascii="宋体" w:hAnsi="宋体" w:eastAsia="宋体" w:cs="宋体"/>
          <w:sz w:val="22"/>
          <w:szCs w:val="22"/>
        </w:rPr>
        <w:fldChar w:fldCharType="separate"/>
      </w:r>
      <w:r>
        <w:rPr>
          <w:rFonts w:hint="eastAsia" w:ascii="宋体" w:hAnsi="宋体" w:eastAsia="宋体" w:cs="宋体"/>
          <w:sz w:val="22"/>
          <w:szCs w:val="22"/>
        </w:rPr>
        <w:t>5、资格文件声明函</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_Toc32133 \h </w:instrText>
      </w:r>
      <w:r>
        <w:rPr>
          <w:rFonts w:hint="eastAsia" w:ascii="宋体" w:hAnsi="宋体" w:eastAsia="宋体" w:cs="宋体"/>
          <w:sz w:val="22"/>
          <w:szCs w:val="22"/>
        </w:rPr>
        <w:fldChar w:fldCharType="separate"/>
      </w:r>
      <w:r>
        <w:rPr>
          <w:rFonts w:hint="eastAsia" w:ascii="宋体" w:hAnsi="宋体" w:eastAsia="宋体" w:cs="宋体"/>
          <w:sz w:val="22"/>
          <w:szCs w:val="22"/>
        </w:rPr>
        <w:t>97</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"_Toc15259" </w:instrText>
      </w:r>
      <w:r>
        <w:rPr>
          <w:rFonts w:hint="eastAsia" w:ascii="宋体" w:hAnsi="宋体" w:eastAsia="宋体" w:cs="宋体"/>
          <w:sz w:val="22"/>
          <w:szCs w:val="22"/>
        </w:rPr>
        <w:fldChar w:fldCharType="separate"/>
      </w:r>
      <w:r>
        <w:rPr>
          <w:rFonts w:hint="eastAsia" w:ascii="宋体" w:hAnsi="宋体" w:eastAsia="宋体" w:cs="宋体"/>
          <w:sz w:val="22"/>
          <w:szCs w:val="22"/>
        </w:rPr>
        <w:t>6、投标单位基本情况、简介</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_Toc15259 \h </w:instrText>
      </w:r>
      <w:r>
        <w:rPr>
          <w:rFonts w:hint="eastAsia" w:ascii="宋体" w:hAnsi="宋体" w:eastAsia="宋体" w:cs="宋体"/>
          <w:sz w:val="22"/>
          <w:szCs w:val="22"/>
        </w:rPr>
        <w:fldChar w:fldCharType="separate"/>
      </w:r>
      <w:r>
        <w:rPr>
          <w:rFonts w:hint="eastAsia" w:ascii="宋体" w:hAnsi="宋体" w:eastAsia="宋体" w:cs="宋体"/>
          <w:sz w:val="22"/>
          <w:szCs w:val="22"/>
        </w:rPr>
        <w:t>98</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"_Toc11160" </w:instrText>
      </w:r>
      <w:r>
        <w:rPr>
          <w:rFonts w:hint="eastAsia" w:ascii="宋体" w:hAnsi="宋体" w:eastAsia="宋体" w:cs="宋体"/>
          <w:sz w:val="22"/>
          <w:szCs w:val="22"/>
        </w:rPr>
        <w:fldChar w:fldCharType="separate"/>
      </w:r>
      <w:r>
        <w:rPr>
          <w:rFonts w:hint="eastAsia" w:ascii="宋体" w:hAnsi="宋体" w:eastAsia="宋体" w:cs="宋体"/>
          <w:sz w:val="22"/>
          <w:szCs w:val="22"/>
        </w:rPr>
        <w:t>7、投标人资格证明文件</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_Toc11160 \h </w:instrText>
      </w:r>
      <w:r>
        <w:rPr>
          <w:rFonts w:hint="eastAsia" w:ascii="宋体" w:hAnsi="宋体" w:eastAsia="宋体" w:cs="宋体"/>
          <w:sz w:val="22"/>
          <w:szCs w:val="22"/>
        </w:rPr>
        <w:fldChar w:fldCharType="separate"/>
      </w:r>
      <w:r>
        <w:rPr>
          <w:rFonts w:hint="eastAsia" w:ascii="宋体" w:hAnsi="宋体" w:eastAsia="宋体" w:cs="宋体"/>
          <w:sz w:val="22"/>
          <w:szCs w:val="22"/>
        </w:rPr>
        <w:t>99</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"_Toc22419" </w:instrText>
      </w:r>
      <w:r>
        <w:rPr>
          <w:rFonts w:hint="eastAsia" w:ascii="宋体" w:hAnsi="宋体" w:eastAsia="宋体" w:cs="宋体"/>
          <w:sz w:val="22"/>
          <w:szCs w:val="22"/>
        </w:rPr>
        <w:fldChar w:fldCharType="separate"/>
      </w:r>
      <w:r>
        <w:rPr>
          <w:rFonts w:hint="eastAsia" w:ascii="宋体" w:hAnsi="宋体" w:eastAsia="宋体" w:cs="宋体"/>
          <w:sz w:val="22"/>
          <w:szCs w:val="22"/>
        </w:rPr>
        <w:t>9、业绩情况一览表</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_Toc22419 \h </w:instrText>
      </w:r>
      <w:r>
        <w:rPr>
          <w:rFonts w:hint="eastAsia" w:ascii="宋体" w:hAnsi="宋体" w:eastAsia="宋体" w:cs="宋体"/>
          <w:sz w:val="22"/>
          <w:szCs w:val="22"/>
        </w:rPr>
        <w:fldChar w:fldCharType="separate"/>
      </w:r>
      <w:r>
        <w:rPr>
          <w:rFonts w:hint="eastAsia" w:ascii="宋体" w:hAnsi="宋体" w:eastAsia="宋体" w:cs="宋体"/>
          <w:sz w:val="22"/>
          <w:szCs w:val="22"/>
        </w:rPr>
        <w:t>103</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"_Toc12218" </w:instrText>
      </w:r>
      <w:r>
        <w:rPr>
          <w:rFonts w:hint="eastAsia" w:ascii="宋体" w:hAnsi="宋体" w:eastAsia="宋体" w:cs="宋体"/>
          <w:sz w:val="22"/>
          <w:szCs w:val="22"/>
        </w:rPr>
        <w:fldChar w:fldCharType="separate"/>
      </w:r>
      <w:r>
        <w:rPr>
          <w:rFonts w:hint="eastAsia" w:ascii="宋体" w:hAnsi="宋体" w:eastAsia="宋体" w:cs="宋体"/>
          <w:sz w:val="22"/>
          <w:szCs w:val="22"/>
        </w:rPr>
        <w:t>10、拟投入本项目的服务团队人员情况表格式</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_Toc12218 \h </w:instrText>
      </w:r>
      <w:r>
        <w:rPr>
          <w:rFonts w:hint="eastAsia" w:ascii="宋体" w:hAnsi="宋体" w:eastAsia="宋体" w:cs="宋体"/>
          <w:sz w:val="22"/>
          <w:szCs w:val="22"/>
        </w:rPr>
        <w:fldChar w:fldCharType="separate"/>
      </w:r>
      <w:r>
        <w:rPr>
          <w:rFonts w:hint="eastAsia" w:ascii="宋体" w:hAnsi="宋体" w:eastAsia="宋体" w:cs="宋体"/>
          <w:sz w:val="22"/>
          <w:szCs w:val="22"/>
        </w:rPr>
        <w:t>104</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"_Toc25395" </w:instrText>
      </w:r>
      <w:r>
        <w:rPr>
          <w:rFonts w:hint="eastAsia" w:ascii="宋体" w:hAnsi="宋体" w:eastAsia="宋体" w:cs="宋体"/>
          <w:sz w:val="22"/>
          <w:szCs w:val="22"/>
        </w:rPr>
        <w:fldChar w:fldCharType="separate"/>
      </w:r>
      <w:r>
        <w:rPr>
          <w:rFonts w:hint="eastAsia" w:ascii="宋体" w:hAnsi="宋体" w:eastAsia="宋体" w:cs="宋体"/>
          <w:bCs/>
          <w:sz w:val="22"/>
          <w:szCs w:val="22"/>
        </w:rPr>
        <w:t>11</w:t>
      </w:r>
      <w:r>
        <w:rPr>
          <w:rFonts w:hint="eastAsia" w:ascii="宋体" w:hAnsi="宋体" w:eastAsia="宋体" w:cs="宋体"/>
          <w:sz w:val="22"/>
          <w:szCs w:val="22"/>
        </w:rPr>
        <w:t>、拟在本项目中投入的设备一览表</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_Toc25395 \h </w:instrText>
      </w:r>
      <w:r>
        <w:rPr>
          <w:rFonts w:hint="eastAsia" w:ascii="宋体" w:hAnsi="宋体" w:eastAsia="宋体" w:cs="宋体"/>
          <w:sz w:val="22"/>
          <w:szCs w:val="22"/>
        </w:rPr>
        <w:fldChar w:fldCharType="separate"/>
      </w:r>
      <w:r>
        <w:rPr>
          <w:rFonts w:hint="eastAsia" w:ascii="宋体" w:hAnsi="宋体" w:eastAsia="宋体" w:cs="宋体"/>
          <w:sz w:val="22"/>
          <w:szCs w:val="22"/>
        </w:rPr>
        <w:t>106</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"_Toc25711" </w:instrText>
      </w:r>
      <w:r>
        <w:rPr>
          <w:rFonts w:hint="eastAsia" w:ascii="宋体" w:hAnsi="宋体" w:eastAsia="宋体" w:cs="宋体"/>
          <w:sz w:val="22"/>
          <w:szCs w:val="22"/>
        </w:rPr>
        <w:fldChar w:fldCharType="separate"/>
      </w:r>
      <w:r>
        <w:rPr>
          <w:rFonts w:hint="eastAsia" w:ascii="宋体" w:hAnsi="宋体" w:eastAsia="宋体" w:cs="宋体"/>
          <w:bCs/>
          <w:sz w:val="22"/>
          <w:szCs w:val="22"/>
        </w:rPr>
        <w:t>12</w:t>
      </w:r>
      <w:r>
        <w:rPr>
          <w:rFonts w:hint="eastAsia" w:ascii="宋体" w:hAnsi="宋体" w:eastAsia="宋体" w:cs="宋体"/>
          <w:sz w:val="22"/>
          <w:szCs w:val="22"/>
        </w:rPr>
        <w:t>、服务方案</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_Toc25711 \h </w:instrText>
      </w:r>
      <w:r>
        <w:rPr>
          <w:rFonts w:hint="eastAsia" w:ascii="宋体" w:hAnsi="宋体" w:eastAsia="宋体" w:cs="宋体"/>
          <w:sz w:val="22"/>
          <w:szCs w:val="22"/>
        </w:rPr>
        <w:fldChar w:fldCharType="separate"/>
      </w:r>
      <w:r>
        <w:rPr>
          <w:rFonts w:hint="eastAsia" w:ascii="宋体" w:hAnsi="宋体" w:eastAsia="宋体" w:cs="宋体"/>
          <w:sz w:val="22"/>
          <w:szCs w:val="22"/>
        </w:rPr>
        <w:t>107</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"_Toc24433" </w:instrText>
      </w:r>
      <w:r>
        <w:rPr>
          <w:rFonts w:hint="eastAsia" w:ascii="宋体" w:hAnsi="宋体" w:eastAsia="宋体" w:cs="宋体"/>
          <w:sz w:val="22"/>
          <w:szCs w:val="22"/>
        </w:rPr>
        <w:fldChar w:fldCharType="separate"/>
      </w:r>
      <w:r>
        <w:rPr>
          <w:rFonts w:hint="eastAsia" w:ascii="宋体" w:hAnsi="宋体" w:eastAsia="宋体" w:cs="宋体"/>
          <w:sz w:val="22"/>
          <w:szCs w:val="22"/>
        </w:rPr>
        <w:t>13、用户需求偏离表</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_Toc24433 \h </w:instrText>
      </w:r>
      <w:r>
        <w:rPr>
          <w:rFonts w:hint="eastAsia" w:ascii="宋体" w:hAnsi="宋体" w:eastAsia="宋体" w:cs="宋体"/>
          <w:sz w:val="22"/>
          <w:szCs w:val="22"/>
        </w:rPr>
        <w:fldChar w:fldCharType="separate"/>
      </w:r>
      <w:r>
        <w:rPr>
          <w:rFonts w:hint="eastAsia" w:ascii="宋体" w:hAnsi="宋体" w:eastAsia="宋体" w:cs="宋体"/>
          <w:sz w:val="22"/>
          <w:szCs w:val="22"/>
        </w:rPr>
        <w:t>108</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"_Toc15672" </w:instrText>
      </w:r>
      <w:r>
        <w:rPr>
          <w:rFonts w:hint="eastAsia" w:ascii="宋体" w:hAnsi="宋体" w:eastAsia="宋体" w:cs="宋体"/>
          <w:sz w:val="22"/>
          <w:szCs w:val="22"/>
        </w:rPr>
        <w:fldChar w:fldCharType="separate"/>
      </w:r>
      <w:r>
        <w:rPr>
          <w:rFonts w:hint="eastAsia" w:ascii="宋体" w:hAnsi="宋体" w:eastAsia="宋体" w:cs="宋体"/>
          <w:sz w:val="22"/>
          <w:szCs w:val="22"/>
        </w:rPr>
        <w:t>14、★号条款响应表</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_Toc15672 \h </w:instrText>
      </w:r>
      <w:r>
        <w:rPr>
          <w:rFonts w:hint="eastAsia" w:ascii="宋体" w:hAnsi="宋体" w:eastAsia="宋体" w:cs="宋体"/>
          <w:sz w:val="22"/>
          <w:szCs w:val="22"/>
        </w:rPr>
        <w:fldChar w:fldCharType="separate"/>
      </w:r>
      <w:r>
        <w:rPr>
          <w:rFonts w:hint="eastAsia" w:ascii="宋体" w:hAnsi="宋体" w:eastAsia="宋体" w:cs="宋体"/>
          <w:sz w:val="22"/>
          <w:szCs w:val="22"/>
        </w:rPr>
        <w:t>109</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"_Toc10400" </w:instrText>
      </w:r>
      <w:r>
        <w:rPr>
          <w:rFonts w:hint="eastAsia" w:ascii="宋体" w:hAnsi="宋体" w:eastAsia="宋体" w:cs="宋体"/>
          <w:sz w:val="22"/>
          <w:szCs w:val="22"/>
        </w:rPr>
        <w:fldChar w:fldCharType="separate"/>
      </w:r>
      <w:r>
        <w:rPr>
          <w:rFonts w:hint="eastAsia" w:ascii="宋体" w:hAnsi="宋体" w:eastAsia="宋体" w:cs="宋体"/>
          <w:sz w:val="22"/>
          <w:szCs w:val="22"/>
        </w:rPr>
        <w:t>14.1、▲号条款响应表（如需）</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_Toc10400 \h </w:instrText>
      </w:r>
      <w:r>
        <w:rPr>
          <w:rFonts w:hint="eastAsia" w:ascii="宋体" w:hAnsi="宋体" w:eastAsia="宋体" w:cs="宋体"/>
          <w:sz w:val="22"/>
          <w:szCs w:val="22"/>
        </w:rPr>
        <w:fldChar w:fldCharType="separate"/>
      </w:r>
      <w:r>
        <w:rPr>
          <w:rFonts w:hint="eastAsia" w:ascii="宋体" w:hAnsi="宋体" w:eastAsia="宋体" w:cs="宋体"/>
          <w:sz w:val="22"/>
          <w:szCs w:val="22"/>
        </w:rPr>
        <w:t>112</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"_Toc9762" </w:instrText>
      </w:r>
      <w:r>
        <w:rPr>
          <w:rFonts w:hint="eastAsia" w:ascii="宋体" w:hAnsi="宋体" w:eastAsia="宋体" w:cs="宋体"/>
          <w:sz w:val="22"/>
          <w:szCs w:val="22"/>
        </w:rPr>
        <w:fldChar w:fldCharType="separate"/>
      </w:r>
      <w:r>
        <w:rPr>
          <w:rFonts w:hint="eastAsia" w:ascii="宋体" w:hAnsi="宋体" w:eastAsia="宋体" w:cs="宋体"/>
          <w:sz w:val="22"/>
          <w:szCs w:val="22"/>
        </w:rPr>
        <w:t>15、合同条款偏离表</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_Toc9762 \h </w:instrText>
      </w:r>
      <w:r>
        <w:rPr>
          <w:rFonts w:hint="eastAsia" w:ascii="宋体" w:hAnsi="宋体" w:eastAsia="宋体" w:cs="宋体"/>
          <w:sz w:val="22"/>
          <w:szCs w:val="22"/>
        </w:rPr>
        <w:fldChar w:fldCharType="separate"/>
      </w:r>
      <w:r>
        <w:rPr>
          <w:rFonts w:hint="eastAsia" w:ascii="宋体" w:hAnsi="宋体" w:eastAsia="宋体" w:cs="宋体"/>
          <w:sz w:val="22"/>
          <w:szCs w:val="22"/>
        </w:rPr>
        <w:t>113</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"_Toc25564" </w:instrText>
      </w:r>
      <w:r>
        <w:rPr>
          <w:rFonts w:hint="eastAsia" w:ascii="宋体" w:hAnsi="宋体" w:eastAsia="宋体" w:cs="宋体"/>
          <w:sz w:val="22"/>
          <w:szCs w:val="22"/>
        </w:rPr>
        <w:fldChar w:fldCharType="separate"/>
      </w:r>
      <w:r>
        <w:rPr>
          <w:rFonts w:hint="eastAsia" w:ascii="宋体" w:hAnsi="宋体" w:eastAsia="宋体" w:cs="宋体"/>
          <w:sz w:val="22"/>
          <w:szCs w:val="22"/>
        </w:rPr>
        <w:t>16、技术条款偏离表</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_Toc25564 \h </w:instrText>
      </w:r>
      <w:r>
        <w:rPr>
          <w:rFonts w:hint="eastAsia" w:ascii="宋体" w:hAnsi="宋体" w:eastAsia="宋体" w:cs="宋体"/>
          <w:sz w:val="22"/>
          <w:szCs w:val="22"/>
        </w:rPr>
        <w:fldChar w:fldCharType="separate"/>
      </w:r>
      <w:r>
        <w:rPr>
          <w:rFonts w:hint="eastAsia" w:ascii="宋体" w:hAnsi="宋体" w:eastAsia="宋体" w:cs="宋体"/>
          <w:sz w:val="22"/>
          <w:szCs w:val="22"/>
        </w:rPr>
        <w:t>114</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"_Toc5403" </w:instrText>
      </w:r>
      <w:r>
        <w:rPr>
          <w:rFonts w:hint="eastAsia" w:ascii="宋体" w:hAnsi="宋体" w:eastAsia="宋体" w:cs="宋体"/>
          <w:sz w:val="22"/>
          <w:szCs w:val="22"/>
        </w:rPr>
        <w:fldChar w:fldCharType="separate"/>
      </w:r>
      <w:r>
        <w:rPr>
          <w:rFonts w:hint="eastAsia" w:ascii="宋体" w:hAnsi="宋体" w:eastAsia="宋体" w:cs="宋体"/>
          <w:sz w:val="22"/>
          <w:szCs w:val="22"/>
        </w:rPr>
        <w:t>17、商务条款偏离表</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_Toc5403 \h </w:instrText>
      </w:r>
      <w:r>
        <w:rPr>
          <w:rFonts w:hint="eastAsia" w:ascii="宋体" w:hAnsi="宋体" w:eastAsia="宋体" w:cs="宋体"/>
          <w:sz w:val="22"/>
          <w:szCs w:val="22"/>
        </w:rPr>
        <w:fldChar w:fldCharType="separate"/>
      </w:r>
      <w:r>
        <w:rPr>
          <w:rFonts w:hint="eastAsia" w:ascii="宋体" w:hAnsi="宋体" w:eastAsia="宋体" w:cs="宋体"/>
          <w:sz w:val="22"/>
          <w:szCs w:val="22"/>
        </w:rPr>
        <w:t>115</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"_Toc23180" </w:instrText>
      </w:r>
      <w:r>
        <w:rPr>
          <w:rFonts w:hint="eastAsia" w:ascii="宋体" w:hAnsi="宋体" w:eastAsia="宋体" w:cs="宋体"/>
          <w:sz w:val="22"/>
          <w:szCs w:val="22"/>
        </w:rPr>
        <w:fldChar w:fldCharType="separate"/>
      </w:r>
      <w:r>
        <w:rPr>
          <w:rFonts w:hint="eastAsia" w:ascii="宋体" w:hAnsi="宋体" w:eastAsia="宋体" w:cs="宋体"/>
          <w:sz w:val="22"/>
          <w:szCs w:val="22"/>
        </w:rPr>
        <w:t>18、投标保证金汇入情况说明</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_Toc23180 \h </w:instrText>
      </w:r>
      <w:r>
        <w:rPr>
          <w:rFonts w:hint="eastAsia" w:ascii="宋体" w:hAnsi="宋体" w:eastAsia="宋体" w:cs="宋体"/>
          <w:sz w:val="22"/>
          <w:szCs w:val="22"/>
        </w:rPr>
        <w:fldChar w:fldCharType="separate"/>
      </w:r>
      <w:r>
        <w:rPr>
          <w:rFonts w:hint="eastAsia" w:ascii="宋体" w:hAnsi="宋体" w:eastAsia="宋体" w:cs="宋体"/>
          <w:sz w:val="22"/>
          <w:szCs w:val="22"/>
        </w:rPr>
        <w:t>116</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"_Toc30045" </w:instrText>
      </w:r>
      <w:r>
        <w:rPr>
          <w:rFonts w:hint="eastAsia" w:ascii="宋体" w:hAnsi="宋体" w:eastAsia="宋体" w:cs="宋体"/>
          <w:sz w:val="22"/>
          <w:szCs w:val="22"/>
        </w:rPr>
        <w:fldChar w:fldCharType="separate"/>
      </w:r>
      <w:r>
        <w:rPr>
          <w:rFonts w:hint="eastAsia" w:ascii="宋体" w:hAnsi="宋体" w:eastAsia="宋体" w:cs="宋体"/>
          <w:sz w:val="22"/>
          <w:szCs w:val="22"/>
        </w:rPr>
        <w:t>19、中标服务费承诺书</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_Toc30045 \h </w:instrText>
      </w:r>
      <w:r>
        <w:rPr>
          <w:rFonts w:hint="eastAsia" w:ascii="宋体" w:hAnsi="宋体" w:eastAsia="宋体" w:cs="宋体"/>
          <w:sz w:val="22"/>
          <w:szCs w:val="22"/>
        </w:rPr>
        <w:fldChar w:fldCharType="separate"/>
      </w:r>
      <w:r>
        <w:rPr>
          <w:rFonts w:hint="eastAsia" w:ascii="宋体" w:hAnsi="宋体" w:eastAsia="宋体" w:cs="宋体"/>
          <w:sz w:val="22"/>
          <w:szCs w:val="22"/>
        </w:rPr>
        <w:t>117</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13"/>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"_Toc16232" </w:instrText>
      </w:r>
      <w:r>
        <w:rPr>
          <w:rFonts w:hint="eastAsia" w:ascii="宋体" w:hAnsi="宋体" w:eastAsia="宋体" w:cs="宋体"/>
          <w:sz w:val="22"/>
          <w:szCs w:val="22"/>
        </w:rPr>
        <w:fldChar w:fldCharType="separate"/>
      </w:r>
      <w:r>
        <w:rPr>
          <w:rFonts w:hint="eastAsia" w:ascii="宋体" w:hAnsi="宋体" w:eastAsia="宋体" w:cs="宋体"/>
          <w:sz w:val="22"/>
          <w:szCs w:val="22"/>
        </w:rPr>
        <w:t>20、投标人认为需加以说明的其他内容</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_Toc16232 \h </w:instrText>
      </w:r>
      <w:r>
        <w:rPr>
          <w:rFonts w:hint="eastAsia" w:ascii="宋体" w:hAnsi="宋体" w:eastAsia="宋体" w:cs="宋体"/>
          <w:sz w:val="22"/>
          <w:szCs w:val="22"/>
        </w:rPr>
        <w:fldChar w:fldCharType="separate"/>
      </w:r>
      <w:r>
        <w:rPr>
          <w:rFonts w:hint="eastAsia" w:ascii="宋体" w:hAnsi="宋体" w:eastAsia="宋体" w:cs="宋体"/>
          <w:sz w:val="22"/>
          <w:szCs w:val="22"/>
        </w:rPr>
        <w:t>118</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25"/>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"_Toc15873" </w:instrText>
      </w:r>
      <w:r>
        <w:rPr>
          <w:rFonts w:hint="eastAsia" w:ascii="宋体" w:hAnsi="宋体" w:eastAsia="宋体" w:cs="宋体"/>
          <w:sz w:val="22"/>
          <w:szCs w:val="22"/>
        </w:rPr>
        <w:fldChar w:fldCharType="separate"/>
      </w:r>
      <w:r>
        <w:rPr>
          <w:rFonts w:hint="eastAsia" w:ascii="宋体" w:hAnsi="宋体" w:eastAsia="宋体" w:cs="宋体"/>
          <w:bCs/>
          <w:spacing w:val="-6"/>
          <w:sz w:val="22"/>
          <w:szCs w:val="22"/>
        </w:rPr>
        <w:t>三、唱标信封</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_Toc15873 \h </w:instrText>
      </w:r>
      <w:r>
        <w:rPr>
          <w:rFonts w:hint="eastAsia" w:ascii="宋体" w:hAnsi="宋体" w:eastAsia="宋体" w:cs="宋体"/>
          <w:sz w:val="22"/>
          <w:szCs w:val="22"/>
        </w:rPr>
        <w:fldChar w:fldCharType="separate"/>
      </w:r>
      <w:r>
        <w:rPr>
          <w:rFonts w:hint="eastAsia" w:ascii="宋体" w:hAnsi="宋体" w:eastAsia="宋体" w:cs="宋体"/>
          <w:sz w:val="22"/>
          <w:szCs w:val="22"/>
        </w:rPr>
        <w:t>119</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25"/>
        <w:tabs>
          <w:tab w:val="right" w:leader="dot" w:pos="9026"/>
        </w:tabs>
        <w:rPr>
          <w:rFonts w:hint="eastAsia" w:ascii="宋体" w:hAnsi="宋体" w:eastAsia="宋体" w:cs="宋体"/>
          <w:sz w:val="22"/>
          <w:szCs w:val="22"/>
        </w:rPr>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\l "_Toc26492" </w:instrText>
      </w:r>
      <w:r>
        <w:rPr>
          <w:rFonts w:hint="eastAsia" w:ascii="宋体" w:hAnsi="宋体" w:eastAsia="宋体" w:cs="宋体"/>
          <w:sz w:val="22"/>
          <w:szCs w:val="22"/>
        </w:rPr>
        <w:fldChar w:fldCharType="separate"/>
      </w:r>
      <w:r>
        <w:rPr>
          <w:rFonts w:hint="eastAsia" w:ascii="宋体" w:hAnsi="宋体" w:eastAsia="宋体" w:cs="宋体"/>
          <w:bCs/>
          <w:spacing w:val="-6"/>
          <w:sz w:val="22"/>
          <w:szCs w:val="22"/>
        </w:rPr>
        <w:t>四、无线胶装样式</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_Toc26492 \h </w:instrText>
      </w:r>
      <w:r>
        <w:rPr>
          <w:rFonts w:hint="eastAsia" w:ascii="宋体" w:hAnsi="宋体" w:eastAsia="宋体" w:cs="宋体"/>
          <w:sz w:val="22"/>
          <w:szCs w:val="22"/>
        </w:rPr>
        <w:fldChar w:fldCharType="separate"/>
      </w:r>
      <w:r>
        <w:rPr>
          <w:rFonts w:hint="eastAsia" w:ascii="宋体" w:hAnsi="宋体" w:eastAsia="宋体" w:cs="宋体"/>
          <w:sz w:val="22"/>
          <w:szCs w:val="22"/>
        </w:rPr>
        <w:t>120</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snapToGrid w:val="0"/>
        <w:spacing w:line="360" w:lineRule="auto"/>
        <w:jc w:val="center"/>
        <w:rPr>
          <w:rFonts w:ascii="宋体" w:hAnsi="宋体" w:cs="宋体"/>
          <w:b/>
          <w:bCs/>
          <w:sz w:val="32"/>
          <w:szCs w:val="32"/>
        </w:rPr>
      </w:pPr>
      <w:r>
        <w:rPr>
          <w:rFonts w:hint="eastAsia" w:ascii="宋体" w:hAnsi="宋体" w:eastAsia="宋体" w:cs="宋体"/>
          <w:sz w:val="22"/>
          <w:szCs w:val="22"/>
        </w:rPr>
        <w:fldChar w:fldCharType="end"/>
      </w:r>
    </w:p>
    <w:p>
      <w:r>
        <w:br w:type="page"/>
      </w:r>
    </w:p>
    <w:p/>
    <w:p>
      <w:pPr>
        <w:snapToGrid w:val="0"/>
        <w:spacing w:line="360" w:lineRule="auto"/>
        <w:jc w:val="center"/>
        <w:rPr>
          <w:rFonts w:ascii="宋体" w:hAnsi="宋体" w:cs="宋体"/>
          <w:b/>
          <w:bCs/>
          <w:sz w:val="32"/>
          <w:szCs w:val="32"/>
        </w:rPr>
      </w:pPr>
    </w:p>
    <w:p>
      <w:pPr>
        <w:snapToGrid w:val="0"/>
        <w:spacing w:line="360" w:lineRule="auto"/>
        <w:jc w:val="center"/>
        <w:rPr>
          <w:rFonts w:ascii="宋体" w:hAnsi="宋体" w:cs="宋体"/>
          <w:b/>
          <w:bCs/>
          <w:sz w:val="32"/>
          <w:szCs w:val="32"/>
        </w:rPr>
      </w:pPr>
    </w:p>
    <w:p>
      <w:pPr>
        <w:snapToGrid w:val="0"/>
        <w:spacing w:line="360" w:lineRule="auto"/>
        <w:jc w:val="center"/>
        <w:rPr>
          <w:rFonts w:ascii="宋体" w:hAnsi="宋体" w:cs="宋体"/>
          <w:b/>
          <w:bCs/>
          <w:sz w:val="32"/>
          <w:szCs w:val="32"/>
        </w:rPr>
      </w:pPr>
    </w:p>
    <w:p>
      <w:pPr>
        <w:snapToGrid w:val="0"/>
        <w:spacing w:line="360" w:lineRule="auto"/>
        <w:jc w:val="center"/>
        <w:rPr>
          <w:rFonts w:ascii="宋体" w:hAnsi="宋体" w:cs="宋体"/>
          <w:b/>
          <w:bCs/>
          <w:sz w:val="32"/>
          <w:szCs w:val="32"/>
        </w:rPr>
      </w:pPr>
    </w:p>
    <w:p>
      <w:pPr>
        <w:pStyle w:val="3"/>
        <w:numPr>
          <w:ilvl w:val="0"/>
          <w:numId w:val="1"/>
        </w:numPr>
        <w:jc w:val="center"/>
        <w:rPr>
          <w:rFonts w:ascii="宋体" w:hAnsi="宋体"/>
        </w:rPr>
      </w:pPr>
      <w:bookmarkStart w:id="0" w:name="_Toc27306"/>
      <w:bookmarkStart w:id="1" w:name="_Toc872"/>
      <w:bookmarkStart w:id="2" w:name="_Toc427232293"/>
      <w:bookmarkStart w:id="3" w:name="_Toc7100"/>
      <w:bookmarkStart w:id="4" w:name="_Toc15980"/>
      <w:bookmarkStart w:id="5" w:name="_Toc441844047"/>
      <w:bookmarkStart w:id="6" w:name="_Toc26007"/>
      <w:bookmarkStart w:id="7" w:name="_Toc27224"/>
      <w:r>
        <w:rPr>
          <w:rFonts w:hint="eastAsia" w:ascii="宋体" w:hAnsi="宋体"/>
        </w:rPr>
        <w:t>投标邀请</w:t>
      </w:r>
      <w:bookmarkEnd w:id="0"/>
      <w:bookmarkEnd w:id="1"/>
      <w:bookmarkEnd w:id="2"/>
      <w:bookmarkEnd w:id="3"/>
      <w:bookmarkEnd w:id="4"/>
      <w:bookmarkEnd w:id="5"/>
      <w:bookmarkEnd w:id="6"/>
      <w:bookmarkEnd w:id="7"/>
    </w:p>
    <w:p>
      <w:pPr>
        <w:rPr>
          <w:rFonts w:ascii="宋体" w:hAnsi="宋体"/>
        </w:rPr>
      </w:pPr>
    </w:p>
    <w:p>
      <w:pPr>
        <w:pStyle w:val="2"/>
      </w:pPr>
    </w:p>
    <w:p>
      <w:pPr>
        <w:widowControl/>
        <w:jc w:val="left"/>
        <w:rPr>
          <w:rFonts w:ascii="宋体" w:hAnsi="宋体" w:cs="宋体"/>
          <w:b/>
          <w:bCs/>
          <w:sz w:val="32"/>
          <w:szCs w:val="32"/>
        </w:rPr>
      </w:pPr>
    </w:p>
    <w:p>
      <w:pPr>
        <w:widowControl/>
        <w:jc w:val="left"/>
        <w:rPr>
          <w:rFonts w:ascii="宋体" w:hAnsi="宋体" w:cs="宋体"/>
          <w:b/>
          <w:bCs/>
          <w:sz w:val="32"/>
          <w:szCs w:val="32"/>
        </w:rPr>
      </w:pPr>
    </w:p>
    <w:p>
      <w:pPr>
        <w:widowControl/>
        <w:jc w:val="left"/>
        <w:rPr>
          <w:rFonts w:ascii="宋体" w:hAnsi="宋体" w:cs="宋体"/>
          <w:b/>
          <w:bCs/>
          <w:sz w:val="32"/>
          <w:szCs w:val="32"/>
        </w:rPr>
      </w:pPr>
    </w:p>
    <w:p>
      <w:pPr>
        <w:widowControl/>
        <w:jc w:val="left"/>
        <w:rPr>
          <w:rFonts w:ascii="宋体" w:hAnsi="宋体" w:cs="宋体"/>
          <w:b/>
          <w:bCs/>
          <w:sz w:val="32"/>
          <w:szCs w:val="32"/>
        </w:rPr>
      </w:pPr>
    </w:p>
    <w:p>
      <w:pPr>
        <w:widowControl/>
        <w:jc w:val="left"/>
        <w:rPr>
          <w:rFonts w:ascii="宋体" w:hAnsi="宋体" w:cs="宋体"/>
          <w:b/>
          <w:bCs/>
          <w:sz w:val="32"/>
          <w:szCs w:val="32"/>
        </w:rPr>
      </w:pPr>
    </w:p>
    <w:p>
      <w:pPr>
        <w:widowControl/>
        <w:jc w:val="left"/>
        <w:rPr>
          <w:rFonts w:ascii="宋体" w:hAnsi="宋体" w:cs="宋体"/>
          <w:b/>
          <w:bCs/>
          <w:sz w:val="32"/>
          <w:szCs w:val="32"/>
        </w:rPr>
      </w:pPr>
    </w:p>
    <w:p>
      <w:pPr>
        <w:widowControl/>
        <w:jc w:val="left"/>
        <w:rPr>
          <w:rFonts w:ascii="宋体" w:hAnsi="宋体" w:cs="宋体"/>
          <w:b/>
          <w:bCs/>
          <w:sz w:val="32"/>
          <w:szCs w:val="32"/>
        </w:rPr>
      </w:pPr>
    </w:p>
    <w:p>
      <w:pPr>
        <w:widowControl/>
        <w:jc w:val="left"/>
        <w:rPr>
          <w:rFonts w:ascii="宋体" w:hAnsi="宋体" w:cs="宋体"/>
          <w:b/>
          <w:bCs/>
          <w:sz w:val="32"/>
          <w:szCs w:val="32"/>
        </w:rPr>
      </w:pPr>
    </w:p>
    <w:p>
      <w:pPr>
        <w:widowControl/>
        <w:jc w:val="left"/>
        <w:rPr>
          <w:rFonts w:ascii="宋体" w:hAnsi="宋体" w:cs="宋体"/>
          <w:b/>
          <w:bCs/>
          <w:sz w:val="32"/>
          <w:szCs w:val="32"/>
        </w:rPr>
      </w:pPr>
    </w:p>
    <w:p>
      <w:pPr>
        <w:rPr>
          <w:rFonts w:ascii="宋体" w:hAnsi="宋体" w:cs="宋体"/>
          <w:bCs/>
          <w:szCs w:val="32"/>
        </w:rPr>
      </w:pPr>
      <w:bookmarkStart w:id="8" w:name="_Toc22562"/>
      <w:bookmarkStart w:id="9" w:name="_Toc441844048"/>
      <w:r>
        <w:rPr>
          <w:rFonts w:hint="eastAsia" w:ascii="宋体" w:hAnsi="宋体" w:cs="宋体"/>
          <w:bCs/>
          <w:szCs w:val="32"/>
        </w:rPr>
        <w:br w:type="page"/>
      </w:r>
    </w:p>
    <w:p>
      <w:pPr>
        <w:pStyle w:val="4"/>
        <w:ind w:left="0" w:firstLine="0"/>
        <w:jc w:val="center"/>
        <w:rPr>
          <w:rFonts w:ascii="宋体" w:hAnsi="宋体" w:eastAsia="宋体" w:cs="宋体"/>
          <w:b w:val="0"/>
          <w:bCs/>
          <w:szCs w:val="32"/>
        </w:rPr>
      </w:pPr>
      <w:bookmarkStart w:id="10" w:name="_Toc14216"/>
      <w:bookmarkStart w:id="11" w:name="_Toc275"/>
      <w:bookmarkStart w:id="12" w:name="_Toc10559"/>
      <w:bookmarkStart w:id="13" w:name="_Toc17103"/>
      <w:bookmarkStart w:id="14" w:name="_Toc18543"/>
      <w:r>
        <w:rPr>
          <w:rFonts w:hint="eastAsia" w:ascii="宋体" w:hAnsi="宋体" w:eastAsia="宋体" w:cs="宋体"/>
          <w:bCs/>
          <w:szCs w:val="32"/>
        </w:rPr>
        <w:t>一、 投标邀请函</w:t>
      </w:r>
      <w:bookmarkEnd w:id="8"/>
      <w:bookmarkEnd w:id="9"/>
      <w:bookmarkEnd w:id="10"/>
      <w:bookmarkEnd w:id="11"/>
      <w:bookmarkEnd w:id="12"/>
      <w:bookmarkEnd w:id="13"/>
      <w:bookmarkEnd w:id="14"/>
    </w:p>
    <w:p>
      <w:pPr>
        <w:snapToGrid w:val="0"/>
        <w:spacing w:line="360" w:lineRule="auto"/>
        <w:rPr>
          <w:rFonts w:ascii="宋体" w:hAnsi="宋体" w:cs="宋体"/>
          <w:bCs/>
          <w:sz w:val="22"/>
          <w:szCs w:val="22"/>
        </w:rPr>
      </w:pPr>
    </w:p>
    <w:p>
      <w:pPr>
        <w:numPr>
          <w:ilvl w:val="0"/>
          <w:numId w:val="2"/>
        </w:numPr>
        <w:snapToGrid w:val="0"/>
        <w:spacing w:line="360" w:lineRule="auto"/>
        <w:rPr>
          <w:rFonts w:ascii="宋体" w:hAnsi="宋体" w:cs="宋体"/>
          <w:bCs/>
          <w:sz w:val="22"/>
          <w:szCs w:val="22"/>
        </w:rPr>
      </w:pPr>
      <w:r>
        <w:rPr>
          <w:rFonts w:hint="eastAsia" w:ascii="宋体" w:hAnsi="宋体" w:cs="宋体"/>
          <w:bCs/>
          <w:sz w:val="22"/>
          <w:szCs w:val="22"/>
        </w:rPr>
        <w:t>采购编号：SL-CG2022028</w:t>
      </w:r>
    </w:p>
    <w:p>
      <w:pPr>
        <w:numPr>
          <w:ilvl w:val="0"/>
          <w:numId w:val="2"/>
        </w:numPr>
        <w:snapToGrid w:val="0"/>
        <w:spacing w:line="360" w:lineRule="auto"/>
        <w:rPr>
          <w:rFonts w:ascii="宋体" w:hAnsi="宋体" w:cs="宋体"/>
          <w:bCs/>
          <w:sz w:val="22"/>
          <w:szCs w:val="22"/>
        </w:rPr>
      </w:pPr>
      <w:r>
        <w:rPr>
          <w:rFonts w:hint="eastAsia" w:ascii="宋体" w:hAnsi="宋体" w:cs="宋体"/>
          <w:bCs/>
          <w:sz w:val="22"/>
          <w:szCs w:val="22"/>
        </w:rPr>
        <w:t>项目名称：</w:t>
      </w:r>
      <w:r>
        <w:rPr>
          <w:rFonts w:hint="eastAsia" w:ascii="宋体" w:hAnsi="宋体" w:cs="宋体"/>
          <w:bCs/>
          <w:sz w:val="22"/>
          <w:szCs w:val="22"/>
          <w:u w:val="single"/>
          <w:lang w:eastAsia="zh-CN"/>
        </w:rPr>
        <w:t>东莞市交通投资集团有限公司供应链服务平台项目</w:t>
      </w:r>
    </w:p>
    <w:p>
      <w:pPr>
        <w:numPr>
          <w:ilvl w:val="0"/>
          <w:numId w:val="2"/>
        </w:numPr>
        <w:snapToGrid w:val="0"/>
        <w:spacing w:line="360" w:lineRule="auto"/>
        <w:rPr>
          <w:rFonts w:ascii="宋体" w:hAnsi="宋体" w:cs="宋体"/>
          <w:bCs/>
          <w:sz w:val="22"/>
          <w:szCs w:val="22"/>
        </w:rPr>
      </w:pPr>
      <w:r>
        <w:rPr>
          <w:rFonts w:hint="eastAsia" w:ascii="宋体" w:hAnsi="宋体" w:cs="宋体"/>
          <w:bCs/>
          <w:sz w:val="22"/>
          <w:szCs w:val="22"/>
        </w:rPr>
        <w:t>采购内容：</w:t>
      </w:r>
    </w:p>
    <w:tbl>
      <w:tblPr>
        <w:tblStyle w:val="3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3864"/>
        <w:gridCol w:w="2747"/>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408" w:type="pct"/>
            <w:vAlign w:val="center"/>
          </w:tcPr>
          <w:p>
            <w:pPr>
              <w:snapToGrid w:val="0"/>
              <w:spacing w:line="360" w:lineRule="auto"/>
              <w:jc w:val="center"/>
              <w:rPr>
                <w:rFonts w:ascii="宋体" w:hAnsi="宋体" w:cs="宋体"/>
                <w:b/>
                <w:bCs/>
                <w:sz w:val="22"/>
                <w:szCs w:val="22"/>
              </w:rPr>
            </w:pPr>
            <w:r>
              <w:rPr>
                <w:rFonts w:hint="eastAsia" w:ascii="宋体" w:hAnsi="宋体" w:cs="宋体"/>
                <w:b/>
                <w:bCs/>
                <w:sz w:val="22"/>
                <w:szCs w:val="22"/>
              </w:rPr>
              <w:t>包号</w:t>
            </w:r>
          </w:p>
        </w:tc>
        <w:tc>
          <w:tcPr>
            <w:tcW w:w="2090" w:type="pct"/>
            <w:vAlign w:val="center"/>
          </w:tcPr>
          <w:p>
            <w:pPr>
              <w:snapToGrid w:val="0"/>
              <w:spacing w:line="360" w:lineRule="auto"/>
              <w:jc w:val="center"/>
              <w:rPr>
                <w:rFonts w:ascii="宋体" w:hAnsi="宋体" w:cs="宋体"/>
                <w:b/>
                <w:bCs/>
                <w:sz w:val="22"/>
                <w:szCs w:val="22"/>
              </w:rPr>
            </w:pPr>
            <w:r>
              <w:rPr>
                <w:rFonts w:hint="eastAsia" w:ascii="宋体" w:hAnsi="宋体" w:cs="宋体"/>
                <w:b/>
                <w:bCs/>
                <w:sz w:val="22"/>
                <w:szCs w:val="22"/>
              </w:rPr>
              <w:t>服务名称</w:t>
            </w:r>
          </w:p>
        </w:tc>
        <w:tc>
          <w:tcPr>
            <w:tcW w:w="1486" w:type="pct"/>
            <w:vAlign w:val="center"/>
          </w:tcPr>
          <w:p>
            <w:pPr>
              <w:snapToGrid w:val="0"/>
              <w:spacing w:line="360" w:lineRule="auto"/>
              <w:jc w:val="center"/>
              <w:rPr>
                <w:rFonts w:hint="eastAsia" w:ascii="宋体" w:hAnsi="宋体" w:eastAsia="宋体" w:cs="宋体"/>
                <w:b/>
                <w:bCs/>
                <w:sz w:val="22"/>
                <w:szCs w:val="22"/>
                <w:lang w:eastAsia="zh-CN"/>
              </w:rPr>
            </w:pPr>
            <w:r>
              <w:rPr>
                <w:rFonts w:hint="eastAsia" w:ascii="宋体" w:hAnsi="宋体" w:cs="宋体"/>
                <w:b/>
                <w:sz w:val="22"/>
                <w:szCs w:val="22"/>
                <w:lang w:eastAsia="zh-CN"/>
              </w:rPr>
              <w:t>工期</w:t>
            </w:r>
          </w:p>
        </w:tc>
        <w:tc>
          <w:tcPr>
            <w:tcW w:w="1013" w:type="pct"/>
            <w:vAlign w:val="center"/>
          </w:tcPr>
          <w:p>
            <w:pPr>
              <w:snapToGrid w:val="0"/>
              <w:spacing w:line="360" w:lineRule="auto"/>
              <w:jc w:val="center"/>
              <w:rPr>
                <w:rFonts w:ascii="宋体" w:hAnsi="宋体" w:cs="宋体"/>
                <w:b/>
                <w:bCs/>
                <w:sz w:val="22"/>
                <w:szCs w:val="22"/>
              </w:rPr>
            </w:pPr>
            <w:r>
              <w:rPr>
                <w:rFonts w:hint="eastAsia" w:ascii="宋体" w:hAnsi="宋体" w:cs="宋体"/>
                <w:b/>
                <w:sz w:val="22"/>
                <w:szCs w:val="22"/>
              </w:rPr>
              <w:t>采购预算金额（元）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jc w:val="center"/>
        </w:trPr>
        <w:tc>
          <w:tcPr>
            <w:tcW w:w="408" w:type="pc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bCs/>
                <w:sz w:val="22"/>
                <w:szCs w:val="22"/>
              </w:rPr>
            </w:pPr>
            <w:r>
              <w:rPr>
                <w:rFonts w:hint="eastAsia" w:ascii="宋体" w:hAnsi="宋体" w:cs="宋体"/>
                <w:bCs/>
                <w:sz w:val="22"/>
                <w:szCs w:val="22"/>
              </w:rPr>
              <w:t>A</w:t>
            </w:r>
          </w:p>
        </w:tc>
        <w:tc>
          <w:tcPr>
            <w:tcW w:w="2090" w:type="pct"/>
            <w:tcBorders>
              <w:top w:val="single" w:color="auto" w:sz="4" w:space="0"/>
              <w:left w:val="single" w:color="auto" w:sz="4" w:space="0"/>
              <w:right w:val="single" w:color="auto" w:sz="4" w:space="0"/>
            </w:tcBorders>
            <w:vAlign w:val="center"/>
          </w:tcPr>
          <w:p>
            <w:pPr>
              <w:snapToGrid w:val="0"/>
              <w:spacing w:line="360" w:lineRule="auto"/>
              <w:jc w:val="center"/>
              <w:rPr>
                <w:rFonts w:hint="eastAsia" w:ascii="宋体" w:hAnsi="宋体" w:eastAsia="宋体" w:cs="宋体"/>
                <w:bCs/>
                <w:sz w:val="22"/>
                <w:szCs w:val="22"/>
                <w:lang w:eastAsia="zh-CN"/>
              </w:rPr>
            </w:pPr>
            <w:r>
              <w:rPr>
                <w:rFonts w:hint="eastAsia" w:ascii="宋体" w:hAnsi="宋体" w:cs="宋体"/>
                <w:bCs/>
                <w:sz w:val="22"/>
                <w:szCs w:val="22"/>
                <w:lang w:eastAsia="zh-CN"/>
              </w:rPr>
              <w:t>东莞市交通投资集团有限公司供应链服务平台项目</w:t>
            </w:r>
          </w:p>
        </w:tc>
        <w:tc>
          <w:tcPr>
            <w:tcW w:w="1486" w:type="pc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2"/>
                <w:szCs w:val="22"/>
              </w:rPr>
            </w:pPr>
            <w:r>
              <w:rPr>
                <w:rFonts w:hint="eastAsia" w:ascii="宋体" w:hAnsi="宋体" w:cs="宋体"/>
                <w:sz w:val="22"/>
                <w:szCs w:val="22"/>
              </w:rPr>
              <w:t>合同签订后，4个月内完成系统功能上线，</w:t>
            </w:r>
            <w:r>
              <w:rPr>
                <w:rFonts w:hint="eastAsia" w:ascii="宋体" w:hAnsi="宋体" w:cs="宋体"/>
                <w:sz w:val="22"/>
                <w:szCs w:val="22"/>
                <w:lang w:eastAsia="zh-CN"/>
              </w:rPr>
              <w:t>运行维护期</w:t>
            </w:r>
            <w:r>
              <w:rPr>
                <w:rFonts w:hint="eastAsia" w:ascii="宋体" w:hAnsi="宋体" w:cs="宋体"/>
                <w:sz w:val="22"/>
                <w:szCs w:val="22"/>
                <w:lang w:val="en-US" w:eastAsia="zh-CN"/>
              </w:rPr>
              <w:t>4年</w:t>
            </w:r>
            <w:r>
              <w:rPr>
                <w:rFonts w:hint="eastAsia" w:ascii="宋体" w:hAnsi="宋体" w:cs="宋体"/>
                <w:sz w:val="22"/>
                <w:szCs w:val="22"/>
              </w:rPr>
              <w:t>。</w:t>
            </w:r>
          </w:p>
        </w:tc>
        <w:tc>
          <w:tcPr>
            <w:tcW w:w="1013"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Cs/>
                <w:sz w:val="22"/>
                <w:szCs w:val="22"/>
              </w:rPr>
            </w:pPr>
            <w:r>
              <w:rPr>
                <w:rFonts w:hint="eastAsia" w:ascii="宋体" w:hAnsi="宋体" w:cs="宋体"/>
                <w:bCs/>
                <w:sz w:val="22"/>
                <w:szCs w:val="22"/>
              </w:rPr>
              <w:t>10,680,000.00</w:t>
            </w:r>
          </w:p>
        </w:tc>
      </w:tr>
    </w:tbl>
    <w:p>
      <w:pPr>
        <w:snapToGrid w:val="0"/>
        <w:spacing w:line="360" w:lineRule="auto"/>
        <w:ind w:firstLine="440" w:firstLineChars="200"/>
        <w:rPr>
          <w:rFonts w:ascii="宋体" w:hAnsi="宋体" w:cs="宋体"/>
          <w:bCs/>
          <w:sz w:val="22"/>
          <w:szCs w:val="22"/>
        </w:rPr>
      </w:pPr>
      <w:r>
        <w:rPr>
          <w:rFonts w:hint="eastAsia" w:ascii="宋体" w:hAnsi="宋体" w:cs="宋体"/>
          <w:bCs/>
          <w:sz w:val="22"/>
          <w:szCs w:val="22"/>
        </w:rPr>
        <w:t>具体采购内容详见《用户需求书》。</w:t>
      </w:r>
    </w:p>
    <w:p>
      <w:pPr>
        <w:numPr>
          <w:ilvl w:val="0"/>
          <w:numId w:val="2"/>
        </w:numPr>
        <w:snapToGrid w:val="0"/>
        <w:spacing w:line="360" w:lineRule="auto"/>
        <w:rPr>
          <w:rFonts w:ascii="宋体" w:hAnsi="宋体" w:cs="宋体"/>
          <w:bCs/>
          <w:sz w:val="22"/>
          <w:szCs w:val="22"/>
        </w:rPr>
      </w:pPr>
      <w:r>
        <w:rPr>
          <w:rFonts w:hint="eastAsia" w:ascii="宋体" w:hAnsi="宋体" w:cs="宋体"/>
          <w:bCs/>
          <w:sz w:val="22"/>
          <w:szCs w:val="22"/>
        </w:rPr>
        <w:t>预算金额：</w:t>
      </w:r>
      <w:r>
        <w:rPr>
          <w:rFonts w:hint="eastAsia" w:ascii="宋体" w:hAnsi="宋体"/>
          <w:sz w:val="22"/>
          <w:szCs w:val="22"/>
          <w:u w:val="single"/>
        </w:rPr>
        <w:t>￥10,680,000.00元</w:t>
      </w:r>
      <w:r>
        <w:rPr>
          <w:rFonts w:hint="eastAsia" w:ascii="宋体" w:hAnsi="宋体" w:cs="宋体"/>
          <w:bCs/>
          <w:sz w:val="22"/>
          <w:szCs w:val="22"/>
        </w:rPr>
        <w:t>。</w:t>
      </w:r>
    </w:p>
    <w:p>
      <w:pPr>
        <w:numPr>
          <w:ilvl w:val="0"/>
          <w:numId w:val="2"/>
        </w:numPr>
        <w:snapToGrid w:val="0"/>
        <w:spacing w:line="360" w:lineRule="auto"/>
        <w:rPr>
          <w:rFonts w:ascii="宋体" w:hAnsi="宋体" w:cs="宋体"/>
          <w:bCs/>
          <w:sz w:val="22"/>
          <w:szCs w:val="22"/>
        </w:rPr>
      </w:pPr>
      <w:r>
        <w:rPr>
          <w:rFonts w:hint="eastAsia" w:ascii="宋体" w:hAnsi="宋体" w:cs="宋体"/>
          <w:bCs/>
          <w:sz w:val="22"/>
          <w:szCs w:val="22"/>
        </w:rPr>
        <w:t>投标人资格要求：</w:t>
      </w:r>
    </w:p>
    <w:p>
      <w:pPr>
        <w:pStyle w:val="82"/>
        <w:numPr>
          <w:ilvl w:val="0"/>
          <w:numId w:val="3"/>
        </w:numPr>
        <w:tabs>
          <w:tab w:val="left" w:pos="425"/>
        </w:tabs>
        <w:adjustRightInd w:val="0"/>
        <w:snapToGrid w:val="0"/>
        <w:spacing w:line="360" w:lineRule="auto"/>
        <w:ind w:left="426" w:hanging="426" w:firstLineChars="0"/>
        <w:rPr>
          <w:rFonts w:ascii="宋体" w:hAnsi="宋体" w:cs="宋体"/>
          <w:sz w:val="22"/>
          <w:szCs w:val="22"/>
        </w:rPr>
      </w:pPr>
      <w:bookmarkStart w:id="15" w:name="_Hlk2675390"/>
      <w:r>
        <w:rPr>
          <w:rFonts w:hint="eastAsia" w:ascii="宋体" w:hAnsi="宋体" w:cs="宋体"/>
          <w:sz w:val="22"/>
          <w:szCs w:val="22"/>
          <w:lang w:val="zh-CN"/>
        </w:rPr>
        <w:t>在中华人民共和国境内登记注册的、合法存续、正常经营且具有独立承担民事责任能力的法人或其他组织</w:t>
      </w:r>
      <w:r>
        <w:rPr>
          <w:rFonts w:hint="eastAsia" w:ascii="宋体" w:hAnsi="宋体" w:cs="宋体"/>
          <w:sz w:val="22"/>
          <w:szCs w:val="22"/>
        </w:rPr>
        <w:t>；</w:t>
      </w:r>
    </w:p>
    <w:p>
      <w:pPr>
        <w:pStyle w:val="82"/>
        <w:numPr>
          <w:ilvl w:val="0"/>
          <w:numId w:val="3"/>
        </w:numPr>
        <w:tabs>
          <w:tab w:val="left" w:pos="425"/>
        </w:tabs>
        <w:adjustRightInd w:val="0"/>
        <w:snapToGrid w:val="0"/>
        <w:spacing w:line="360" w:lineRule="auto"/>
        <w:ind w:left="426" w:hanging="426" w:firstLineChars="0"/>
        <w:rPr>
          <w:rFonts w:ascii="宋体" w:hAnsi="宋体" w:cs="宋体"/>
          <w:sz w:val="22"/>
          <w:szCs w:val="22"/>
          <w:lang w:val="zh-CN"/>
        </w:rPr>
      </w:pPr>
      <w:r>
        <w:rPr>
          <w:rFonts w:hint="eastAsia" w:ascii="宋体" w:hAnsi="宋体" w:cs="宋体"/>
          <w:sz w:val="22"/>
          <w:szCs w:val="22"/>
          <w:lang w:val="zh-CN"/>
        </w:rPr>
        <w:t>投标人未被列入</w:t>
      </w:r>
      <w:r>
        <w:rPr>
          <w:rFonts w:hint="eastAsia" w:ascii="宋体" w:hAnsi="宋体" w:cs="宋体"/>
          <w:sz w:val="22"/>
          <w:szCs w:val="22"/>
        </w:rPr>
        <w:t>“</w:t>
      </w:r>
      <w:r>
        <w:rPr>
          <w:rFonts w:hint="eastAsia" w:ascii="宋体" w:hAnsi="宋体" w:cs="宋体"/>
          <w:sz w:val="22"/>
          <w:szCs w:val="22"/>
          <w:lang w:val="zh-CN"/>
        </w:rPr>
        <w:t>信用中国</w:t>
      </w:r>
      <w:r>
        <w:rPr>
          <w:rFonts w:hint="eastAsia" w:ascii="宋体" w:hAnsi="宋体" w:cs="宋体"/>
          <w:sz w:val="22"/>
          <w:szCs w:val="22"/>
        </w:rPr>
        <w:t>”</w:t>
      </w:r>
      <w:r>
        <w:rPr>
          <w:rFonts w:hint="eastAsia" w:ascii="宋体" w:hAnsi="宋体" w:cs="宋体"/>
          <w:sz w:val="22"/>
          <w:szCs w:val="22"/>
          <w:lang w:val="zh-CN"/>
        </w:rPr>
        <w:t>网站</w:t>
      </w:r>
      <w:r>
        <w:rPr>
          <w:rFonts w:hint="eastAsia" w:ascii="宋体" w:hAnsi="宋体" w:cs="宋体"/>
          <w:sz w:val="22"/>
          <w:szCs w:val="22"/>
        </w:rPr>
        <w:t>(www.creditchina.gov.cn)“</w:t>
      </w:r>
      <w:r>
        <w:rPr>
          <w:rFonts w:hint="eastAsia" w:ascii="宋体" w:hAnsi="宋体" w:cs="宋体"/>
          <w:sz w:val="22"/>
          <w:szCs w:val="22"/>
          <w:lang w:val="zh-CN"/>
        </w:rPr>
        <w:t>记录失信被执行人或重大税收违法案件当事人名单或政府采购严重违法失信名单</w:t>
      </w:r>
      <w:r>
        <w:rPr>
          <w:rFonts w:hint="eastAsia" w:ascii="宋体" w:hAnsi="宋体" w:cs="宋体"/>
          <w:sz w:val="22"/>
          <w:szCs w:val="22"/>
        </w:rPr>
        <w:t>”</w:t>
      </w:r>
      <w:r>
        <w:rPr>
          <w:rFonts w:hint="eastAsia" w:ascii="宋体" w:hAnsi="宋体" w:cs="宋体"/>
          <w:sz w:val="22"/>
          <w:szCs w:val="22"/>
          <w:lang w:val="zh-CN"/>
        </w:rPr>
        <w:t>记录名单</w:t>
      </w:r>
      <w:r>
        <w:rPr>
          <w:rFonts w:hint="eastAsia" w:ascii="宋体" w:hAnsi="宋体" w:cs="宋体"/>
          <w:sz w:val="22"/>
          <w:szCs w:val="22"/>
        </w:rPr>
        <w:t>；</w:t>
      </w:r>
      <w:r>
        <w:rPr>
          <w:rFonts w:hint="eastAsia" w:ascii="宋体" w:hAnsi="宋体" w:cs="宋体"/>
          <w:sz w:val="22"/>
          <w:szCs w:val="22"/>
          <w:lang w:val="zh-CN"/>
        </w:rPr>
        <w:t>不处于中国政府采购网</w:t>
      </w:r>
      <w:r>
        <w:rPr>
          <w:rFonts w:hint="eastAsia" w:ascii="宋体" w:hAnsi="宋体" w:cs="宋体"/>
          <w:sz w:val="22"/>
          <w:szCs w:val="22"/>
        </w:rPr>
        <w:t>(www.ccgp.gov.cn)“</w:t>
      </w:r>
      <w:r>
        <w:rPr>
          <w:rFonts w:hint="eastAsia" w:ascii="宋体" w:hAnsi="宋体" w:cs="宋体"/>
          <w:sz w:val="22"/>
          <w:szCs w:val="22"/>
          <w:lang w:val="zh-CN"/>
        </w:rPr>
        <w:t>政府采购严重违法失信行为信息记录</w:t>
      </w:r>
      <w:r>
        <w:rPr>
          <w:rFonts w:hint="eastAsia" w:ascii="宋体" w:hAnsi="宋体" w:cs="宋体"/>
          <w:sz w:val="22"/>
          <w:szCs w:val="22"/>
        </w:rPr>
        <w:t>”</w:t>
      </w:r>
      <w:r>
        <w:rPr>
          <w:rFonts w:hint="eastAsia" w:ascii="宋体" w:hAnsi="宋体" w:cs="宋体"/>
          <w:sz w:val="22"/>
          <w:szCs w:val="22"/>
          <w:lang w:val="zh-CN"/>
        </w:rPr>
        <w:t>中的禁止参加政府采购活动期间</w:t>
      </w:r>
      <w:r>
        <w:rPr>
          <w:rFonts w:hint="eastAsia" w:ascii="宋体" w:hAnsi="宋体" w:cs="宋体"/>
          <w:sz w:val="22"/>
          <w:szCs w:val="22"/>
        </w:rPr>
        <w:t>（</w:t>
      </w:r>
      <w:r>
        <w:rPr>
          <w:rFonts w:hint="eastAsia" w:ascii="宋体" w:hAnsi="宋体" w:cs="宋体"/>
          <w:sz w:val="22"/>
          <w:szCs w:val="22"/>
          <w:lang w:val="zh-CN"/>
        </w:rPr>
        <w:t>处罚限届满的除外</w:t>
      </w:r>
      <w:r>
        <w:rPr>
          <w:rFonts w:hint="eastAsia" w:ascii="宋体" w:hAnsi="宋体" w:cs="宋体"/>
          <w:sz w:val="22"/>
          <w:szCs w:val="22"/>
        </w:rPr>
        <w:t>）</w:t>
      </w:r>
      <w:r>
        <w:rPr>
          <w:rFonts w:hint="eastAsia" w:ascii="宋体" w:hAnsi="宋体" w:cs="宋体"/>
          <w:sz w:val="22"/>
          <w:szCs w:val="22"/>
          <w:lang w:val="zh-CN"/>
        </w:rPr>
        <w:t>。（以招标代理机构于投标截止日当天在“信用中国”网站及中国政府采购网查询结果为准，同时对信用信息查询记录和证据进行打印存档）；</w:t>
      </w:r>
    </w:p>
    <w:p>
      <w:pPr>
        <w:pStyle w:val="82"/>
        <w:numPr>
          <w:ilvl w:val="0"/>
          <w:numId w:val="3"/>
        </w:numPr>
        <w:tabs>
          <w:tab w:val="left" w:pos="425"/>
        </w:tabs>
        <w:adjustRightInd w:val="0"/>
        <w:snapToGrid w:val="0"/>
        <w:spacing w:line="360" w:lineRule="auto"/>
        <w:ind w:left="426" w:hanging="426" w:firstLineChars="0"/>
        <w:rPr>
          <w:rFonts w:ascii="宋体" w:hAnsi="宋体" w:cs="宋体"/>
          <w:sz w:val="22"/>
          <w:szCs w:val="22"/>
          <w:lang w:val="zh-CN"/>
        </w:rPr>
      </w:pPr>
      <w:r>
        <w:rPr>
          <w:rFonts w:hint="eastAsia" w:ascii="宋体" w:hAnsi="宋体" w:cs="宋体"/>
          <w:sz w:val="22"/>
          <w:szCs w:val="22"/>
        </w:rPr>
        <w:t>本项目招标文件投标须知合格的投标人其他要求；</w:t>
      </w:r>
    </w:p>
    <w:p>
      <w:pPr>
        <w:pStyle w:val="82"/>
        <w:numPr>
          <w:ilvl w:val="0"/>
          <w:numId w:val="3"/>
        </w:numPr>
        <w:tabs>
          <w:tab w:val="left" w:pos="425"/>
        </w:tabs>
        <w:adjustRightInd w:val="0"/>
        <w:snapToGrid w:val="0"/>
        <w:spacing w:line="360" w:lineRule="auto"/>
        <w:ind w:left="426" w:hanging="426" w:firstLineChars="0"/>
        <w:rPr>
          <w:rFonts w:ascii="宋体" w:hAnsi="宋体" w:cs="宋体"/>
          <w:sz w:val="22"/>
          <w:szCs w:val="22"/>
          <w:lang w:val="zh-CN"/>
        </w:rPr>
      </w:pPr>
      <w:r>
        <w:rPr>
          <w:rFonts w:hint="eastAsia" w:ascii="宋体" w:hAnsi="宋体" w:cs="宋体"/>
          <w:sz w:val="22"/>
          <w:szCs w:val="22"/>
          <w:lang w:val="zh-CN"/>
        </w:rPr>
        <w:t>本项目</w:t>
      </w:r>
      <w:r>
        <w:rPr>
          <w:rFonts w:hint="eastAsia" w:ascii="宋体" w:hAnsi="宋体" w:cs="宋体"/>
          <w:sz w:val="22"/>
          <w:szCs w:val="22"/>
          <w:u w:val="single"/>
          <w:lang w:val="zh-CN"/>
        </w:rPr>
        <w:t>不接受</w:t>
      </w:r>
      <w:r>
        <w:rPr>
          <w:rFonts w:hint="eastAsia" w:ascii="宋体" w:hAnsi="宋体" w:cs="宋体"/>
          <w:sz w:val="22"/>
          <w:szCs w:val="22"/>
          <w:lang w:val="zh-CN"/>
        </w:rPr>
        <w:t>联合体投标。</w:t>
      </w:r>
      <w:bookmarkEnd w:id="15"/>
    </w:p>
    <w:p>
      <w:pPr>
        <w:numPr>
          <w:ilvl w:val="0"/>
          <w:numId w:val="2"/>
        </w:numPr>
        <w:snapToGrid w:val="0"/>
        <w:spacing w:line="360" w:lineRule="auto"/>
        <w:rPr>
          <w:rFonts w:ascii="宋体" w:hAnsi="宋体" w:cs="宋体"/>
          <w:sz w:val="22"/>
          <w:szCs w:val="22"/>
        </w:rPr>
      </w:pPr>
      <w:r>
        <w:rPr>
          <w:rFonts w:hint="eastAsia" w:ascii="宋体" w:hAnsi="宋体" w:cs="宋体"/>
          <w:bCs/>
          <w:sz w:val="22"/>
          <w:szCs w:val="22"/>
        </w:rPr>
        <w:t>踏勘</w:t>
      </w:r>
      <w:r>
        <w:rPr>
          <w:rFonts w:hint="eastAsia" w:ascii="宋体" w:hAnsi="宋体" w:cs="宋体"/>
          <w:sz w:val="22"/>
          <w:szCs w:val="22"/>
        </w:rPr>
        <w:t>现场：本项目不组织踏勘现场。如有需要，投标人自行踏勘现场。</w:t>
      </w:r>
    </w:p>
    <w:p>
      <w:pPr>
        <w:numPr>
          <w:ilvl w:val="0"/>
          <w:numId w:val="2"/>
        </w:numPr>
        <w:snapToGrid w:val="0"/>
        <w:spacing w:line="360" w:lineRule="auto"/>
        <w:rPr>
          <w:rFonts w:ascii="宋体" w:hAnsi="宋体" w:cs="宋体"/>
          <w:bCs/>
          <w:sz w:val="22"/>
          <w:szCs w:val="22"/>
        </w:rPr>
      </w:pPr>
      <w:r>
        <w:rPr>
          <w:rFonts w:hint="eastAsia" w:ascii="宋体" w:hAnsi="宋体" w:cs="宋体"/>
          <w:bCs/>
          <w:sz w:val="22"/>
          <w:szCs w:val="22"/>
        </w:rPr>
        <w:t>本项目采用</w:t>
      </w:r>
      <w:bookmarkStart w:id="16" w:name="_Hlk1990883"/>
      <w:r>
        <w:rPr>
          <w:rFonts w:hint="eastAsia" w:ascii="宋体" w:hAnsi="宋体" w:cs="宋体"/>
          <w:bCs/>
          <w:sz w:val="22"/>
          <w:szCs w:val="22"/>
        </w:rPr>
        <w:t>“不记名网上下载”的方式发布招标文件</w:t>
      </w:r>
      <w:bookmarkEnd w:id="16"/>
      <w:r>
        <w:rPr>
          <w:rFonts w:hint="eastAsia" w:ascii="宋体" w:hAnsi="宋体" w:cs="宋体"/>
          <w:bCs/>
          <w:sz w:val="22"/>
          <w:szCs w:val="22"/>
        </w:rPr>
        <w:t>，有意向的投标人直接在</w:t>
      </w:r>
      <w:r>
        <w:rPr>
          <w:rFonts w:hint="eastAsia" w:ascii="宋体" w:hAnsi="宋体" w:cs="宋体"/>
          <w:bCs/>
          <w:sz w:val="22"/>
          <w:szCs w:val="22"/>
          <w:u w:val="single"/>
        </w:rPr>
        <w:t>2022年</w:t>
      </w:r>
      <w:r>
        <w:rPr>
          <w:rFonts w:hint="eastAsia" w:ascii="宋体" w:hAnsi="宋体" w:cs="宋体"/>
          <w:bCs/>
          <w:sz w:val="22"/>
          <w:szCs w:val="22"/>
          <w:u w:val="single"/>
          <w:lang w:val="en-US" w:eastAsia="zh-CN"/>
        </w:rPr>
        <w:t>08</w:t>
      </w:r>
      <w:r>
        <w:rPr>
          <w:rFonts w:hint="eastAsia" w:ascii="宋体" w:hAnsi="宋体" w:cs="宋体"/>
          <w:bCs/>
          <w:sz w:val="22"/>
          <w:szCs w:val="22"/>
          <w:u w:val="single"/>
        </w:rPr>
        <w:t>月</w:t>
      </w:r>
      <w:r>
        <w:rPr>
          <w:rFonts w:hint="eastAsia" w:ascii="宋体" w:hAnsi="宋体" w:cs="宋体"/>
          <w:bCs/>
          <w:sz w:val="22"/>
          <w:szCs w:val="22"/>
          <w:u w:val="single"/>
          <w:lang w:val="en-US" w:eastAsia="zh-CN"/>
        </w:rPr>
        <w:t>09</w:t>
      </w:r>
      <w:r>
        <w:rPr>
          <w:rFonts w:hint="eastAsia" w:ascii="宋体" w:hAnsi="宋体" w:cs="宋体"/>
          <w:bCs/>
          <w:sz w:val="22"/>
          <w:szCs w:val="22"/>
          <w:u w:val="single"/>
        </w:rPr>
        <w:t>日</w:t>
      </w:r>
      <w:r>
        <w:rPr>
          <w:rFonts w:hint="eastAsia" w:ascii="宋体" w:hAnsi="宋体" w:cs="宋体"/>
          <w:bCs/>
          <w:sz w:val="22"/>
          <w:szCs w:val="22"/>
        </w:rPr>
        <w:t>至</w:t>
      </w:r>
      <w:r>
        <w:rPr>
          <w:rFonts w:hint="eastAsia" w:ascii="宋体" w:hAnsi="宋体" w:cs="宋体"/>
          <w:bCs/>
          <w:sz w:val="22"/>
          <w:szCs w:val="22"/>
          <w:u w:val="single"/>
        </w:rPr>
        <w:t>2022年</w:t>
      </w:r>
      <w:r>
        <w:rPr>
          <w:rFonts w:hint="eastAsia" w:ascii="宋体" w:hAnsi="宋体" w:cs="宋体"/>
          <w:bCs/>
          <w:sz w:val="22"/>
          <w:szCs w:val="22"/>
          <w:u w:val="single"/>
          <w:lang w:val="en-US" w:eastAsia="zh-CN"/>
        </w:rPr>
        <w:t>08</w:t>
      </w:r>
      <w:r>
        <w:rPr>
          <w:rFonts w:hint="eastAsia" w:ascii="宋体" w:hAnsi="宋体" w:cs="宋体"/>
          <w:bCs/>
          <w:sz w:val="22"/>
          <w:szCs w:val="22"/>
          <w:u w:val="single"/>
        </w:rPr>
        <w:t>月</w:t>
      </w:r>
      <w:r>
        <w:rPr>
          <w:rFonts w:hint="eastAsia" w:ascii="宋体" w:hAnsi="宋体" w:cs="宋体"/>
          <w:bCs/>
          <w:sz w:val="22"/>
          <w:szCs w:val="22"/>
          <w:u w:val="single"/>
          <w:lang w:val="en-US" w:eastAsia="zh-CN"/>
        </w:rPr>
        <w:t>29</w:t>
      </w:r>
      <w:r>
        <w:rPr>
          <w:rFonts w:hint="eastAsia" w:ascii="宋体" w:hAnsi="宋体" w:cs="宋体"/>
          <w:bCs/>
          <w:sz w:val="22"/>
          <w:szCs w:val="22"/>
          <w:u w:val="single"/>
        </w:rPr>
        <w:t>日</w:t>
      </w:r>
      <w:r>
        <w:rPr>
          <w:rFonts w:hint="eastAsia" w:ascii="宋体" w:hAnsi="宋体" w:cs="宋体"/>
          <w:bCs/>
          <w:sz w:val="22"/>
          <w:szCs w:val="22"/>
        </w:rPr>
        <w:t>止，在东莞市公共资源交易网（</w:t>
      </w:r>
      <w:r>
        <w:fldChar w:fldCharType="begin"/>
      </w:r>
      <w:r>
        <w:instrText xml:space="preserve"> HYPERLINK "http://ggzy.dg.gov.cn" </w:instrText>
      </w:r>
      <w:r>
        <w:fldChar w:fldCharType="separate"/>
      </w:r>
      <w:r>
        <w:rPr>
          <w:rFonts w:hint="eastAsia" w:ascii="宋体" w:hAnsi="宋体" w:cs="宋体"/>
          <w:sz w:val="22"/>
          <w:szCs w:val="22"/>
        </w:rPr>
        <w:t>http://ggzy.dg.gov.cn</w:t>
      </w:r>
      <w:r>
        <w:rPr>
          <w:rFonts w:hint="eastAsia" w:ascii="宋体" w:hAnsi="宋体" w:cs="宋体"/>
          <w:sz w:val="22"/>
          <w:szCs w:val="22"/>
        </w:rPr>
        <w:fldChar w:fldCharType="end"/>
      </w:r>
      <w:r>
        <w:rPr>
          <w:rFonts w:hint="eastAsia" w:ascii="宋体" w:hAnsi="宋体" w:cs="宋体"/>
          <w:bCs/>
          <w:sz w:val="22"/>
          <w:szCs w:val="22"/>
        </w:rPr>
        <w:t>）下载招标文件。</w:t>
      </w:r>
    </w:p>
    <w:p>
      <w:pPr>
        <w:numPr>
          <w:ilvl w:val="0"/>
          <w:numId w:val="2"/>
        </w:numPr>
        <w:snapToGrid w:val="0"/>
        <w:spacing w:line="360" w:lineRule="auto"/>
        <w:rPr>
          <w:rFonts w:ascii="宋体" w:hAnsi="宋体" w:cs="宋体"/>
          <w:bCs/>
          <w:sz w:val="22"/>
          <w:szCs w:val="22"/>
        </w:rPr>
      </w:pPr>
      <w:r>
        <w:rPr>
          <w:rFonts w:hint="eastAsia" w:ascii="宋体" w:hAnsi="宋体" w:cs="宋体"/>
          <w:bCs/>
          <w:sz w:val="22"/>
          <w:szCs w:val="22"/>
        </w:rPr>
        <w:t>投标时间：2022年</w:t>
      </w:r>
      <w:r>
        <w:rPr>
          <w:rFonts w:hint="eastAsia" w:ascii="宋体" w:hAnsi="宋体" w:cs="宋体"/>
          <w:bCs/>
          <w:sz w:val="22"/>
          <w:szCs w:val="22"/>
          <w:lang w:val="en-US" w:eastAsia="zh-CN"/>
        </w:rPr>
        <w:t>08</w:t>
      </w:r>
      <w:r>
        <w:rPr>
          <w:rFonts w:hint="eastAsia" w:ascii="宋体" w:hAnsi="宋体" w:cs="宋体"/>
          <w:bCs/>
          <w:sz w:val="22"/>
          <w:szCs w:val="22"/>
        </w:rPr>
        <w:t>月</w:t>
      </w:r>
      <w:r>
        <w:rPr>
          <w:rFonts w:hint="eastAsia" w:ascii="宋体" w:hAnsi="宋体" w:cs="宋体"/>
          <w:bCs/>
          <w:sz w:val="22"/>
          <w:szCs w:val="22"/>
          <w:lang w:val="en-US" w:eastAsia="zh-CN"/>
        </w:rPr>
        <w:t>30</w:t>
      </w:r>
      <w:r>
        <w:rPr>
          <w:rFonts w:hint="eastAsia" w:ascii="宋体" w:hAnsi="宋体" w:cs="宋体"/>
          <w:bCs/>
          <w:sz w:val="22"/>
          <w:szCs w:val="22"/>
        </w:rPr>
        <w:t xml:space="preserve"> 日09时</w:t>
      </w:r>
      <w:r>
        <w:rPr>
          <w:rFonts w:hint="eastAsia" w:ascii="宋体" w:hAnsi="宋体" w:cs="宋体"/>
          <w:bCs/>
          <w:sz w:val="22"/>
          <w:szCs w:val="22"/>
          <w:lang w:val="en-US" w:eastAsia="zh-CN"/>
        </w:rPr>
        <w:t>0</w:t>
      </w:r>
      <w:r>
        <w:rPr>
          <w:rFonts w:hint="eastAsia" w:ascii="宋体" w:hAnsi="宋体" w:cs="宋体"/>
          <w:bCs/>
          <w:sz w:val="22"/>
          <w:szCs w:val="22"/>
        </w:rPr>
        <w:t>0分</w:t>
      </w:r>
    </w:p>
    <w:p>
      <w:pPr>
        <w:numPr>
          <w:ilvl w:val="0"/>
          <w:numId w:val="2"/>
        </w:numPr>
        <w:snapToGrid w:val="0"/>
        <w:spacing w:line="360" w:lineRule="auto"/>
        <w:rPr>
          <w:rFonts w:ascii="宋体" w:hAnsi="宋体" w:cs="宋体"/>
          <w:bCs/>
          <w:sz w:val="22"/>
          <w:szCs w:val="22"/>
        </w:rPr>
      </w:pPr>
      <w:r>
        <w:rPr>
          <w:rFonts w:hint="eastAsia" w:ascii="宋体" w:hAnsi="宋体" w:cs="宋体"/>
          <w:bCs/>
          <w:sz w:val="22"/>
          <w:szCs w:val="22"/>
        </w:rPr>
        <w:t>投标截止及开标时间：</w:t>
      </w:r>
      <w:bookmarkStart w:id="1364" w:name="_GoBack"/>
      <w:r>
        <w:rPr>
          <w:rFonts w:hint="eastAsia" w:ascii="宋体" w:hAnsi="宋体" w:cs="宋体"/>
          <w:bCs/>
          <w:sz w:val="22"/>
          <w:szCs w:val="22"/>
        </w:rPr>
        <w:t>2022年</w:t>
      </w:r>
      <w:r>
        <w:rPr>
          <w:rFonts w:hint="eastAsia" w:ascii="宋体" w:hAnsi="宋体" w:cs="宋体"/>
          <w:bCs/>
          <w:sz w:val="22"/>
          <w:szCs w:val="22"/>
          <w:lang w:val="en-US" w:eastAsia="zh-CN"/>
        </w:rPr>
        <w:t>08</w:t>
      </w:r>
      <w:r>
        <w:rPr>
          <w:rFonts w:hint="eastAsia" w:ascii="宋体" w:hAnsi="宋体" w:cs="宋体"/>
          <w:bCs/>
          <w:sz w:val="22"/>
          <w:szCs w:val="22"/>
        </w:rPr>
        <w:t>月</w:t>
      </w:r>
      <w:r>
        <w:rPr>
          <w:rFonts w:hint="eastAsia" w:ascii="宋体" w:hAnsi="宋体" w:cs="宋体"/>
          <w:bCs/>
          <w:sz w:val="22"/>
          <w:szCs w:val="22"/>
          <w:lang w:val="en-US" w:eastAsia="zh-CN"/>
        </w:rPr>
        <w:t>30</w:t>
      </w:r>
      <w:r>
        <w:rPr>
          <w:rFonts w:hint="eastAsia" w:ascii="宋体" w:hAnsi="宋体" w:cs="宋体"/>
          <w:bCs/>
          <w:sz w:val="22"/>
          <w:szCs w:val="22"/>
        </w:rPr>
        <w:t>日09时30分</w:t>
      </w:r>
      <w:bookmarkEnd w:id="1364"/>
      <w:r>
        <w:rPr>
          <w:rFonts w:hint="eastAsia" w:ascii="宋体" w:hAnsi="宋体" w:cs="宋体"/>
          <w:bCs/>
          <w:sz w:val="22"/>
          <w:szCs w:val="22"/>
        </w:rPr>
        <w:t xml:space="preserve"> </w:t>
      </w:r>
    </w:p>
    <w:p>
      <w:pPr>
        <w:numPr>
          <w:ilvl w:val="0"/>
          <w:numId w:val="2"/>
        </w:numPr>
        <w:snapToGrid w:val="0"/>
        <w:spacing w:line="360" w:lineRule="auto"/>
        <w:rPr>
          <w:rFonts w:ascii="宋体" w:hAnsi="宋体" w:cs="宋体"/>
          <w:bCs/>
          <w:sz w:val="22"/>
          <w:szCs w:val="22"/>
        </w:rPr>
      </w:pPr>
      <w:r>
        <w:rPr>
          <w:rFonts w:hint="eastAsia" w:ascii="宋体" w:hAnsi="宋体" w:cs="宋体"/>
          <w:bCs/>
          <w:sz w:val="22"/>
          <w:szCs w:val="22"/>
        </w:rPr>
        <w:t>投标及开标地点：广东省东莞市东城街道东城路561号街道办事处2号楼2楼(公共资源交易大厅）开标</w:t>
      </w:r>
      <w:r>
        <w:rPr>
          <w:rFonts w:hint="eastAsia" w:ascii="宋体" w:hAnsi="宋体" w:cs="宋体"/>
          <w:bCs/>
          <w:sz w:val="22"/>
          <w:szCs w:val="22"/>
          <w:lang w:val="en-US" w:eastAsia="zh-CN"/>
        </w:rPr>
        <w:t>2</w:t>
      </w:r>
      <w:r>
        <w:rPr>
          <w:rFonts w:hint="eastAsia" w:ascii="宋体" w:hAnsi="宋体" w:cs="宋体"/>
          <w:bCs/>
          <w:sz w:val="22"/>
          <w:szCs w:val="22"/>
        </w:rPr>
        <w:t>室。</w:t>
      </w:r>
    </w:p>
    <w:p>
      <w:pPr>
        <w:numPr>
          <w:ilvl w:val="0"/>
          <w:numId w:val="2"/>
        </w:numPr>
        <w:snapToGrid w:val="0"/>
        <w:spacing w:line="360" w:lineRule="auto"/>
        <w:rPr>
          <w:rFonts w:ascii="宋体" w:hAnsi="宋体" w:cs="宋体"/>
          <w:bCs/>
          <w:sz w:val="22"/>
          <w:szCs w:val="22"/>
        </w:rPr>
      </w:pPr>
      <w:r>
        <w:rPr>
          <w:rFonts w:hint="eastAsia" w:ascii="宋体" w:hAnsi="宋体" w:cs="宋体"/>
          <w:bCs/>
          <w:sz w:val="22"/>
          <w:szCs w:val="22"/>
        </w:rPr>
        <w:t>本采购项目不举行集中答疑会，如有任何疑问以书面形式，将疑问函原件加盖公章送至采购代理机构。</w:t>
      </w:r>
    </w:p>
    <w:p>
      <w:pPr>
        <w:numPr>
          <w:ilvl w:val="0"/>
          <w:numId w:val="2"/>
        </w:numPr>
        <w:snapToGrid w:val="0"/>
        <w:spacing w:line="360" w:lineRule="auto"/>
        <w:rPr>
          <w:rFonts w:ascii="宋体" w:hAnsi="宋体" w:cs="宋体"/>
          <w:bCs/>
          <w:sz w:val="22"/>
          <w:szCs w:val="22"/>
        </w:rPr>
      </w:pPr>
      <w:r>
        <w:rPr>
          <w:rFonts w:hint="eastAsia" w:ascii="宋体" w:hAnsi="宋体" w:cs="宋体"/>
          <w:bCs/>
          <w:sz w:val="22"/>
          <w:szCs w:val="22"/>
        </w:rPr>
        <w:t>投标人必须向东莞市交通投资集团有限公司提交投标保证金，投标保证金须严格按“招标文件第二章投标人须知第17点投标保证金”要求提交。</w:t>
      </w:r>
    </w:p>
    <w:p>
      <w:pPr>
        <w:numPr>
          <w:ilvl w:val="0"/>
          <w:numId w:val="2"/>
        </w:numPr>
        <w:snapToGrid w:val="0"/>
        <w:spacing w:line="360" w:lineRule="auto"/>
        <w:rPr>
          <w:rFonts w:ascii="宋体" w:hAnsi="宋体" w:cs="宋体"/>
          <w:bCs/>
          <w:sz w:val="22"/>
          <w:szCs w:val="22"/>
        </w:rPr>
      </w:pPr>
      <w:r>
        <w:rPr>
          <w:rFonts w:hint="eastAsia" w:ascii="宋体" w:hAnsi="宋体" w:cs="宋体"/>
          <w:bCs/>
          <w:sz w:val="22"/>
          <w:szCs w:val="22"/>
        </w:rPr>
        <w:t xml:space="preserve">招标代理机构和招标人将不负责投标人准备投标文件所发生的任何成本费用。 </w:t>
      </w:r>
    </w:p>
    <w:p>
      <w:pPr>
        <w:numPr>
          <w:ilvl w:val="0"/>
          <w:numId w:val="2"/>
        </w:numPr>
        <w:wordWrap w:val="0"/>
        <w:snapToGrid w:val="0"/>
        <w:spacing w:line="360" w:lineRule="auto"/>
        <w:ind w:left="482" w:hanging="482"/>
        <w:rPr>
          <w:rFonts w:ascii="宋体" w:hAnsi="宋体" w:cs="宋体"/>
          <w:bCs/>
          <w:sz w:val="22"/>
          <w:szCs w:val="22"/>
        </w:rPr>
      </w:pPr>
      <w:r>
        <w:rPr>
          <w:rFonts w:hint="eastAsia" w:ascii="宋体" w:hAnsi="宋体" w:cs="宋体"/>
          <w:bCs/>
          <w:sz w:val="22"/>
          <w:szCs w:val="22"/>
        </w:rPr>
        <w:t>投标会举行前，疫情防控指挥部门、市交易中心或相关主管部门如对疫情防控有最新要求的，投标人须根据最新要求进行配合。</w:t>
      </w:r>
    </w:p>
    <w:p>
      <w:pPr>
        <w:numPr>
          <w:ilvl w:val="0"/>
          <w:numId w:val="2"/>
        </w:numPr>
        <w:wordWrap w:val="0"/>
        <w:snapToGrid w:val="0"/>
        <w:spacing w:line="360" w:lineRule="auto"/>
        <w:ind w:left="482" w:hanging="482"/>
        <w:rPr>
          <w:rFonts w:ascii="宋体" w:hAnsi="宋体" w:cs="宋体"/>
          <w:bCs/>
          <w:sz w:val="22"/>
          <w:szCs w:val="22"/>
        </w:rPr>
      </w:pPr>
      <w:r>
        <w:rPr>
          <w:rFonts w:hint="eastAsia" w:ascii="宋体" w:hAnsi="宋体" w:cs="宋体"/>
          <w:bCs/>
          <w:sz w:val="22"/>
          <w:szCs w:val="22"/>
        </w:rPr>
        <w:t>本次采购项目公告在东莞市公共资源交易网（http://ggzy.dg.gov.cn/）和东莞市交通投资集团有限公司官方网站（http://www.dgjtjt.com.cn）媒体上公布，并视为有效送达，不再另行通知。有关此次采购事宜，也可按下列地址以书面或电话形式向采购代理机构查询：</w:t>
      </w:r>
    </w:p>
    <w:p>
      <w:pPr>
        <w:snapToGrid w:val="0"/>
        <w:spacing w:line="360" w:lineRule="auto"/>
        <w:ind w:firstLine="440" w:firstLineChars="200"/>
        <w:rPr>
          <w:rFonts w:ascii="宋体" w:hAnsi="宋体" w:cs="宋体"/>
          <w:bCs/>
          <w:sz w:val="22"/>
          <w:szCs w:val="22"/>
          <w:u w:val="single"/>
        </w:rPr>
      </w:pPr>
      <w:r>
        <w:rPr>
          <w:rFonts w:hint="eastAsia" w:ascii="宋体" w:hAnsi="宋体" w:cs="宋体"/>
          <w:bCs/>
          <w:sz w:val="22"/>
          <w:szCs w:val="22"/>
        </w:rPr>
        <w:t>采购代理机构名称：</w:t>
      </w:r>
      <w:r>
        <w:rPr>
          <w:rFonts w:hint="eastAsia" w:ascii="宋体" w:hAnsi="宋体" w:cs="宋体"/>
          <w:bCs/>
          <w:sz w:val="22"/>
          <w:szCs w:val="22"/>
          <w:u w:val="single"/>
        </w:rPr>
        <w:t>深圳市国信招标有限公司</w:t>
      </w:r>
    </w:p>
    <w:p>
      <w:pPr>
        <w:snapToGrid w:val="0"/>
        <w:spacing w:line="360" w:lineRule="auto"/>
        <w:ind w:left="551" w:leftChars="229" w:hanging="70" w:hangingChars="32"/>
        <w:rPr>
          <w:rFonts w:ascii="宋体" w:hAnsi="宋体" w:cs="宋体"/>
          <w:bCs/>
          <w:sz w:val="22"/>
          <w:szCs w:val="22"/>
          <w:u w:val="single"/>
        </w:rPr>
      </w:pPr>
      <w:r>
        <w:rPr>
          <w:rFonts w:hint="eastAsia" w:ascii="宋体" w:hAnsi="宋体" w:cs="宋体"/>
          <w:bCs/>
          <w:sz w:val="22"/>
          <w:szCs w:val="22"/>
        </w:rPr>
        <w:t>详细地址：</w:t>
      </w:r>
      <w:r>
        <w:rPr>
          <w:rFonts w:hint="eastAsia" w:ascii="宋体" w:hAnsi="宋体" w:cs="宋体"/>
          <w:bCs/>
          <w:sz w:val="22"/>
          <w:szCs w:val="22"/>
          <w:u w:val="single"/>
        </w:rPr>
        <w:t>东莞市南城区体育路2号鸿禧中心B区1108-1室</w:t>
      </w:r>
    </w:p>
    <w:p>
      <w:pPr>
        <w:snapToGrid w:val="0"/>
        <w:spacing w:line="360" w:lineRule="auto"/>
        <w:ind w:left="549" w:leftChars="229" w:hanging="68" w:hangingChars="31"/>
        <w:rPr>
          <w:rFonts w:ascii="宋体" w:hAnsi="宋体" w:cs="宋体"/>
          <w:bCs/>
          <w:sz w:val="22"/>
          <w:szCs w:val="22"/>
          <w:u w:val="single"/>
        </w:rPr>
      </w:pPr>
      <w:r>
        <w:rPr>
          <w:rFonts w:hint="eastAsia" w:ascii="宋体" w:hAnsi="宋体" w:cs="宋体"/>
          <w:bCs/>
          <w:sz w:val="22"/>
          <w:szCs w:val="22"/>
        </w:rPr>
        <w:t>邮    编：</w:t>
      </w:r>
      <w:r>
        <w:rPr>
          <w:rFonts w:hint="eastAsia" w:ascii="宋体" w:hAnsi="宋体" w:cs="宋体"/>
          <w:bCs/>
          <w:sz w:val="22"/>
          <w:szCs w:val="22"/>
          <w:u w:val="single"/>
        </w:rPr>
        <w:t xml:space="preserve">  523009        </w:t>
      </w:r>
      <w:r>
        <w:rPr>
          <w:rFonts w:hint="eastAsia" w:ascii="宋体" w:hAnsi="宋体" w:cs="宋体"/>
          <w:bCs/>
          <w:sz w:val="22"/>
          <w:szCs w:val="22"/>
        </w:rPr>
        <w:t xml:space="preserve">          联 系 人：</w:t>
      </w:r>
      <w:r>
        <w:rPr>
          <w:rFonts w:hint="eastAsia" w:ascii="宋体" w:hAnsi="宋体" w:cs="宋体"/>
          <w:bCs/>
          <w:sz w:val="22"/>
          <w:szCs w:val="22"/>
          <w:u w:val="single"/>
        </w:rPr>
        <w:t xml:space="preserve">李先生、陈小姐 </w:t>
      </w:r>
    </w:p>
    <w:p>
      <w:pPr>
        <w:snapToGrid w:val="0"/>
        <w:spacing w:line="360" w:lineRule="auto"/>
        <w:ind w:left="549" w:leftChars="229" w:hanging="68" w:hangingChars="31"/>
        <w:rPr>
          <w:rFonts w:ascii="宋体" w:hAnsi="宋体" w:cs="宋体"/>
          <w:bCs/>
          <w:sz w:val="22"/>
          <w:szCs w:val="22"/>
          <w:u w:val="single"/>
        </w:rPr>
      </w:pPr>
      <w:r>
        <w:rPr>
          <w:rFonts w:hint="eastAsia" w:ascii="宋体" w:hAnsi="宋体" w:cs="宋体"/>
          <w:bCs/>
          <w:sz w:val="22"/>
          <w:szCs w:val="22"/>
        </w:rPr>
        <w:t>电    话：</w:t>
      </w:r>
      <w:r>
        <w:rPr>
          <w:rFonts w:hint="eastAsia" w:ascii="宋体" w:hAnsi="宋体" w:cs="宋体"/>
          <w:bCs/>
          <w:sz w:val="22"/>
          <w:szCs w:val="22"/>
          <w:u w:val="single"/>
        </w:rPr>
        <w:t xml:space="preserve">  0769-21686989   </w:t>
      </w:r>
      <w:r>
        <w:rPr>
          <w:rFonts w:hint="eastAsia" w:ascii="宋体" w:hAnsi="宋体" w:cs="宋体"/>
          <w:bCs/>
          <w:sz w:val="22"/>
          <w:szCs w:val="22"/>
        </w:rPr>
        <w:t xml:space="preserve">        传    真：</w:t>
      </w:r>
      <w:r>
        <w:rPr>
          <w:rFonts w:hint="eastAsia" w:ascii="宋体" w:hAnsi="宋体" w:cs="宋体"/>
          <w:bCs/>
          <w:sz w:val="22"/>
          <w:szCs w:val="22"/>
          <w:u w:val="single"/>
        </w:rPr>
        <w:t>0769-22808199</w:t>
      </w:r>
    </w:p>
    <w:p>
      <w:pPr>
        <w:snapToGrid w:val="0"/>
        <w:spacing w:line="360" w:lineRule="auto"/>
        <w:ind w:left="549" w:leftChars="229" w:hanging="68" w:hangingChars="31"/>
        <w:rPr>
          <w:rFonts w:ascii="宋体" w:hAnsi="宋体" w:cs="宋体"/>
          <w:bCs/>
          <w:sz w:val="22"/>
          <w:szCs w:val="22"/>
        </w:rPr>
      </w:pPr>
    </w:p>
    <w:p>
      <w:pPr>
        <w:numPr>
          <w:ilvl w:val="0"/>
          <w:numId w:val="2"/>
        </w:numPr>
        <w:snapToGrid w:val="0"/>
        <w:spacing w:line="360" w:lineRule="auto"/>
        <w:rPr>
          <w:rFonts w:ascii="宋体" w:hAnsi="宋体" w:cs="宋体"/>
          <w:bCs/>
          <w:sz w:val="22"/>
          <w:szCs w:val="22"/>
          <w:u w:val="single"/>
        </w:rPr>
      </w:pPr>
      <w:r>
        <w:rPr>
          <w:rFonts w:hint="eastAsia" w:ascii="宋体" w:hAnsi="宋体" w:cs="宋体"/>
          <w:bCs/>
          <w:sz w:val="22"/>
          <w:szCs w:val="22"/>
        </w:rPr>
        <w:t>招标单位名称：</w:t>
      </w:r>
      <w:r>
        <w:rPr>
          <w:rFonts w:hint="eastAsia" w:ascii="宋体" w:hAnsi="宋体" w:cs="宋体"/>
          <w:bCs/>
          <w:sz w:val="22"/>
          <w:szCs w:val="22"/>
          <w:u w:val="single"/>
        </w:rPr>
        <w:t>东莞市数据互联有限公司</w:t>
      </w:r>
    </w:p>
    <w:p>
      <w:pPr>
        <w:snapToGrid w:val="0"/>
        <w:spacing w:line="360" w:lineRule="auto"/>
        <w:ind w:left="549" w:leftChars="229" w:hanging="68" w:hangingChars="31"/>
        <w:rPr>
          <w:rFonts w:ascii="宋体" w:hAnsi="宋体" w:cs="宋体"/>
          <w:bCs/>
          <w:sz w:val="22"/>
          <w:szCs w:val="22"/>
          <w:u w:val="single"/>
        </w:rPr>
      </w:pPr>
      <w:r>
        <w:rPr>
          <w:rFonts w:hint="eastAsia" w:ascii="宋体" w:hAnsi="宋体" w:cs="宋体"/>
          <w:bCs/>
          <w:sz w:val="22"/>
          <w:szCs w:val="22"/>
        </w:rPr>
        <w:t>详细地址：</w:t>
      </w:r>
      <w:r>
        <w:rPr>
          <w:rFonts w:hint="eastAsia" w:ascii="宋体" w:hAnsi="宋体" w:cs="宋体"/>
          <w:bCs/>
          <w:sz w:val="22"/>
          <w:szCs w:val="22"/>
          <w:u w:val="single"/>
        </w:rPr>
        <w:t>广东省东莞市寮步镇曲岭一路85号</w:t>
      </w:r>
    </w:p>
    <w:p>
      <w:pPr>
        <w:snapToGrid w:val="0"/>
        <w:spacing w:line="360" w:lineRule="auto"/>
        <w:ind w:firstLine="479" w:firstLineChars="218"/>
        <w:rPr>
          <w:rFonts w:ascii="宋体" w:hAnsi="宋体" w:cs="宋体"/>
          <w:bCs/>
          <w:sz w:val="22"/>
          <w:szCs w:val="22"/>
        </w:rPr>
      </w:pPr>
      <w:r>
        <w:rPr>
          <w:rFonts w:hint="eastAsia" w:ascii="宋体" w:hAnsi="宋体" w:cs="宋体"/>
          <w:bCs/>
          <w:sz w:val="22"/>
          <w:szCs w:val="22"/>
        </w:rPr>
        <w:t>邮    编：</w:t>
      </w:r>
      <w:r>
        <w:rPr>
          <w:rFonts w:hint="eastAsia" w:ascii="宋体" w:hAnsi="宋体" w:cs="宋体"/>
          <w:bCs/>
          <w:sz w:val="22"/>
          <w:szCs w:val="22"/>
          <w:u w:val="single"/>
        </w:rPr>
        <w:t>523000</w:t>
      </w:r>
    </w:p>
    <w:p>
      <w:pPr>
        <w:snapToGrid w:val="0"/>
        <w:spacing w:line="360" w:lineRule="auto"/>
        <w:ind w:firstLine="479" w:firstLineChars="218"/>
        <w:rPr>
          <w:rFonts w:ascii="宋体" w:hAnsi="宋体" w:cs="宋体"/>
          <w:bCs/>
          <w:sz w:val="22"/>
          <w:szCs w:val="22"/>
          <w:u w:val="single"/>
        </w:rPr>
      </w:pPr>
      <w:r>
        <w:rPr>
          <w:rFonts w:hint="eastAsia" w:ascii="宋体" w:hAnsi="宋体" w:cs="宋体"/>
          <w:bCs/>
          <w:sz w:val="22"/>
          <w:szCs w:val="22"/>
        </w:rPr>
        <w:t>联 系 人：</w:t>
      </w:r>
      <w:r>
        <w:rPr>
          <w:rFonts w:hint="eastAsia" w:ascii="宋体" w:hAnsi="宋体" w:cs="宋体"/>
          <w:bCs/>
          <w:sz w:val="22"/>
          <w:szCs w:val="22"/>
          <w:u w:val="single"/>
        </w:rPr>
        <w:t>刘先生</w:t>
      </w:r>
    </w:p>
    <w:p>
      <w:pPr>
        <w:snapToGrid w:val="0"/>
        <w:spacing w:line="360" w:lineRule="auto"/>
        <w:ind w:left="549" w:leftChars="229" w:hanging="68" w:hangingChars="31"/>
        <w:rPr>
          <w:rFonts w:ascii="宋体" w:hAnsi="宋体" w:cs="宋体"/>
          <w:bCs/>
          <w:sz w:val="22"/>
          <w:szCs w:val="22"/>
        </w:rPr>
      </w:pPr>
      <w:r>
        <w:rPr>
          <w:rFonts w:hint="eastAsia" w:ascii="宋体" w:hAnsi="宋体" w:cs="宋体"/>
          <w:bCs/>
          <w:sz w:val="22"/>
          <w:szCs w:val="22"/>
        </w:rPr>
        <w:t>电    话：</w:t>
      </w:r>
      <w:r>
        <w:rPr>
          <w:rFonts w:hint="eastAsia" w:ascii="宋体" w:hAnsi="宋体" w:cs="宋体"/>
          <w:bCs/>
          <w:sz w:val="22"/>
          <w:szCs w:val="22"/>
          <w:u w:val="single"/>
        </w:rPr>
        <w:t>0769-23308210</w:t>
      </w:r>
    </w:p>
    <w:p>
      <w:pPr>
        <w:tabs>
          <w:tab w:val="left" w:pos="480"/>
        </w:tabs>
        <w:snapToGrid w:val="0"/>
        <w:spacing w:before="161" w:beforeLines="50" w:line="360" w:lineRule="auto"/>
        <w:jc w:val="right"/>
        <w:rPr>
          <w:rFonts w:ascii="宋体" w:hAnsi="宋体" w:cs="宋体"/>
          <w:bCs/>
          <w:sz w:val="22"/>
          <w:szCs w:val="22"/>
        </w:rPr>
      </w:pPr>
      <w:r>
        <w:rPr>
          <w:rFonts w:hint="eastAsia" w:ascii="宋体" w:hAnsi="宋体" w:cs="宋体"/>
          <w:bCs/>
          <w:sz w:val="22"/>
          <w:szCs w:val="22"/>
        </w:rPr>
        <w:t>采购代理：深圳市国信招标有限公司</w:t>
      </w:r>
    </w:p>
    <w:p>
      <w:pPr>
        <w:tabs>
          <w:tab w:val="left" w:pos="480"/>
        </w:tabs>
        <w:snapToGrid w:val="0"/>
        <w:spacing w:before="161" w:beforeLines="50" w:line="360" w:lineRule="auto"/>
        <w:jc w:val="right"/>
        <w:rPr>
          <w:rFonts w:ascii="宋体" w:hAnsi="宋体" w:cs="宋体"/>
          <w:sz w:val="22"/>
          <w:szCs w:val="22"/>
        </w:rPr>
      </w:pPr>
      <w:r>
        <w:rPr>
          <w:rFonts w:hint="eastAsia" w:ascii="宋体" w:hAnsi="宋体" w:cs="宋体"/>
          <w:bCs/>
          <w:sz w:val="22"/>
          <w:szCs w:val="22"/>
        </w:rPr>
        <w:t>2022年</w:t>
      </w:r>
      <w:r>
        <w:rPr>
          <w:rFonts w:hint="eastAsia" w:ascii="宋体" w:hAnsi="宋体" w:cs="宋体"/>
          <w:bCs/>
          <w:sz w:val="22"/>
          <w:szCs w:val="22"/>
          <w:lang w:val="en-US" w:eastAsia="zh-CN"/>
        </w:rPr>
        <w:t>08</w:t>
      </w:r>
      <w:r>
        <w:rPr>
          <w:rFonts w:hint="eastAsia" w:ascii="宋体" w:hAnsi="宋体" w:cs="宋体"/>
          <w:bCs/>
          <w:sz w:val="22"/>
          <w:szCs w:val="22"/>
        </w:rPr>
        <w:t>月</w:t>
      </w:r>
      <w:r>
        <w:rPr>
          <w:rFonts w:hint="eastAsia" w:ascii="宋体" w:hAnsi="宋体" w:cs="宋体"/>
          <w:bCs/>
          <w:sz w:val="22"/>
          <w:szCs w:val="22"/>
          <w:lang w:val="en-US" w:eastAsia="zh-CN"/>
        </w:rPr>
        <w:t>09</w:t>
      </w:r>
      <w:r>
        <w:rPr>
          <w:rFonts w:hint="eastAsia" w:ascii="宋体" w:hAnsi="宋体" w:cs="宋体"/>
          <w:bCs/>
          <w:sz w:val="22"/>
          <w:szCs w:val="22"/>
        </w:rPr>
        <w:t>日</w:t>
      </w:r>
    </w:p>
    <w:p>
      <w:pPr>
        <w:rPr>
          <w:rFonts w:ascii="宋体" w:hAnsi="宋体"/>
        </w:rPr>
      </w:pPr>
    </w:p>
    <w:p>
      <w:pPr>
        <w:rPr>
          <w:rFonts w:ascii="宋体" w:hAnsi="宋体"/>
        </w:rPr>
      </w:pPr>
    </w:p>
    <w:p>
      <w:pPr>
        <w:rPr>
          <w:rFonts w:ascii="宋体" w:hAnsi="宋体"/>
        </w:rPr>
      </w:pPr>
      <w:r>
        <w:rPr>
          <w:rFonts w:ascii="宋体" w:hAnsi="宋体"/>
        </w:rPr>
        <w:br w:type="page"/>
      </w:r>
    </w:p>
    <w:p>
      <w:pPr>
        <w:pStyle w:val="2"/>
        <w:rPr>
          <w:rFonts w:ascii="宋体" w:hAnsi="宋体" w:cs="宋体"/>
          <w:sz w:val="32"/>
          <w:szCs w:val="32"/>
        </w:rPr>
      </w:pPr>
      <w:bookmarkStart w:id="17" w:name="_Toc5646"/>
      <w:bookmarkStart w:id="18" w:name="_Toc441844049"/>
    </w:p>
    <w:p>
      <w:pPr>
        <w:rPr>
          <w:rFonts w:ascii="宋体" w:hAnsi="宋体" w:cs="宋体"/>
          <w:b/>
          <w:bCs/>
          <w:sz w:val="32"/>
          <w:szCs w:val="32"/>
        </w:rPr>
      </w:pPr>
    </w:p>
    <w:p>
      <w:pPr>
        <w:pStyle w:val="2"/>
        <w:rPr>
          <w:rFonts w:ascii="宋体" w:hAnsi="宋体" w:cs="宋体"/>
          <w:sz w:val="32"/>
          <w:szCs w:val="32"/>
        </w:rPr>
      </w:pPr>
    </w:p>
    <w:p>
      <w:pPr>
        <w:rPr>
          <w:rFonts w:ascii="宋体" w:hAnsi="宋体" w:cs="宋体"/>
          <w:b/>
          <w:bCs/>
          <w:sz w:val="32"/>
          <w:szCs w:val="32"/>
        </w:rPr>
      </w:pPr>
    </w:p>
    <w:p>
      <w:pPr>
        <w:pStyle w:val="2"/>
      </w:pPr>
    </w:p>
    <w:p>
      <w:pPr>
        <w:snapToGrid w:val="0"/>
        <w:spacing w:line="360" w:lineRule="auto"/>
        <w:jc w:val="center"/>
        <w:rPr>
          <w:rFonts w:ascii="宋体" w:hAnsi="宋体" w:cs="宋体"/>
          <w:b/>
          <w:bCs/>
          <w:sz w:val="32"/>
          <w:szCs w:val="32"/>
        </w:rPr>
      </w:pPr>
    </w:p>
    <w:p>
      <w:pPr>
        <w:snapToGrid w:val="0"/>
        <w:spacing w:line="360" w:lineRule="auto"/>
        <w:jc w:val="center"/>
        <w:rPr>
          <w:rFonts w:ascii="宋体" w:hAnsi="宋体" w:cs="宋体"/>
          <w:b/>
          <w:bCs/>
          <w:sz w:val="32"/>
          <w:szCs w:val="32"/>
        </w:rPr>
      </w:pPr>
    </w:p>
    <w:p>
      <w:pPr>
        <w:snapToGrid w:val="0"/>
        <w:spacing w:line="360" w:lineRule="auto"/>
        <w:jc w:val="center"/>
        <w:rPr>
          <w:rFonts w:ascii="宋体" w:hAnsi="宋体" w:cs="宋体"/>
          <w:b/>
          <w:bCs/>
          <w:sz w:val="32"/>
          <w:szCs w:val="32"/>
        </w:rPr>
      </w:pPr>
    </w:p>
    <w:p>
      <w:pPr>
        <w:snapToGrid w:val="0"/>
        <w:spacing w:line="360" w:lineRule="auto"/>
        <w:jc w:val="center"/>
        <w:rPr>
          <w:rFonts w:ascii="宋体" w:hAnsi="宋体" w:cs="宋体"/>
          <w:b/>
          <w:bCs/>
          <w:sz w:val="32"/>
          <w:szCs w:val="32"/>
        </w:rPr>
      </w:pPr>
    </w:p>
    <w:p>
      <w:pPr>
        <w:pStyle w:val="3"/>
        <w:numPr>
          <w:ilvl w:val="0"/>
          <w:numId w:val="1"/>
        </w:numPr>
        <w:jc w:val="center"/>
        <w:rPr>
          <w:rFonts w:ascii="宋体" w:hAnsi="宋体"/>
        </w:rPr>
      </w:pPr>
      <w:bookmarkStart w:id="19" w:name="_Toc12078"/>
      <w:bookmarkStart w:id="20" w:name="_Toc10683"/>
      <w:bookmarkStart w:id="21" w:name="_Toc17284"/>
      <w:bookmarkStart w:id="22" w:name="_Toc20208"/>
      <w:bookmarkStart w:id="23" w:name="_Toc17557"/>
      <w:r>
        <w:rPr>
          <w:rFonts w:hint="eastAsia" w:ascii="宋体" w:hAnsi="宋体"/>
        </w:rPr>
        <w:t>投标人须知</w:t>
      </w:r>
      <w:bookmarkEnd w:id="17"/>
      <w:bookmarkEnd w:id="18"/>
      <w:bookmarkEnd w:id="19"/>
      <w:bookmarkEnd w:id="20"/>
      <w:bookmarkEnd w:id="21"/>
      <w:bookmarkEnd w:id="22"/>
      <w:bookmarkEnd w:id="23"/>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bCs/>
          <w:kern w:val="44"/>
          <w:lang w:val="zh-CN"/>
        </w:rPr>
      </w:pPr>
      <w:bookmarkStart w:id="24" w:name="_Toc396137231"/>
      <w:bookmarkStart w:id="25" w:name="_Toc10079"/>
      <w:bookmarkStart w:id="26" w:name="_Toc425348132"/>
      <w:bookmarkStart w:id="27" w:name="_Toc441844050"/>
      <w:r>
        <w:rPr>
          <w:rFonts w:hint="eastAsia" w:ascii="宋体" w:hAnsi="宋体"/>
          <w:bCs/>
          <w:kern w:val="44"/>
          <w:lang w:val="zh-CN"/>
        </w:rPr>
        <w:br w:type="page"/>
      </w:r>
    </w:p>
    <w:p>
      <w:pPr>
        <w:pStyle w:val="4"/>
        <w:spacing w:line="360" w:lineRule="auto"/>
        <w:ind w:left="0" w:firstLine="0"/>
        <w:jc w:val="center"/>
        <w:rPr>
          <w:rFonts w:ascii="宋体" w:hAnsi="宋体" w:eastAsia="宋体"/>
          <w:b w:val="0"/>
          <w:bCs/>
          <w:kern w:val="44"/>
          <w:lang w:val="zh-CN"/>
        </w:rPr>
      </w:pPr>
      <w:bookmarkStart w:id="28" w:name="_Toc10883"/>
      <w:bookmarkStart w:id="29" w:name="_Toc23261"/>
      <w:bookmarkStart w:id="30" w:name="_Toc3741"/>
      <w:bookmarkStart w:id="31" w:name="_Toc21516"/>
      <w:bookmarkStart w:id="32" w:name="_Toc1782"/>
      <w:r>
        <w:rPr>
          <w:rFonts w:hint="eastAsia" w:ascii="宋体" w:hAnsi="宋体" w:eastAsia="宋体"/>
          <w:b w:val="0"/>
          <w:bCs/>
          <w:kern w:val="44"/>
          <w:lang w:val="zh-CN"/>
        </w:rPr>
        <w:t>一、投标人须知前附表</w:t>
      </w:r>
      <w:bookmarkEnd w:id="24"/>
      <w:bookmarkEnd w:id="25"/>
      <w:bookmarkEnd w:id="26"/>
      <w:bookmarkEnd w:id="27"/>
      <w:bookmarkEnd w:id="28"/>
      <w:bookmarkEnd w:id="29"/>
      <w:bookmarkEnd w:id="30"/>
      <w:bookmarkEnd w:id="31"/>
      <w:bookmarkEnd w:id="32"/>
    </w:p>
    <w:tbl>
      <w:tblPr>
        <w:tblStyle w:val="34"/>
        <w:tblW w:w="924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1550"/>
        <w:gridCol w:w="671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blHeader/>
          <w:jc w:val="center"/>
        </w:trPr>
        <w:tc>
          <w:tcPr>
            <w:tcW w:w="979" w:type="dxa"/>
            <w:tcBorders>
              <w:top w:val="doub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hint="eastAsia" w:ascii="宋体" w:hAnsi="宋体"/>
                <w:sz w:val="22"/>
                <w:szCs w:val="22"/>
              </w:rPr>
              <w:t>项目</w:t>
            </w:r>
          </w:p>
        </w:tc>
        <w:tc>
          <w:tcPr>
            <w:tcW w:w="1550" w:type="dxa"/>
            <w:tcBorders>
              <w:top w:val="doub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hint="eastAsia" w:ascii="宋体" w:hAnsi="宋体"/>
                <w:sz w:val="22"/>
                <w:szCs w:val="22"/>
              </w:rPr>
              <w:t>内容</w:t>
            </w:r>
          </w:p>
        </w:tc>
        <w:tc>
          <w:tcPr>
            <w:tcW w:w="6713" w:type="dxa"/>
            <w:tcBorders>
              <w:top w:val="doub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sz w:val="22"/>
                <w:szCs w:val="22"/>
              </w:rPr>
            </w:pPr>
            <w:r>
              <w:rPr>
                <w:rFonts w:hint="eastAsia" w:ascii="宋体" w:hAnsi="宋体"/>
                <w:sz w:val="22"/>
                <w:szCs w:val="22"/>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979" w:type="dxa"/>
            <w:tcBorders>
              <w:top w:val="single" w:color="auto" w:sz="4" w:space="0"/>
              <w:left w:val="doub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2"/>
                <w:szCs w:val="22"/>
              </w:rPr>
            </w:pPr>
            <w:r>
              <w:rPr>
                <w:rFonts w:hint="eastAsia" w:ascii="宋体" w:hAnsi="宋体" w:eastAsia="宋体" w:cs="宋体"/>
                <w:sz w:val="22"/>
                <w:szCs w:val="22"/>
              </w:rPr>
              <w:t>1.2</w:t>
            </w:r>
          </w:p>
        </w:tc>
        <w:tc>
          <w:tcPr>
            <w:tcW w:w="1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auto"/>
              <w:textAlignment w:val="auto"/>
              <w:rPr>
                <w:rFonts w:hint="eastAsia" w:ascii="宋体" w:hAnsi="宋体" w:eastAsia="宋体" w:cs="宋体"/>
                <w:sz w:val="22"/>
                <w:szCs w:val="22"/>
              </w:rPr>
            </w:pPr>
            <w:r>
              <w:rPr>
                <w:rFonts w:hint="eastAsia" w:ascii="宋体" w:hAnsi="宋体" w:eastAsia="宋体" w:cs="宋体"/>
                <w:sz w:val="22"/>
                <w:szCs w:val="22"/>
              </w:rPr>
              <w:t>资金来源</w:t>
            </w:r>
          </w:p>
        </w:tc>
        <w:tc>
          <w:tcPr>
            <w:tcW w:w="6713" w:type="dxa"/>
            <w:tcBorders>
              <w:top w:val="single" w:color="auto" w:sz="4" w:space="0"/>
              <w:left w:val="single" w:color="auto" w:sz="4" w:space="0"/>
              <w:bottom w:val="single" w:color="auto" w:sz="4" w:space="0"/>
              <w:right w:val="doub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auto"/>
              <w:textAlignment w:val="auto"/>
              <w:rPr>
                <w:rFonts w:hint="eastAsia" w:ascii="宋体" w:hAnsi="宋体" w:eastAsia="宋体" w:cs="宋体"/>
                <w:sz w:val="22"/>
                <w:szCs w:val="22"/>
              </w:rPr>
            </w:pPr>
            <w:r>
              <w:rPr>
                <w:rFonts w:hint="eastAsia" w:ascii="宋体" w:hAnsi="宋体" w:eastAsia="宋体" w:cs="宋体"/>
                <w:sz w:val="22"/>
                <w:szCs w:val="22"/>
              </w:rPr>
              <w:t>自筹资金，资金已落实</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jc w:val="center"/>
        </w:trPr>
        <w:tc>
          <w:tcPr>
            <w:tcW w:w="979" w:type="dxa"/>
            <w:tcBorders>
              <w:top w:val="single" w:color="auto" w:sz="4" w:space="0"/>
              <w:left w:val="doub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2"/>
                <w:szCs w:val="22"/>
              </w:rPr>
            </w:pPr>
            <w:r>
              <w:rPr>
                <w:rFonts w:hint="eastAsia" w:ascii="宋体" w:hAnsi="宋体" w:eastAsia="宋体" w:cs="宋体"/>
                <w:sz w:val="22"/>
                <w:szCs w:val="22"/>
              </w:rPr>
              <w:t>1.3</w:t>
            </w:r>
          </w:p>
        </w:tc>
        <w:tc>
          <w:tcPr>
            <w:tcW w:w="1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auto"/>
              <w:textAlignment w:val="auto"/>
              <w:rPr>
                <w:rFonts w:hint="eastAsia" w:ascii="宋体" w:hAnsi="宋体" w:eastAsia="宋体" w:cs="宋体"/>
                <w:sz w:val="22"/>
                <w:szCs w:val="22"/>
              </w:rPr>
            </w:pPr>
            <w:r>
              <w:rPr>
                <w:rFonts w:hint="eastAsia" w:ascii="宋体" w:hAnsi="宋体" w:eastAsia="宋体" w:cs="宋体"/>
                <w:sz w:val="22"/>
                <w:szCs w:val="22"/>
              </w:rPr>
              <w:t>项目预算金额</w:t>
            </w:r>
          </w:p>
        </w:tc>
        <w:tc>
          <w:tcPr>
            <w:tcW w:w="6713" w:type="dxa"/>
            <w:tcBorders>
              <w:top w:val="single" w:color="auto" w:sz="4" w:space="0"/>
              <w:left w:val="single" w:color="auto" w:sz="4" w:space="0"/>
              <w:bottom w:val="single" w:color="auto" w:sz="4" w:space="0"/>
              <w:right w:val="doub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auto"/>
              <w:textAlignment w:val="auto"/>
              <w:rPr>
                <w:rFonts w:hint="eastAsia" w:ascii="宋体" w:hAnsi="宋体" w:eastAsia="宋体" w:cs="宋体"/>
                <w:sz w:val="22"/>
                <w:szCs w:val="22"/>
                <w:u w:val="single"/>
              </w:rPr>
            </w:pPr>
            <w:r>
              <w:rPr>
                <w:rFonts w:hint="eastAsia" w:ascii="宋体" w:hAnsi="宋体" w:eastAsia="宋体" w:cs="宋体"/>
                <w:bCs/>
                <w:sz w:val="22"/>
                <w:szCs w:val="22"/>
              </w:rPr>
              <w:t>人民币</w:t>
            </w:r>
            <w:r>
              <w:rPr>
                <w:rFonts w:hint="eastAsia" w:ascii="宋体" w:hAnsi="宋体" w:eastAsia="宋体" w:cs="宋体"/>
                <w:bCs/>
                <w:color w:val="auto"/>
                <w:sz w:val="22"/>
                <w:szCs w:val="22"/>
                <w:highlight w:val="none"/>
              </w:rPr>
              <w:t>10,680,000.00</w:t>
            </w:r>
            <w:r>
              <w:rPr>
                <w:rFonts w:hint="eastAsia" w:ascii="宋体" w:hAnsi="宋体" w:eastAsia="宋体" w:cs="宋体"/>
                <w:bCs/>
                <w:sz w:val="22"/>
                <w:szCs w:val="22"/>
              </w:rPr>
              <w:t>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979" w:type="dxa"/>
            <w:tcBorders>
              <w:top w:val="single" w:color="auto" w:sz="4" w:space="0"/>
              <w:left w:val="doub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2"/>
                <w:szCs w:val="22"/>
              </w:rPr>
            </w:pPr>
            <w:r>
              <w:rPr>
                <w:rFonts w:hint="eastAsia" w:ascii="宋体" w:hAnsi="宋体" w:eastAsia="宋体" w:cs="宋体"/>
                <w:sz w:val="22"/>
                <w:szCs w:val="22"/>
              </w:rPr>
              <w:t>2.1</w:t>
            </w:r>
          </w:p>
        </w:tc>
        <w:tc>
          <w:tcPr>
            <w:tcW w:w="1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auto"/>
              <w:textAlignment w:val="auto"/>
              <w:rPr>
                <w:rFonts w:hint="eastAsia" w:ascii="宋体" w:hAnsi="宋体" w:eastAsia="宋体" w:cs="宋体"/>
                <w:sz w:val="22"/>
                <w:szCs w:val="22"/>
              </w:rPr>
            </w:pPr>
            <w:r>
              <w:rPr>
                <w:rFonts w:hint="eastAsia" w:ascii="宋体" w:hAnsi="宋体" w:eastAsia="宋体" w:cs="宋体"/>
                <w:sz w:val="22"/>
                <w:szCs w:val="22"/>
              </w:rPr>
              <w:t>招标人</w:t>
            </w:r>
          </w:p>
        </w:tc>
        <w:tc>
          <w:tcPr>
            <w:tcW w:w="6713" w:type="dxa"/>
            <w:tcBorders>
              <w:top w:val="single" w:color="auto" w:sz="4" w:space="0"/>
              <w:left w:val="single" w:color="auto" w:sz="4" w:space="0"/>
              <w:bottom w:val="single" w:color="auto" w:sz="4" w:space="0"/>
              <w:right w:val="doub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auto"/>
              <w:textAlignment w:val="auto"/>
              <w:rPr>
                <w:rFonts w:hint="eastAsia" w:ascii="宋体" w:hAnsi="宋体" w:eastAsia="宋体" w:cs="宋体"/>
                <w:i/>
                <w:sz w:val="22"/>
                <w:szCs w:val="22"/>
                <w:u w:val="single"/>
              </w:rPr>
            </w:pPr>
            <w:r>
              <w:rPr>
                <w:rFonts w:hint="eastAsia" w:ascii="宋体" w:hAnsi="宋体" w:eastAsia="宋体" w:cs="宋体"/>
                <w:sz w:val="22"/>
                <w:szCs w:val="22"/>
                <w:lang w:val="zh-CN"/>
              </w:rPr>
              <w:t>东莞市</w:t>
            </w:r>
            <w:r>
              <w:rPr>
                <w:rFonts w:hint="eastAsia" w:ascii="宋体" w:hAnsi="宋体" w:eastAsia="宋体" w:cs="宋体"/>
                <w:sz w:val="22"/>
                <w:szCs w:val="22"/>
              </w:rPr>
              <w:t>数据互联</w:t>
            </w:r>
            <w:r>
              <w:rPr>
                <w:rFonts w:hint="eastAsia" w:ascii="宋体" w:hAnsi="宋体" w:eastAsia="宋体" w:cs="宋体"/>
                <w:sz w:val="22"/>
                <w:szCs w:val="22"/>
                <w:lang w:val="zh-CN"/>
              </w:rPr>
              <w:t>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79" w:type="dxa"/>
            <w:tcBorders>
              <w:top w:val="single" w:color="auto" w:sz="4" w:space="0"/>
              <w:left w:val="doub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2"/>
                <w:szCs w:val="22"/>
              </w:rPr>
            </w:pPr>
            <w:r>
              <w:rPr>
                <w:rFonts w:hint="eastAsia" w:ascii="宋体" w:hAnsi="宋体" w:eastAsia="宋体" w:cs="宋体"/>
                <w:sz w:val="22"/>
                <w:szCs w:val="22"/>
              </w:rPr>
              <w:t>2.2</w:t>
            </w:r>
          </w:p>
        </w:tc>
        <w:tc>
          <w:tcPr>
            <w:tcW w:w="1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auto"/>
              <w:textAlignment w:val="auto"/>
              <w:rPr>
                <w:rFonts w:hint="eastAsia" w:ascii="宋体" w:hAnsi="宋体" w:eastAsia="宋体" w:cs="宋体"/>
                <w:sz w:val="22"/>
                <w:szCs w:val="22"/>
              </w:rPr>
            </w:pPr>
            <w:r>
              <w:rPr>
                <w:rFonts w:hint="eastAsia" w:ascii="宋体" w:hAnsi="宋体" w:eastAsia="宋体" w:cs="宋体"/>
                <w:sz w:val="22"/>
                <w:szCs w:val="22"/>
              </w:rPr>
              <w:t>招标代理机构</w:t>
            </w:r>
          </w:p>
        </w:tc>
        <w:tc>
          <w:tcPr>
            <w:tcW w:w="6713" w:type="dxa"/>
            <w:tcBorders>
              <w:top w:val="single" w:color="auto" w:sz="4" w:space="0"/>
              <w:left w:val="single" w:color="auto" w:sz="4" w:space="0"/>
              <w:bottom w:val="single" w:color="auto" w:sz="4" w:space="0"/>
              <w:right w:val="doub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auto"/>
              <w:textAlignment w:val="auto"/>
              <w:rPr>
                <w:rFonts w:hint="eastAsia" w:ascii="宋体" w:hAnsi="宋体" w:eastAsia="宋体" w:cs="宋体"/>
                <w:sz w:val="22"/>
                <w:szCs w:val="22"/>
                <w:u w:val="single"/>
                <w:lang w:val="zh-CN"/>
              </w:rPr>
            </w:pPr>
            <w:r>
              <w:rPr>
                <w:rFonts w:hint="eastAsia" w:ascii="宋体" w:hAnsi="宋体" w:eastAsia="宋体" w:cs="宋体"/>
                <w:bCs/>
                <w:color w:val="auto"/>
                <w:sz w:val="22"/>
                <w:szCs w:val="22"/>
                <w:u w:val="single"/>
              </w:rPr>
              <w:t>深圳市国信招标有限公司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79" w:type="dxa"/>
            <w:tcBorders>
              <w:top w:val="single" w:color="auto" w:sz="4" w:space="0"/>
              <w:left w:val="doub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2"/>
                <w:szCs w:val="22"/>
              </w:rPr>
            </w:pPr>
            <w:r>
              <w:rPr>
                <w:rFonts w:hint="eastAsia" w:ascii="宋体" w:hAnsi="宋体" w:eastAsia="宋体" w:cs="宋体"/>
                <w:sz w:val="22"/>
                <w:szCs w:val="22"/>
              </w:rPr>
              <w:t>3</w:t>
            </w:r>
          </w:p>
        </w:tc>
        <w:tc>
          <w:tcPr>
            <w:tcW w:w="1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auto"/>
              <w:textAlignment w:val="auto"/>
              <w:rPr>
                <w:rFonts w:hint="eastAsia" w:ascii="宋体" w:hAnsi="宋体" w:eastAsia="宋体" w:cs="宋体"/>
                <w:sz w:val="22"/>
                <w:szCs w:val="22"/>
              </w:rPr>
            </w:pPr>
            <w:r>
              <w:rPr>
                <w:rFonts w:hint="eastAsia" w:ascii="宋体" w:hAnsi="宋体" w:eastAsia="宋体" w:cs="宋体"/>
                <w:sz w:val="22"/>
                <w:szCs w:val="22"/>
              </w:rPr>
              <w:t>合格的投标人</w:t>
            </w:r>
          </w:p>
        </w:tc>
        <w:tc>
          <w:tcPr>
            <w:tcW w:w="6713" w:type="dxa"/>
            <w:tcBorders>
              <w:top w:val="single" w:color="auto" w:sz="4" w:space="0"/>
              <w:left w:val="single" w:color="auto" w:sz="4" w:space="0"/>
              <w:bottom w:val="single" w:color="auto" w:sz="4" w:space="0"/>
              <w:right w:val="doub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auto"/>
              <w:textAlignment w:val="auto"/>
              <w:rPr>
                <w:rFonts w:hint="eastAsia" w:ascii="宋体" w:hAnsi="宋体" w:eastAsia="宋体" w:cs="宋体"/>
                <w:sz w:val="22"/>
                <w:szCs w:val="22"/>
                <w:u w:val="single"/>
                <w:lang w:val="zh-CN"/>
              </w:rPr>
            </w:pPr>
            <w:r>
              <w:rPr>
                <w:rFonts w:hint="eastAsia" w:ascii="宋体" w:hAnsi="宋体" w:eastAsia="宋体" w:cs="宋体"/>
                <w:bCs/>
                <w:sz w:val="22"/>
                <w:szCs w:val="22"/>
              </w:rPr>
              <w:t>见第一章《投标邀请》中第5款的</w:t>
            </w:r>
            <w:r>
              <w:rPr>
                <w:rFonts w:hint="eastAsia" w:ascii="宋体" w:hAnsi="宋体" w:eastAsia="宋体" w:cs="宋体"/>
                <w:b/>
                <w:bCs/>
                <w:sz w:val="22"/>
                <w:szCs w:val="22"/>
                <w:u w:val="single"/>
              </w:rPr>
              <w:t>投标人资格要求。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979" w:type="dxa"/>
            <w:tcBorders>
              <w:left w:val="doub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2"/>
                <w:szCs w:val="22"/>
              </w:rPr>
            </w:pPr>
            <w:r>
              <w:rPr>
                <w:rFonts w:hint="eastAsia" w:ascii="宋体" w:hAnsi="宋体" w:eastAsia="宋体" w:cs="宋体"/>
                <w:sz w:val="22"/>
                <w:szCs w:val="22"/>
              </w:rPr>
              <w:t>3.6</w:t>
            </w:r>
          </w:p>
        </w:tc>
        <w:tc>
          <w:tcPr>
            <w:tcW w:w="1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auto"/>
              <w:textAlignment w:val="auto"/>
              <w:rPr>
                <w:rFonts w:hint="eastAsia" w:ascii="宋体" w:hAnsi="宋体" w:eastAsia="宋体" w:cs="宋体"/>
                <w:sz w:val="22"/>
                <w:szCs w:val="22"/>
              </w:rPr>
            </w:pPr>
            <w:r>
              <w:rPr>
                <w:rFonts w:hint="eastAsia" w:ascii="宋体" w:hAnsi="宋体" w:eastAsia="宋体" w:cs="宋体"/>
                <w:sz w:val="22"/>
                <w:szCs w:val="22"/>
              </w:rPr>
              <w:t>关于联合体投标</w:t>
            </w:r>
          </w:p>
        </w:tc>
        <w:tc>
          <w:tcPr>
            <w:tcW w:w="6713" w:type="dxa"/>
            <w:tcBorders>
              <w:top w:val="single" w:color="auto" w:sz="4" w:space="0"/>
              <w:left w:val="single" w:color="auto" w:sz="4" w:space="0"/>
              <w:bottom w:val="single" w:color="auto" w:sz="4" w:space="0"/>
              <w:right w:val="doub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auto"/>
              <w:textAlignment w:val="auto"/>
              <w:rPr>
                <w:rFonts w:hint="eastAsia" w:ascii="宋体" w:hAnsi="宋体" w:eastAsia="宋体" w:cs="宋体"/>
                <w:sz w:val="22"/>
                <w:szCs w:val="22"/>
                <w:lang w:val="zh-CN"/>
              </w:rPr>
            </w:pPr>
            <w:r>
              <w:rPr>
                <w:rFonts w:hint="eastAsia" w:ascii="宋体" w:hAnsi="宋体" w:eastAsia="宋体" w:cs="宋体"/>
                <w:sz w:val="22"/>
                <w:szCs w:val="22"/>
                <w:lang w:val="zh-CN"/>
              </w:rPr>
              <w:t>本项目</w:t>
            </w:r>
            <w:r>
              <w:rPr>
                <w:rFonts w:hint="eastAsia" w:ascii="宋体" w:hAnsi="宋体" w:eastAsia="宋体" w:cs="宋体"/>
                <w:b/>
                <w:sz w:val="22"/>
                <w:szCs w:val="22"/>
                <w:u w:val="single"/>
                <w:lang w:val="zh-CN"/>
              </w:rPr>
              <w:t>不允许</w:t>
            </w:r>
            <w:r>
              <w:rPr>
                <w:rFonts w:hint="eastAsia" w:ascii="宋体" w:hAnsi="宋体" w:eastAsia="宋体" w:cs="宋体"/>
                <w:sz w:val="22"/>
                <w:szCs w:val="22"/>
                <w:lang w:val="zh-CN"/>
              </w:rPr>
              <w:t>联合体投标，招标文件中与允许联合体投标有关的条款、文字表述或格式不适用于本次招标。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979" w:type="dxa"/>
            <w:tcBorders>
              <w:top w:val="single" w:color="auto" w:sz="4" w:space="0"/>
              <w:left w:val="doub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2"/>
                <w:szCs w:val="22"/>
              </w:rPr>
            </w:pPr>
            <w:r>
              <w:rPr>
                <w:rFonts w:hint="eastAsia" w:ascii="宋体" w:hAnsi="宋体" w:eastAsia="宋体" w:cs="宋体"/>
                <w:sz w:val="22"/>
                <w:szCs w:val="22"/>
              </w:rPr>
              <w:t>6</w:t>
            </w:r>
          </w:p>
        </w:tc>
        <w:tc>
          <w:tcPr>
            <w:tcW w:w="1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auto"/>
              <w:textAlignment w:val="auto"/>
              <w:rPr>
                <w:rFonts w:hint="eastAsia" w:ascii="宋体" w:hAnsi="宋体" w:eastAsia="宋体" w:cs="宋体"/>
                <w:sz w:val="22"/>
                <w:szCs w:val="22"/>
              </w:rPr>
            </w:pPr>
            <w:r>
              <w:rPr>
                <w:rFonts w:hint="eastAsia" w:ascii="宋体" w:hAnsi="宋体" w:eastAsia="宋体" w:cs="宋体"/>
                <w:sz w:val="22"/>
                <w:szCs w:val="22"/>
              </w:rPr>
              <w:t>踏勘现场</w:t>
            </w:r>
          </w:p>
        </w:tc>
        <w:tc>
          <w:tcPr>
            <w:tcW w:w="6713" w:type="dxa"/>
            <w:tcBorders>
              <w:top w:val="single" w:color="auto" w:sz="4" w:space="0"/>
              <w:left w:val="single" w:color="auto" w:sz="4" w:space="0"/>
              <w:bottom w:val="single" w:color="auto" w:sz="4" w:space="0"/>
              <w:right w:val="doub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auto"/>
              <w:textAlignment w:val="auto"/>
              <w:rPr>
                <w:rFonts w:hint="eastAsia" w:ascii="宋体" w:hAnsi="宋体" w:eastAsia="宋体" w:cs="宋体"/>
                <w:sz w:val="22"/>
                <w:szCs w:val="22"/>
              </w:rPr>
            </w:pPr>
            <w:r>
              <w:rPr>
                <w:rFonts w:hint="eastAsia" w:ascii="宋体" w:hAnsi="宋体" w:eastAsia="宋体" w:cs="宋体"/>
                <w:sz w:val="22"/>
                <w:szCs w:val="22"/>
              </w:rPr>
              <w:t>招标人不集中组织，由投标人自行踏勘现场。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79" w:type="dxa"/>
            <w:tcBorders>
              <w:top w:val="single" w:color="auto" w:sz="4" w:space="0"/>
              <w:left w:val="doub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2"/>
                <w:szCs w:val="22"/>
              </w:rPr>
            </w:pPr>
            <w:r>
              <w:rPr>
                <w:rFonts w:hint="eastAsia" w:ascii="宋体" w:hAnsi="宋体" w:eastAsia="宋体" w:cs="宋体"/>
                <w:sz w:val="22"/>
                <w:szCs w:val="22"/>
              </w:rPr>
              <w:t>8</w:t>
            </w:r>
          </w:p>
        </w:tc>
        <w:tc>
          <w:tcPr>
            <w:tcW w:w="1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auto"/>
              <w:textAlignment w:val="auto"/>
              <w:rPr>
                <w:rFonts w:hint="eastAsia" w:ascii="宋体" w:hAnsi="宋体" w:eastAsia="宋体" w:cs="宋体"/>
                <w:sz w:val="22"/>
                <w:szCs w:val="22"/>
              </w:rPr>
            </w:pPr>
            <w:r>
              <w:rPr>
                <w:rFonts w:hint="eastAsia" w:ascii="宋体" w:hAnsi="宋体" w:eastAsia="宋体" w:cs="宋体"/>
                <w:sz w:val="22"/>
                <w:szCs w:val="22"/>
              </w:rPr>
              <w:t>招标文件的异议</w:t>
            </w:r>
          </w:p>
        </w:tc>
        <w:tc>
          <w:tcPr>
            <w:tcW w:w="6713" w:type="dxa"/>
            <w:tcBorders>
              <w:top w:val="single" w:color="auto" w:sz="4" w:space="0"/>
              <w:left w:val="single" w:color="auto" w:sz="4" w:space="0"/>
              <w:bottom w:val="single" w:color="auto" w:sz="4" w:space="0"/>
              <w:right w:val="doub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auto"/>
              <w:textAlignment w:val="auto"/>
              <w:rPr>
                <w:rFonts w:hint="eastAsia" w:ascii="宋体" w:hAnsi="宋体" w:eastAsia="宋体" w:cs="宋体"/>
                <w:sz w:val="22"/>
                <w:szCs w:val="22"/>
              </w:rPr>
            </w:pPr>
            <w:r>
              <w:rPr>
                <w:rFonts w:hint="eastAsia" w:ascii="宋体" w:hAnsi="宋体" w:eastAsia="宋体" w:cs="宋体"/>
                <w:sz w:val="22"/>
                <w:szCs w:val="22"/>
              </w:rPr>
              <w:t>见第二章《投标须知》中第8款的</w:t>
            </w:r>
            <w:r>
              <w:rPr>
                <w:rFonts w:hint="eastAsia" w:ascii="宋体" w:hAnsi="宋体" w:eastAsia="宋体" w:cs="宋体"/>
                <w:b/>
                <w:sz w:val="22"/>
                <w:szCs w:val="22"/>
                <w:u w:val="single"/>
              </w:rPr>
              <w:t>招标文件的异议</w:t>
            </w:r>
            <w:r>
              <w:rPr>
                <w:rFonts w:hint="eastAsia" w:ascii="宋体" w:hAnsi="宋体" w:eastAsia="宋体" w:cs="宋体"/>
                <w:sz w:val="22"/>
                <w:szCs w:val="22"/>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979" w:type="dxa"/>
            <w:tcBorders>
              <w:top w:val="single" w:color="auto" w:sz="4" w:space="0"/>
              <w:left w:val="doub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2"/>
                <w:szCs w:val="22"/>
              </w:rPr>
            </w:pPr>
            <w:r>
              <w:rPr>
                <w:rFonts w:hint="eastAsia" w:ascii="宋体" w:hAnsi="宋体" w:eastAsia="宋体" w:cs="宋体"/>
                <w:b/>
                <w:color w:val="auto"/>
                <w:sz w:val="22"/>
                <w:szCs w:val="22"/>
              </w:rPr>
              <w:t>★</w:t>
            </w:r>
            <w:r>
              <w:rPr>
                <w:rFonts w:hint="eastAsia" w:ascii="宋体" w:hAnsi="宋体" w:eastAsia="宋体" w:cs="宋体"/>
                <w:color w:val="auto"/>
                <w:sz w:val="22"/>
                <w:szCs w:val="22"/>
              </w:rPr>
              <w:t>14</w:t>
            </w:r>
          </w:p>
        </w:tc>
        <w:tc>
          <w:tcPr>
            <w:tcW w:w="1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auto"/>
              <w:textAlignment w:val="auto"/>
              <w:rPr>
                <w:rFonts w:hint="eastAsia" w:ascii="宋体" w:hAnsi="宋体" w:eastAsia="宋体" w:cs="宋体"/>
                <w:sz w:val="22"/>
                <w:szCs w:val="22"/>
              </w:rPr>
            </w:pPr>
            <w:r>
              <w:rPr>
                <w:rFonts w:hint="eastAsia" w:ascii="宋体" w:hAnsi="宋体" w:eastAsia="宋体" w:cs="宋体"/>
                <w:color w:val="auto"/>
                <w:sz w:val="22"/>
                <w:szCs w:val="22"/>
              </w:rPr>
              <w:t>投标报价</w:t>
            </w:r>
          </w:p>
        </w:tc>
        <w:tc>
          <w:tcPr>
            <w:tcW w:w="6713" w:type="dxa"/>
            <w:tcBorders>
              <w:top w:val="single" w:color="auto" w:sz="4" w:space="0"/>
              <w:left w:val="single" w:color="auto" w:sz="4" w:space="0"/>
              <w:bottom w:val="single" w:color="auto" w:sz="4" w:space="0"/>
              <w:right w:val="doub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auto"/>
              <w:ind w:left="220" w:right="-21" w:rightChars="-10" w:hanging="220" w:hangingChars="100"/>
              <w:textAlignment w:val="auto"/>
              <w:rPr>
                <w:rFonts w:hint="eastAsia" w:ascii="宋体" w:hAnsi="宋体" w:eastAsia="宋体" w:cs="宋体"/>
                <w:color w:val="auto"/>
                <w:sz w:val="22"/>
                <w:szCs w:val="22"/>
                <w:lang w:val="zh-CN"/>
              </w:rPr>
            </w:pPr>
            <w:r>
              <w:rPr>
                <w:rFonts w:hint="eastAsia" w:ascii="宋体" w:hAnsi="宋体" w:eastAsia="宋体" w:cs="宋体"/>
                <w:color w:val="auto"/>
                <w:sz w:val="22"/>
                <w:szCs w:val="22"/>
                <w:lang w:val="zh-CN"/>
              </w:rPr>
              <w:t>1.</w:t>
            </w:r>
            <w:r>
              <w:rPr>
                <w:rFonts w:hint="eastAsia" w:ascii="宋体" w:hAnsi="宋体" w:eastAsia="宋体" w:cs="宋体"/>
                <w:color w:val="auto"/>
                <w:sz w:val="22"/>
                <w:szCs w:val="22"/>
              </w:rPr>
              <w:t>投标报价应</w:t>
            </w:r>
            <w:r>
              <w:rPr>
                <w:rFonts w:hint="eastAsia" w:ascii="宋体" w:hAnsi="宋体" w:eastAsia="宋体" w:cs="宋体"/>
                <w:color w:val="auto"/>
                <w:sz w:val="22"/>
                <w:szCs w:val="22"/>
                <w:lang w:val="zh-CN"/>
              </w:rPr>
              <w:t>包括但不限于以下费用：</w:t>
            </w:r>
            <w:r>
              <w:rPr>
                <w:rFonts w:hint="eastAsia" w:ascii="宋体" w:hAnsi="宋体" w:eastAsia="宋体" w:cs="宋体"/>
                <w:color w:val="auto"/>
                <w:sz w:val="22"/>
                <w:szCs w:val="22"/>
                <w:lang w:val="en-US" w:eastAsia="zh-CN"/>
              </w:rPr>
              <w:t>系统</w:t>
            </w:r>
            <w:r>
              <w:rPr>
                <w:rFonts w:hint="eastAsia" w:ascii="宋体" w:hAnsi="宋体" w:eastAsia="宋体" w:cs="宋体"/>
                <w:color w:val="auto"/>
                <w:sz w:val="22"/>
                <w:szCs w:val="22"/>
                <w:lang w:val="zh-CN"/>
              </w:rPr>
              <w:t>建设与运维服务费、人员费、售后服务费材料费、设备使用费、各种税费、保险费及合同实施过程中的不可预见费用等履行该项目的全部费用。</w:t>
            </w:r>
          </w:p>
          <w:p>
            <w:pPr>
              <w:keepNext w:val="0"/>
              <w:keepLines w:val="0"/>
              <w:pageBreakBefore w:val="0"/>
              <w:widowControl w:val="0"/>
              <w:kinsoku/>
              <w:overflowPunct/>
              <w:topLinePunct w:val="0"/>
              <w:autoSpaceDE/>
              <w:autoSpaceDN/>
              <w:bidi w:val="0"/>
              <w:adjustRightInd w:val="0"/>
              <w:snapToGrid w:val="0"/>
              <w:spacing w:line="360" w:lineRule="auto"/>
              <w:ind w:right="-21" w:rightChars="-10"/>
              <w:textAlignment w:val="auto"/>
              <w:rPr>
                <w:rFonts w:hint="eastAsia" w:ascii="宋体" w:hAnsi="宋体" w:eastAsia="宋体" w:cs="宋体"/>
                <w:color w:val="auto"/>
                <w:sz w:val="22"/>
                <w:szCs w:val="22"/>
                <w:lang w:val="zh-CN"/>
              </w:rPr>
            </w:pPr>
            <w:r>
              <w:rPr>
                <w:rFonts w:hint="eastAsia" w:ascii="宋体" w:hAnsi="宋体" w:eastAsia="宋体" w:cs="宋体"/>
                <w:color w:val="auto"/>
                <w:sz w:val="22"/>
                <w:szCs w:val="22"/>
                <w:lang w:val="zh-CN"/>
              </w:rPr>
              <w:t>2.投标报价应包括国家规定的所有税费及与项目相关的所有费用。</w:t>
            </w:r>
          </w:p>
          <w:p>
            <w:pPr>
              <w:keepNext w:val="0"/>
              <w:keepLines w:val="0"/>
              <w:pageBreakBefore w:val="0"/>
              <w:widowControl w:val="0"/>
              <w:kinsoku/>
              <w:overflowPunct/>
              <w:topLinePunct w:val="0"/>
              <w:autoSpaceDE/>
              <w:autoSpaceDN/>
              <w:bidi w:val="0"/>
              <w:adjustRightInd w:val="0"/>
              <w:snapToGrid w:val="0"/>
              <w:spacing w:line="360" w:lineRule="auto"/>
              <w:ind w:right="-21" w:rightChars="-10"/>
              <w:textAlignment w:val="auto"/>
              <w:rPr>
                <w:rFonts w:hint="eastAsia" w:ascii="宋体" w:hAnsi="宋体" w:eastAsia="宋体" w:cs="宋体"/>
                <w:color w:val="auto"/>
                <w:sz w:val="22"/>
                <w:szCs w:val="22"/>
                <w:lang w:val="zh-CN"/>
              </w:rPr>
            </w:pPr>
            <w:r>
              <w:rPr>
                <w:rFonts w:hint="eastAsia" w:ascii="宋体" w:hAnsi="宋体" w:eastAsia="宋体" w:cs="宋体"/>
                <w:color w:val="auto"/>
                <w:sz w:val="22"/>
                <w:szCs w:val="22"/>
                <w:lang w:val="zh-CN"/>
              </w:rPr>
              <w:t>3.投标人应以人民币为结算单位。</w:t>
            </w:r>
          </w:p>
          <w:p>
            <w:pPr>
              <w:keepNext w:val="0"/>
              <w:keepLines w:val="0"/>
              <w:pageBreakBefore w:val="0"/>
              <w:widowControl w:val="0"/>
              <w:kinsoku/>
              <w:overflowPunct/>
              <w:topLinePunct w:val="0"/>
              <w:autoSpaceDE/>
              <w:autoSpaceDN/>
              <w:bidi w:val="0"/>
              <w:adjustRightInd w:val="0"/>
              <w:snapToGrid w:val="0"/>
              <w:spacing w:line="360" w:lineRule="auto"/>
              <w:ind w:right="-21" w:rightChars="-1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4.投标报价超出采购预算金额的投标为无效标。</w:t>
            </w:r>
          </w:p>
          <w:p>
            <w:pPr>
              <w:keepNext w:val="0"/>
              <w:keepLines w:val="0"/>
              <w:pageBreakBefore w:val="0"/>
              <w:widowControl w:val="0"/>
              <w:kinsoku/>
              <w:overflowPunct/>
              <w:topLinePunct w:val="0"/>
              <w:autoSpaceDE/>
              <w:autoSpaceDN/>
              <w:bidi w:val="0"/>
              <w:adjustRightInd w:val="0"/>
              <w:snapToGrid w:val="0"/>
              <w:spacing w:line="360" w:lineRule="auto"/>
              <w:ind w:right="-21" w:rightChars="-10"/>
              <w:textAlignment w:val="auto"/>
              <w:rPr>
                <w:rFonts w:hint="eastAsia" w:ascii="宋体" w:hAnsi="宋体" w:eastAsia="宋体" w:cs="宋体"/>
                <w:sz w:val="22"/>
                <w:szCs w:val="22"/>
              </w:rPr>
            </w:pPr>
            <w:r>
              <w:rPr>
                <w:rFonts w:hint="eastAsia" w:ascii="宋体" w:hAnsi="宋体" w:eastAsia="宋体" w:cs="宋体"/>
                <w:color w:val="auto"/>
                <w:sz w:val="22"/>
                <w:szCs w:val="22"/>
                <w:lang w:val="zh-CN"/>
              </w:rPr>
              <w:t>5.本项目合同为单价固定不变合同。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979" w:type="dxa"/>
            <w:tcBorders>
              <w:top w:val="single" w:color="auto" w:sz="4" w:space="0"/>
              <w:left w:val="doub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2"/>
                <w:szCs w:val="22"/>
              </w:rPr>
            </w:pPr>
            <w:r>
              <w:rPr>
                <w:rFonts w:hint="eastAsia" w:ascii="宋体" w:hAnsi="宋体" w:eastAsia="宋体" w:cs="宋体"/>
                <w:sz w:val="22"/>
                <w:szCs w:val="22"/>
              </w:rPr>
              <w:t>16.1</w:t>
            </w:r>
          </w:p>
        </w:tc>
        <w:tc>
          <w:tcPr>
            <w:tcW w:w="1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auto"/>
              <w:textAlignment w:val="auto"/>
              <w:rPr>
                <w:rFonts w:hint="eastAsia" w:ascii="宋体" w:hAnsi="宋体" w:eastAsia="宋体" w:cs="宋体"/>
                <w:sz w:val="22"/>
                <w:szCs w:val="22"/>
              </w:rPr>
            </w:pPr>
            <w:r>
              <w:rPr>
                <w:rFonts w:hint="eastAsia" w:ascii="宋体" w:hAnsi="宋体" w:eastAsia="宋体" w:cs="宋体"/>
                <w:sz w:val="22"/>
                <w:szCs w:val="22"/>
              </w:rPr>
              <w:t>投标保证金</w:t>
            </w:r>
          </w:p>
        </w:tc>
        <w:tc>
          <w:tcPr>
            <w:tcW w:w="6713" w:type="dxa"/>
            <w:tcBorders>
              <w:top w:val="single" w:color="auto" w:sz="4" w:space="0"/>
              <w:left w:val="single" w:color="auto" w:sz="4" w:space="0"/>
              <w:bottom w:val="single" w:color="auto" w:sz="4" w:space="0"/>
              <w:right w:val="double" w:color="auto" w:sz="4" w:space="0"/>
            </w:tcBorders>
            <w:vAlign w:val="center"/>
          </w:tcPr>
          <w:p>
            <w:pPr>
              <w:pStyle w:val="55"/>
              <w:keepNext w:val="0"/>
              <w:keepLines w:val="0"/>
              <w:pageBreakBefore w:val="0"/>
              <w:widowControl w:val="0"/>
              <w:kinsoku/>
              <w:overflowPunct/>
              <w:topLinePunct w:val="0"/>
              <w:autoSpaceDE/>
              <w:autoSpaceDN/>
              <w:bidi w:val="0"/>
              <w:adjustRightInd w:val="0"/>
              <w:snapToGrid w:val="0"/>
              <w:spacing w:line="360" w:lineRule="auto"/>
              <w:jc w:val="both"/>
              <w:textAlignment w:val="auto"/>
              <w:rPr>
                <w:rFonts w:hint="eastAsia" w:ascii="宋体" w:hAnsi="宋体" w:eastAsia="宋体" w:cs="宋体"/>
                <w:color w:val="auto"/>
                <w:kern w:val="2"/>
                <w:sz w:val="22"/>
                <w:szCs w:val="22"/>
                <w:shd w:val="clear" w:color="auto" w:fill="FFFFFF"/>
              </w:rPr>
            </w:pPr>
            <w:r>
              <w:rPr>
                <w:rFonts w:hint="eastAsia" w:ascii="宋体" w:hAnsi="宋体" w:eastAsia="宋体" w:cs="宋体"/>
                <w:color w:val="auto"/>
                <w:kern w:val="2"/>
                <w:sz w:val="22"/>
                <w:szCs w:val="22"/>
                <w:shd w:val="clear" w:color="auto" w:fill="FFFFFF"/>
              </w:rPr>
              <w:t>投标保证金的形式：</w:t>
            </w:r>
          </w:p>
          <w:p>
            <w:pPr>
              <w:pStyle w:val="55"/>
              <w:keepNext w:val="0"/>
              <w:keepLines w:val="0"/>
              <w:pageBreakBefore w:val="0"/>
              <w:widowControl w:val="0"/>
              <w:kinsoku/>
              <w:overflowPunct/>
              <w:topLinePunct w:val="0"/>
              <w:autoSpaceDE/>
              <w:autoSpaceDN/>
              <w:bidi w:val="0"/>
              <w:adjustRightInd w:val="0"/>
              <w:snapToGrid w:val="0"/>
              <w:spacing w:line="360" w:lineRule="auto"/>
              <w:jc w:val="both"/>
              <w:textAlignment w:val="auto"/>
              <w:rPr>
                <w:rFonts w:hint="eastAsia" w:ascii="宋体" w:hAnsi="宋体" w:eastAsia="宋体" w:cs="宋体"/>
                <w:color w:val="auto"/>
                <w:kern w:val="2"/>
                <w:sz w:val="22"/>
                <w:szCs w:val="22"/>
                <w:shd w:val="clear" w:color="auto" w:fill="FFFFFF"/>
              </w:rPr>
            </w:pPr>
            <w:r>
              <w:rPr>
                <w:rFonts w:hint="eastAsia" w:ascii="宋体" w:hAnsi="宋体" w:eastAsia="宋体" w:cs="宋体"/>
                <w:color w:val="auto"/>
                <w:kern w:val="2"/>
                <w:sz w:val="22"/>
                <w:szCs w:val="22"/>
                <w:shd w:val="clear" w:color="auto" w:fill="FFFFFF"/>
              </w:rPr>
              <w:sym w:font="Wingdings" w:char="00FE"/>
            </w:r>
            <w:r>
              <w:rPr>
                <w:rFonts w:hint="eastAsia" w:ascii="宋体" w:hAnsi="宋体" w:eastAsia="宋体" w:cs="宋体"/>
                <w:color w:val="auto"/>
                <w:kern w:val="2"/>
                <w:sz w:val="22"/>
                <w:szCs w:val="22"/>
                <w:shd w:val="clear" w:color="auto" w:fill="FFFFFF"/>
              </w:rPr>
              <w:t>1、单项投标保证金；</w:t>
            </w:r>
          </w:p>
          <w:p>
            <w:pPr>
              <w:pStyle w:val="55"/>
              <w:keepNext w:val="0"/>
              <w:keepLines w:val="0"/>
              <w:pageBreakBefore w:val="0"/>
              <w:widowControl w:val="0"/>
              <w:kinsoku/>
              <w:overflowPunct/>
              <w:topLinePunct w:val="0"/>
              <w:autoSpaceDE/>
              <w:autoSpaceDN/>
              <w:bidi w:val="0"/>
              <w:adjustRightInd w:val="0"/>
              <w:snapToGrid w:val="0"/>
              <w:spacing w:line="360" w:lineRule="auto"/>
              <w:jc w:val="both"/>
              <w:textAlignment w:val="auto"/>
              <w:rPr>
                <w:rFonts w:hint="eastAsia" w:ascii="宋体" w:hAnsi="宋体" w:eastAsia="宋体" w:cs="宋体"/>
                <w:color w:val="auto"/>
                <w:kern w:val="2"/>
                <w:sz w:val="22"/>
                <w:szCs w:val="22"/>
                <w:shd w:val="clear" w:color="auto" w:fill="FFFFFF"/>
              </w:rPr>
            </w:pPr>
            <w:r>
              <w:rPr>
                <w:rFonts w:hint="eastAsia" w:ascii="宋体" w:hAnsi="宋体" w:eastAsia="宋体" w:cs="宋体"/>
                <w:color w:val="auto"/>
                <w:kern w:val="2"/>
                <w:sz w:val="22"/>
                <w:szCs w:val="22"/>
                <w:shd w:val="clear" w:color="auto" w:fill="FFFFFF"/>
              </w:rPr>
              <w:sym w:font="Wingdings" w:char="00FE"/>
            </w:r>
            <w:r>
              <w:rPr>
                <w:rFonts w:hint="eastAsia" w:ascii="宋体" w:hAnsi="宋体" w:eastAsia="宋体" w:cs="宋体"/>
                <w:color w:val="auto"/>
                <w:kern w:val="2"/>
                <w:sz w:val="22"/>
                <w:szCs w:val="22"/>
                <w:shd w:val="clear" w:color="auto" w:fill="FFFFFF"/>
              </w:rPr>
              <w:t>2、投标担保函；</w:t>
            </w:r>
          </w:p>
          <w:p>
            <w:pPr>
              <w:keepNext w:val="0"/>
              <w:keepLines w:val="0"/>
              <w:pageBreakBefore w:val="0"/>
              <w:widowControl w:val="0"/>
              <w:kinsoku/>
              <w:overflowPunct/>
              <w:topLinePunct w:val="0"/>
              <w:autoSpaceDE/>
              <w:autoSpaceDN/>
              <w:bidi w:val="0"/>
              <w:adjustRightInd w:val="0"/>
              <w:snapToGrid w:val="0"/>
              <w:spacing w:line="360" w:lineRule="auto"/>
              <w:textAlignment w:val="auto"/>
              <w:rPr>
                <w:rFonts w:hint="eastAsia" w:ascii="宋体" w:hAnsi="宋体" w:eastAsia="宋体" w:cs="宋体"/>
                <w:color w:val="auto"/>
                <w:sz w:val="22"/>
                <w:szCs w:val="22"/>
                <w:u w:val="single"/>
              </w:rPr>
            </w:pPr>
            <w:r>
              <w:rPr>
                <w:rFonts w:hint="eastAsia" w:ascii="宋体" w:hAnsi="宋体" w:eastAsia="宋体" w:cs="宋体"/>
                <w:color w:val="auto"/>
                <w:sz w:val="22"/>
                <w:szCs w:val="22"/>
              </w:rPr>
              <w:t>投标保证金账户：</w:t>
            </w:r>
          </w:p>
          <w:p>
            <w:pPr>
              <w:keepNext w:val="0"/>
              <w:keepLines w:val="0"/>
              <w:pageBreakBefore w:val="0"/>
              <w:widowControl w:val="0"/>
              <w:kinsoku/>
              <w:overflowPunct/>
              <w:topLinePunct w:val="0"/>
              <w:autoSpaceDE/>
              <w:autoSpaceDN/>
              <w:bidi w:val="0"/>
              <w:adjustRightInd w:val="0"/>
              <w:snapToGrid w:val="0"/>
              <w:spacing w:line="360" w:lineRule="auto"/>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投标保证金金额：</w:t>
            </w:r>
            <w:r>
              <w:rPr>
                <w:rFonts w:hint="eastAsia" w:ascii="宋体" w:hAnsi="宋体" w:eastAsia="宋体" w:cs="宋体"/>
                <w:color w:val="auto"/>
                <w:sz w:val="22"/>
                <w:szCs w:val="22"/>
                <w:u w:val="single"/>
              </w:rPr>
              <w:t>100,000.00元</w:t>
            </w:r>
          </w:p>
          <w:p>
            <w:pPr>
              <w:keepNext w:val="0"/>
              <w:keepLines w:val="0"/>
              <w:pageBreakBefore w:val="0"/>
              <w:widowControl w:val="0"/>
              <w:kinsoku/>
              <w:overflowPunct/>
              <w:topLinePunct w:val="0"/>
              <w:autoSpaceDE/>
              <w:autoSpaceDN/>
              <w:bidi w:val="0"/>
              <w:adjustRightInd w:val="0"/>
              <w:snapToGrid w:val="0"/>
              <w:spacing w:line="360" w:lineRule="auto"/>
              <w:textAlignment w:val="auto"/>
              <w:rPr>
                <w:rFonts w:hint="eastAsia" w:ascii="宋体" w:hAnsi="宋体" w:eastAsia="宋体" w:cs="宋体"/>
                <w:color w:val="auto"/>
                <w:sz w:val="22"/>
                <w:szCs w:val="22"/>
                <w:u w:val="single"/>
              </w:rPr>
            </w:pPr>
            <w:r>
              <w:rPr>
                <w:rFonts w:hint="eastAsia" w:ascii="宋体" w:hAnsi="宋体" w:eastAsia="宋体" w:cs="宋体"/>
                <w:color w:val="auto"/>
                <w:sz w:val="22"/>
                <w:szCs w:val="22"/>
              </w:rPr>
              <w:t>开户名称：</w:t>
            </w:r>
            <w:r>
              <w:rPr>
                <w:rFonts w:hint="eastAsia" w:ascii="宋体" w:hAnsi="宋体" w:eastAsia="宋体" w:cs="宋体"/>
                <w:bCs/>
                <w:color w:val="auto"/>
                <w:sz w:val="22"/>
                <w:szCs w:val="22"/>
                <w:u w:val="single"/>
              </w:rPr>
              <w:t>东莞市交通投资集团有限公司</w:t>
            </w:r>
          </w:p>
          <w:p>
            <w:pPr>
              <w:keepNext w:val="0"/>
              <w:keepLines w:val="0"/>
              <w:pageBreakBefore w:val="0"/>
              <w:widowControl w:val="0"/>
              <w:kinsoku/>
              <w:overflowPunct/>
              <w:topLinePunct w:val="0"/>
              <w:autoSpaceDE/>
              <w:autoSpaceDN/>
              <w:bidi w:val="0"/>
              <w:adjustRightInd w:val="0"/>
              <w:snapToGrid w:val="0"/>
              <w:spacing w:line="360" w:lineRule="auto"/>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开户银行：</w:t>
            </w:r>
            <w:r>
              <w:rPr>
                <w:rFonts w:hint="eastAsia" w:ascii="宋体" w:hAnsi="宋体" w:eastAsia="宋体" w:cs="宋体"/>
                <w:color w:val="auto"/>
                <w:sz w:val="22"/>
                <w:szCs w:val="22"/>
                <w:u w:val="single"/>
              </w:rPr>
              <w:t>平安银行股份有限公司东莞分行</w:t>
            </w:r>
          </w:p>
          <w:p>
            <w:pPr>
              <w:keepNext w:val="0"/>
              <w:keepLines w:val="0"/>
              <w:pageBreakBefore w:val="0"/>
              <w:widowControl w:val="0"/>
              <w:kinsoku/>
              <w:overflowPunct/>
              <w:topLinePunct w:val="0"/>
              <w:autoSpaceDE/>
              <w:autoSpaceDN/>
              <w:bidi w:val="0"/>
              <w:adjustRightInd w:val="0"/>
              <w:snapToGrid w:val="0"/>
              <w:spacing w:line="360" w:lineRule="auto"/>
              <w:textAlignment w:val="auto"/>
              <w:rPr>
                <w:rFonts w:hint="eastAsia" w:ascii="宋体" w:hAnsi="宋体" w:eastAsia="宋体" w:cs="宋体"/>
                <w:color w:val="auto"/>
                <w:sz w:val="22"/>
                <w:szCs w:val="22"/>
                <w:u w:val="single"/>
              </w:rPr>
            </w:pPr>
            <w:r>
              <w:rPr>
                <w:rFonts w:hint="eastAsia" w:ascii="宋体" w:hAnsi="宋体" w:eastAsia="宋体" w:cs="宋体"/>
                <w:color w:val="auto"/>
                <w:sz w:val="22"/>
                <w:szCs w:val="22"/>
              </w:rPr>
              <w:t>账号：</w:t>
            </w:r>
            <w:r>
              <w:rPr>
                <w:rFonts w:hint="eastAsia" w:ascii="宋体" w:hAnsi="宋体" w:eastAsia="宋体" w:cs="宋体"/>
                <w:color w:val="auto"/>
                <w:sz w:val="22"/>
                <w:szCs w:val="22"/>
                <w:u w:val="single"/>
              </w:rPr>
              <w:t>30204959000492</w:t>
            </w:r>
          </w:p>
          <w:p>
            <w:pPr>
              <w:keepNext w:val="0"/>
              <w:keepLines w:val="0"/>
              <w:pageBreakBefore w:val="0"/>
              <w:widowControl w:val="0"/>
              <w:kinsoku/>
              <w:overflowPunct/>
              <w:topLinePunct w:val="0"/>
              <w:autoSpaceDE/>
              <w:autoSpaceDN/>
              <w:bidi w:val="0"/>
              <w:adjustRightInd w:val="0"/>
              <w:snapToGrid w:val="0"/>
              <w:spacing w:line="360" w:lineRule="auto"/>
              <w:textAlignment w:val="auto"/>
              <w:rPr>
                <w:rFonts w:hint="eastAsia" w:ascii="宋体" w:hAnsi="宋体" w:eastAsia="宋体" w:cs="宋体"/>
                <w:sz w:val="22"/>
                <w:szCs w:val="22"/>
              </w:rPr>
            </w:pPr>
            <w:r>
              <w:rPr>
                <w:rFonts w:hint="eastAsia" w:ascii="宋体" w:hAnsi="宋体" w:eastAsia="宋体" w:cs="宋体"/>
                <w:color w:val="auto"/>
                <w:sz w:val="22"/>
                <w:szCs w:val="22"/>
              </w:rPr>
              <w:t>保证金退还时采用“网上一键原路退还”的方式处理，其余的法律责任由投标人自行承担。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979" w:type="dxa"/>
            <w:tcBorders>
              <w:top w:val="single" w:color="auto" w:sz="4" w:space="0"/>
              <w:left w:val="doub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2"/>
                <w:szCs w:val="22"/>
              </w:rPr>
            </w:pPr>
            <w:r>
              <w:rPr>
                <w:rFonts w:hint="eastAsia" w:ascii="宋体" w:hAnsi="宋体" w:eastAsia="宋体" w:cs="宋体"/>
                <w:b/>
                <w:sz w:val="22"/>
                <w:szCs w:val="22"/>
              </w:rPr>
              <w:t>★</w:t>
            </w:r>
            <w:r>
              <w:rPr>
                <w:rFonts w:hint="eastAsia" w:ascii="宋体" w:hAnsi="宋体" w:eastAsia="宋体" w:cs="宋体"/>
                <w:sz w:val="22"/>
                <w:szCs w:val="22"/>
              </w:rPr>
              <w:t>17.1</w:t>
            </w:r>
          </w:p>
        </w:tc>
        <w:tc>
          <w:tcPr>
            <w:tcW w:w="1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auto"/>
              <w:textAlignment w:val="auto"/>
              <w:rPr>
                <w:rFonts w:hint="eastAsia" w:ascii="宋体" w:hAnsi="宋体" w:eastAsia="宋体" w:cs="宋体"/>
                <w:sz w:val="22"/>
                <w:szCs w:val="22"/>
              </w:rPr>
            </w:pPr>
            <w:r>
              <w:rPr>
                <w:rFonts w:hint="eastAsia" w:ascii="宋体" w:hAnsi="宋体" w:eastAsia="宋体" w:cs="宋体"/>
                <w:sz w:val="22"/>
                <w:szCs w:val="22"/>
                <w:lang w:val="zh-CN"/>
              </w:rPr>
              <w:t>投标有效期</w:t>
            </w:r>
          </w:p>
        </w:tc>
        <w:tc>
          <w:tcPr>
            <w:tcW w:w="6713" w:type="dxa"/>
            <w:tcBorders>
              <w:top w:val="single" w:color="auto" w:sz="4" w:space="0"/>
              <w:left w:val="single" w:color="auto" w:sz="4" w:space="0"/>
              <w:bottom w:val="single" w:color="auto" w:sz="4" w:space="0"/>
              <w:right w:val="doub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auto"/>
              <w:textAlignment w:val="auto"/>
              <w:rPr>
                <w:rFonts w:hint="eastAsia" w:ascii="宋体" w:hAnsi="宋体" w:eastAsia="宋体" w:cs="宋体"/>
                <w:bCs/>
                <w:sz w:val="22"/>
                <w:szCs w:val="22"/>
              </w:rPr>
            </w:pPr>
            <w:r>
              <w:rPr>
                <w:rFonts w:hint="eastAsia" w:ascii="宋体" w:hAnsi="宋体" w:eastAsia="宋体" w:cs="宋体"/>
                <w:bCs/>
                <w:sz w:val="22"/>
                <w:szCs w:val="22"/>
                <w:lang w:val="zh-CN"/>
              </w:rPr>
              <w:t>递交投标文件截止日后120日内有效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979" w:type="dxa"/>
            <w:tcBorders>
              <w:top w:val="single" w:color="auto" w:sz="4" w:space="0"/>
              <w:left w:val="doub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2"/>
                <w:szCs w:val="22"/>
              </w:rPr>
            </w:pPr>
            <w:r>
              <w:rPr>
                <w:rFonts w:hint="eastAsia" w:ascii="宋体" w:hAnsi="宋体" w:eastAsia="宋体" w:cs="宋体"/>
                <w:sz w:val="22"/>
                <w:szCs w:val="22"/>
                <w:lang w:val="zh-CN"/>
              </w:rPr>
              <w:t>19</w:t>
            </w:r>
          </w:p>
        </w:tc>
        <w:tc>
          <w:tcPr>
            <w:tcW w:w="1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auto"/>
              <w:textAlignment w:val="auto"/>
              <w:rPr>
                <w:rFonts w:hint="eastAsia" w:ascii="宋体" w:hAnsi="宋体" w:eastAsia="宋体" w:cs="宋体"/>
                <w:bCs/>
                <w:sz w:val="22"/>
                <w:szCs w:val="22"/>
              </w:rPr>
            </w:pPr>
            <w:r>
              <w:rPr>
                <w:rFonts w:hint="eastAsia" w:ascii="宋体" w:hAnsi="宋体" w:eastAsia="宋体" w:cs="宋体"/>
                <w:sz w:val="22"/>
                <w:szCs w:val="22"/>
              </w:rPr>
              <w:t>投标截止时间</w:t>
            </w:r>
          </w:p>
        </w:tc>
        <w:tc>
          <w:tcPr>
            <w:tcW w:w="6713" w:type="dxa"/>
            <w:tcBorders>
              <w:top w:val="single" w:color="auto" w:sz="4" w:space="0"/>
              <w:left w:val="single" w:color="auto" w:sz="4" w:space="0"/>
              <w:bottom w:val="single" w:color="auto" w:sz="4" w:space="0"/>
              <w:right w:val="doub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auto"/>
              <w:textAlignment w:val="auto"/>
              <w:rPr>
                <w:rFonts w:hint="eastAsia" w:ascii="宋体" w:hAnsi="宋体" w:eastAsia="宋体" w:cs="宋体"/>
                <w:sz w:val="22"/>
                <w:szCs w:val="22"/>
              </w:rPr>
            </w:pPr>
            <w:r>
              <w:rPr>
                <w:rFonts w:hint="eastAsia" w:ascii="宋体" w:hAnsi="宋体" w:eastAsia="宋体" w:cs="宋体"/>
                <w:sz w:val="22"/>
                <w:szCs w:val="22"/>
              </w:rPr>
              <w:t>本项目投标截止时间</w:t>
            </w:r>
            <w:r>
              <w:rPr>
                <w:rFonts w:hint="eastAsia" w:ascii="宋体" w:hAnsi="宋体" w:cs="宋体"/>
                <w:bCs/>
                <w:sz w:val="22"/>
                <w:szCs w:val="22"/>
              </w:rPr>
              <w:t>2022年</w:t>
            </w:r>
            <w:r>
              <w:rPr>
                <w:rFonts w:hint="eastAsia" w:ascii="宋体" w:hAnsi="宋体" w:cs="宋体"/>
                <w:bCs/>
                <w:sz w:val="22"/>
                <w:szCs w:val="22"/>
                <w:lang w:val="en-US" w:eastAsia="zh-CN"/>
              </w:rPr>
              <w:t>08</w:t>
            </w:r>
            <w:r>
              <w:rPr>
                <w:rFonts w:hint="eastAsia" w:ascii="宋体" w:hAnsi="宋体" w:cs="宋体"/>
                <w:bCs/>
                <w:sz w:val="22"/>
                <w:szCs w:val="22"/>
              </w:rPr>
              <w:t>月</w:t>
            </w:r>
            <w:r>
              <w:rPr>
                <w:rFonts w:hint="eastAsia" w:ascii="宋体" w:hAnsi="宋体" w:cs="宋体"/>
                <w:bCs/>
                <w:sz w:val="22"/>
                <w:szCs w:val="22"/>
                <w:lang w:val="en-US" w:eastAsia="zh-CN"/>
              </w:rPr>
              <w:t>30</w:t>
            </w:r>
            <w:r>
              <w:rPr>
                <w:rFonts w:hint="eastAsia" w:ascii="宋体" w:hAnsi="宋体" w:cs="宋体"/>
                <w:bCs/>
                <w:sz w:val="22"/>
                <w:szCs w:val="22"/>
              </w:rPr>
              <w:t>日09时30分</w:t>
            </w:r>
            <w:r>
              <w:rPr>
                <w:rFonts w:hint="eastAsia" w:ascii="宋体" w:hAnsi="宋体" w:eastAsia="宋体" w:cs="宋体"/>
                <w:sz w:val="22"/>
                <w:szCs w:val="22"/>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79" w:type="dxa"/>
            <w:tcBorders>
              <w:top w:val="single" w:color="auto" w:sz="4" w:space="0"/>
              <w:left w:val="doub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2"/>
                <w:szCs w:val="22"/>
              </w:rPr>
            </w:pPr>
            <w:r>
              <w:rPr>
                <w:rFonts w:hint="eastAsia" w:ascii="宋体" w:hAnsi="宋体" w:eastAsia="宋体" w:cs="宋体"/>
                <w:sz w:val="22"/>
                <w:szCs w:val="22"/>
              </w:rPr>
              <w:t>23.1</w:t>
            </w:r>
          </w:p>
        </w:tc>
        <w:tc>
          <w:tcPr>
            <w:tcW w:w="1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auto"/>
              <w:textAlignment w:val="auto"/>
              <w:rPr>
                <w:rFonts w:hint="eastAsia" w:ascii="宋体" w:hAnsi="宋体" w:eastAsia="宋体" w:cs="宋体"/>
                <w:bCs/>
                <w:sz w:val="22"/>
                <w:szCs w:val="22"/>
              </w:rPr>
            </w:pPr>
            <w:r>
              <w:rPr>
                <w:rFonts w:hint="eastAsia" w:ascii="宋体" w:hAnsi="宋体" w:eastAsia="宋体" w:cs="宋体"/>
                <w:bCs/>
                <w:sz w:val="22"/>
                <w:szCs w:val="22"/>
              </w:rPr>
              <w:t>评标委员会</w:t>
            </w:r>
          </w:p>
        </w:tc>
        <w:tc>
          <w:tcPr>
            <w:tcW w:w="6713" w:type="dxa"/>
            <w:tcBorders>
              <w:top w:val="single" w:color="auto" w:sz="4" w:space="0"/>
              <w:left w:val="single" w:color="auto" w:sz="4" w:space="0"/>
              <w:bottom w:val="single" w:color="auto" w:sz="4" w:space="0"/>
              <w:right w:val="doub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auto"/>
              <w:textAlignment w:val="auto"/>
              <w:rPr>
                <w:rFonts w:hint="eastAsia" w:ascii="宋体" w:hAnsi="宋体" w:eastAsia="宋体" w:cs="宋体"/>
                <w:sz w:val="22"/>
                <w:szCs w:val="22"/>
              </w:rPr>
            </w:pPr>
            <w:r>
              <w:rPr>
                <w:rFonts w:hint="eastAsia" w:ascii="宋体" w:hAnsi="宋体" w:cs="宋体"/>
                <w:sz w:val="22"/>
                <w:szCs w:val="22"/>
                <w:lang w:val="zh-CN"/>
              </w:rPr>
              <w:t>依法组成评标委员会，成员人数为</w:t>
            </w:r>
            <w:r>
              <w:rPr>
                <w:rFonts w:hint="eastAsia" w:ascii="宋体" w:hAnsi="宋体" w:cs="宋体"/>
                <w:sz w:val="22"/>
                <w:szCs w:val="22"/>
              </w:rPr>
              <w:t>7</w:t>
            </w:r>
            <w:r>
              <w:rPr>
                <w:rFonts w:hint="eastAsia" w:ascii="宋体" w:hAnsi="宋体" w:cs="宋体"/>
                <w:sz w:val="22"/>
                <w:szCs w:val="22"/>
                <w:lang w:val="zh-CN"/>
              </w:rPr>
              <w:t>人</w:t>
            </w:r>
            <w:r>
              <w:rPr>
                <w:rFonts w:hint="eastAsia" w:ascii="宋体" w:hAnsi="宋体" w:eastAsia="宋体" w:cs="宋体"/>
                <w:sz w:val="22"/>
                <w:szCs w:val="22"/>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79" w:type="dxa"/>
            <w:tcBorders>
              <w:top w:val="single" w:color="auto" w:sz="4" w:space="0"/>
              <w:left w:val="doub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2"/>
                <w:szCs w:val="22"/>
              </w:rPr>
            </w:pPr>
            <w:r>
              <w:rPr>
                <w:rFonts w:hint="eastAsia" w:ascii="宋体" w:hAnsi="宋体" w:eastAsia="宋体" w:cs="宋体"/>
                <w:sz w:val="22"/>
                <w:szCs w:val="22"/>
              </w:rPr>
              <w:t>28</w:t>
            </w:r>
          </w:p>
        </w:tc>
        <w:tc>
          <w:tcPr>
            <w:tcW w:w="1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auto"/>
              <w:textAlignment w:val="auto"/>
              <w:rPr>
                <w:rFonts w:hint="eastAsia" w:ascii="宋体" w:hAnsi="宋体" w:eastAsia="宋体" w:cs="宋体"/>
                <w:bCs/>
                <w:sz w:val="22"/>
                <w:szCs w:val="22"/>
              </w:rPr>
            </w:pPr>
            <w:r>
              <w:rPr>
                <w:rFonts w:hint="eastAsia" w:ascii="宋体" w:hAnsi="宋体" w:eastAsia="宋体" w:cs="宋体"/>
                <w:bCs/>
                <w:sz w:val="22"/>
                <w:szCs w:val="22"/>
              </w:rPr>
              <w:t>评标方法</w:t>
            </w:r>
          </w:p>
        </w:tc>
        <w:tc>
          <w:tcPr>
            <w:tcW w:w="6713" w:type="dxa"/>
            <w:tcBorders>
              <w:top w:val="single" w:color="auto" w:sz="4" w:space="0"/>
              <w:left w:val="single" w:color="auto" w:sz="4" w:space="0"/>
              <w:bottom w:val="single" w:color="auto" w:sz="4" w:space="0"/>
              <w:right w:val="doub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auto"/>
              <w:textAlignment w:val="auto"/>
              <w:rPr>
                <w:rFonts w:hint="eastAsia" w:ascii="宋体" w:hAnsi="宋体" w:eastAsia="宋体" w:cs="宋体"/>
                <w:sz w:val="22"/>
                <w:szCs w:val="22"/>
              </w:rPr>
            </w:pPr>
            <w:r>
              <w:rPr>
                <w:rFonts w:hint="eastAsia" w:ascii="宋体" w:hAnsi="宋体" w:eastAsia="宋体" w:cs="宋体"/>
                <w:sz w:val="22"/>
                <w:szCs w:val="22"/>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79" w:type="dxa"/>
            <w:tcBorders>
              <w:top w:val="single" w:color="auto" w:sz="4" w:space="0"/>
              <w:left w:val="doub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2"/>
                <w:szCs w:val="22"/>
              </w:rPr>
            </w:pPr>
            <w:r>
              <w:rPr>
                <w:rFonts w:hint="eastAsia" w:ascii="宋体" w:hAnsi="宋体" w:eastAsia="宋体" w:cs="宋体"/>
                <w:sz w:val="22"/>
                <w:szCs w:val="22"/>
              </w:rPr>
              <w:t>9.4</w:t>
            </w:r>
          </w:p>
        </w:tc>
        <w:tc>
          <w:tcPr>
            <w:tcW w:w="1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auto"/>
              <w:textAlignment w:val="auto"/>
              <w:rPr>
                <w:rFonts w:hint="eastAsia" w:ascii="宋体" w:hAnsi="宋体" w:eastAsia="宋体" w:cs="宋体"/>
                <w:bCs/>
                <w:sz w:val="22"/>
                <w:szCs w:val="22"/>
              </w:rPr>
            </w:pPr>
            <w:r>
              <w:rPr>
                <w:rFonts w:hint="eastAsia" w:ascii="宋体" w:hAnsi="宋体" w:eastAsia="宋体" w:cs="宋体"/>
                <w:bCs/>
                <w:sz w:val="22"/>
                <w:szCs w:val="22"/>
              </w:rPr>
              <w:t>招标信息公告媒体</w:t>
            </w:r>
          </w:p>
        </w:tc>
        <w:tc>
          <w:tcPr>
            <w:tcW w:w="6713" w:type="dxa"/>
            <w:tcBorders>
              <w:top w:val="single" w:color="auto" w:sz="4" w:space="0"/>
              <w:left w:val="single" w:color="auto" w:sz="4" w:space="0"/>
              <w:bottom w:val="single" w:color="auto" w:sz="4" w:space="0"/>
              <w:right w:val="doub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textAlignment w:val="auto"/>
              <w:rPr>
                <w:rFonts w:hint="eastAsia" w:ascii="宋体" w:hAnsi="宋体" w:eastAsia="宋体" w:cs="宋体"/>
                <w:bCs/>
                <w:sz w:val="22"/>
                <w:szCs w:val="22"/>
              </w:rPr>
            </w:pPr>
            <w:r>
              <w:rPr>
                <w:rFonts w:hint="eastAsia" w:ascii="宋体" w:hAnsi="宋体" w:eastAsia="宋体" w:cs="宋体"/>
                <w:bCs/>
                <w:sz w:val="22"/>
                <w:szCs w:val="22"/>
              </w:rPr>
              <w:t>所有有关本次招标的招标公告会在东莞市公共资源交易网（http://ggzy.dg.gov.cn/）、东莞市交通投资集团有限公司官方网站（http://www.dgjtjt.com.cn）媒体上公布，并视为有效送达，不再另行通知。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79" w:type="dxa"/>
            <w:tcBorders>
              <w:top w:val="single" w:color="auto" w:sz="4" w:space="0"/>
              <w:left w:val="doub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2"/>
                <w:szCs w:val="22"/>
              </w:rPr>
            </w:pPr>
            <w:r>
              <w:rPr>
                <w:rFonts w:hint="eastAsia" w:ascii="宋体" w:hAnsi="宋体" w:eastAsia="宋体" w:cs="宋体"/>
                <w:sz w:val="22"/>
                <w:szCs w:val="22"/>
              </w:rPr>
              <w:t>29.1</w:t>
            </w:r>
          </w:p>
        </w:tc>
        <w:tc>
          <w:tcPr>
            <w:tcW w:w="1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auto"/>
              <w:textAlignment w:val="auto"/>
              <w:rPr>
                <w:rFonts w:hint="eastAsia" w:ascii="宋体" w:hAnsi="宋体" w:eastAsia="宋体" w:cs="宋体"/>
                <w:bCs/>
                <w:sz w:val="22"/>
                <w:szCs w:val="22"/>
              </w:rPr>
            </w:pPr>
            <w:r>
              <w:rPr>
                <w:rFonts w:hint="eastAsia" w:ascii="宋体" w:hAnsi="宋体" w:eastAsia="宋体" w:cs="宋体"/>
                <w:bCs/>
                <w:sz w:val="22"/>
                <w:szCs w:val="22"/>
              </w:rPr>
              <w:t>招标结果公示媒体</w:t>
            </w:r>
          </w:p>
        </w:tc>
        <w:tc>
          <w:tcPr>
            <w:tcW w:w="6713" w:type="dxa"/>
            <w:tcBorders>
              <w:top w:val="single" w:color="auto" w:sz="4" w:space="0"/>
              <w:left w:val="single" w:color="auto" w:sz="4" w:space="0"/>
              <w:bottom w:val="single" w:color="auto" w:sz="4" w:space="0"/>
              <w:right w:val="doub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auto"/>
              <w:textAlignment w:val="auto"/>
              <w:rPr>
                <w:rFonts w:hint="eastAsia" w:ascii="宋体" w:hAnsi="宋体" w:eastAsia="宋体" w:cs="宋体"/>
                <w:bCs/>
                <w:sz w:val="22"/>
                <w:szCs w:val="22"/>
              </w:rPr>
            </w:pPr>
            <w:r>
              <w:rPr>
                <w:rFonts w:hint="eastAsia" w:ascii="宋体" w:hAnsi="宋体" w:eastAsia="宋体" w:cs="宋体"/>
                <w:bCs/>
                <w:sz w:val="22"/>
                <w:szCs w:val="22"/>
              </w:rPr>
              <w:t>所有本次招标的结果公示会在东莞市公共资源交易网（http://ggzy.dg.gov.cn/）、东莞市交通投资集团有限公司官方网站（http://www.dgjtjt.com.cn）媒体上公布，并视为有效送达，不再另行通知。</w:t>
            </w:r>
          </w:p>
        </w:tc>
      </w:tr>
      <w:tr>
        <w:tblPrEx>
          <w:tblBorders>
            <w:top w:val="doub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jc w:val="center"/>
        </w:trPr>
        <w:tc>
          <w:tcPr>
            <w:tcW w:w="9242" w:type="dxa"/>
            <w:gridSpan w:val="3"/>
            <w:tcBorders>
              <w:top w:val="double" w:color="auto" w:sz="4" w:space="0"/>
            </w:tcBorders>
          </w:tcPr>
          <w:p>
            <w:pPr>
              <w:rPr>
                <w:rFonts w:ascii="宋体" w:hAnsi="宋体"/>
                <w:sz w:val="22"/>
                <w:szCs w:val="22"/>
              </w:rPr>
            </w:pPr>
          </w:p>
        </w:tc>
      </w:tr>
    </w:tbl>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bCs/>
          <w:kern w:val="44"/>
          <w:lang w:val="en-US"/>
        </w:rPr>
      </w:pPr>
      <w:bookmarkStart w:id="33" w:name="_Toc441844051"/>
      <w:bookmarkStart w:id="34" w:name="_Toc9475"/>
      <w:bookmarkStart w:id="35" w:name="_Toc25822"/>
      <w:bookmarkStart w:id="36" w:name="_Toc3914"/>
      <w:bookmarkStart w:id="37" w:name="_Toc12502"/>
      <w:r>
        <w:rPr>
          <w:rFonts w:hint="eastAsia" w:ascii="宋体" w:hAnsi="宋体"/>
          <w:bCs/>
          <w:kern w:val="44"/>
          <w:lang w:val="en-US"/>
        </w:rPr>
        <w:br w:type="page"/>
      </w:r>
    </w:p>
    <w:p>
      <w:pPr>
        <w:pStyle w:val="4"/>
        <w:spacing w:line="360" w:lineRule="auto"/>
        <w:ind w:left="0" w:firstLine="0"/>
        <w:jc w:val="center"/>
        <w:rPr>
          <w:rFonts w:ascii="宋体" w:hAnsi="宋体" w:eastAsia="宋体"/>
          <w:b w:val="0"/>
          <w:bCs/>
          <w:kern w:val="44"/>
          <w:lang w:val="zh-CN"/>
        </w:rPr>
      </w:pPr>
      <w:bookmarkStart w:id="38" w:name="_Toc20647"/>
      <w:bookmarkStart w:id="39" w:name="_Toc21161"/>
      <w:r>
        <w:rPr>
          <w:rFonts w:hint="eastAsia" w:ascii="宋体" w:hAnsi="宋体" w:eastAsia="宋体"/>
          <w:b w:val="0"/>
          <w:bCs/>
          <w:kern w:val="44"/>
          <w:lang w:val="zh-CN"/>
        </w:rPr>
        <w:t>二、投标人须知</w:t>
      </w:r>
      <w:bookmarkEnd w:id="33"/>
      <w:bookmarkEnd w:id="34"/>
      <w:bookmarkEnd w:id="35"/>
      <w:bookmarkEnd w:id="36"/>
      <w:bookmarkEnd w:id="37"/>
      <w:bookmarkEnd w:id="38"/>
      <w:bookmarkEnd w:id="39"/>
    </w:p>
    <w:p>
      <w:pPr>
        <w:pStyle w:val="4"/>
        <w:tabs>
          <w:tab w:val="left" w:pos="142"/>
          <w:tab w:val="clear" w:pos="1440"/>
        </w:tabs>
        <w:ind w:left="0" w:firstLine="0"/>
        <w:rPr>
          <w:rFonts w:ascii="Times New Roman" w:hAnsi="Times New Roman" w:eastAsiaTheme="minorEastAsia"/>
          <w:sz w:val="28"/>
          <w:szCs w:val="28"/>
          <w:lang w:val="zh-CN"/>
        </w:rPr>
      </w:pPr>
      <w:bookmarkStart w:id="40" w:name="_Toc15969"/>
      <w:bookmarkStart w:id="41" w:name="_Toc441844052"/>
      <w:bookmarkStart w:id="42" w:name="_Toc46502736"/>
      <w:bookmarkStart w:id="43" w:name="_Toc6214"/>
      <w:bookmarkStart w:id="44" w:name="_Toc19891"/>
      <w:bookmarkStart w:id="45" w:name="_Toc29373"/>
      <w:bookmarkStart w:id="46" w:name="_Toc6370"/>
      <w:r>
        <w:rPr>
          <w:rFonts w:ascii="Times New Roman" w:hAnsi="Times New Roman" w:eastAsiaTheme="minorEastAsia"/>
          <w:sz w:val="28"/>
          <w:szCs w:val="28"/>
          <w:lang w:val="zh-CN"/>
        </w:rPr>
        <w:t>（一）总则</w:t>
      </w:r>
      <w:bookmarkEnd w:id="40"/>
      <w:bookmarkEnd w:id="41"/>
      <w:bookmarkEnd w:id="42"/>
      <w:bookmarkEnd w:id="43"/>
      <w:bookmarkEnd w:id="44"/>
      <w:bookmarkEnd w:id="45"/>
      <w:bookmarkEnd w:id="46"/>
    </w:p>
    <w:p>
      <w:pPr>
        <w:pStyle w:val="46"/>
        <w:numPr>
          <w:ilvl w:val="0"/>
          <w:numId w:val="4"/>
        </w:numPr>
        <w:spacing w:line="360" w:lineRule="auto"/>
        <w:ind w:left="0" w:firstLine="0" w:firstLineChars="0"/>
        <w:outlineLvl w:val="2"/>
        <w:rPr>
          <w:rFonts w:ascii="宋体" w:hAnsi="宋体"/>
          <w:b/>
          <w:bCs/>
          <w:sz w:val="22"/>
          <w:szCs w:val="22"/>
        </w:rPr>
      </w:pPr>
      <w:bookmarkStart w:id="47" w:name="_Toc25718"/>
      <w:bookmarkStart w:id="48" w:name="_Toc8643"/>
      <w:bookmarkStart w:id="49" w:name="_Toc382907620"/>
      <w:bookmarkStart w:id="50" w:name="_Toc21993"/>
      <w:bookmarkStart w:id="51" w:name="_Toc2285"/>
      <w:bookmarkStart w:id="52" w:name="_Toc441844053"/>
      <w:bookmarkStart w:id="53" w:name="_Toc20902"/>
      <w:bookmarkStart w:id="54" w:name="_Toc46502737"/>
      <w:bookmarkStart w:id="55" w:name="_Toc439256278"/>
      <w:bookmarkStart w:id="56" w:name="_Toc314064451"/>
      <w:r>
        <w:rPr>
          <w:rFonts w:ascii="宋体" w:hAnsi="宋体"/>
          <w:b/>
          <w:bCs/>
          <w:sz w:val="22"/>
          <w:szCs w:val="22"/>
        </w:rPr>
        <w:t>招标范围及资金来源</w:t>
      </w:r>
      <w:bookmarkEnd w:id="47"/>
      <w:bookmarkEnd w:id="48"/>
      <w:bookmarkEnd w:id="49"/>
      <w:bookmarkEnd w:id="50"/>
      <w:bookmarkEnd w:id="51"/>
      <w:bookmarkEnd w:id="52"/>
      <w:bookmarkEnd w:id="53"/>
      <w:bookmarkEnd w:id="54"/>
      <w:bookmarkEnd w:id="55"/>
      <w:bookmarkEnd w:id="56"/>
    </w:p>
    <w:p>
      <w:pPr>
        <w:pStyle w:val="82"/>
        <w:numPr>
          <w:ilvl w:val="0"/>
          <w:numId w:val="5"/>
        </w:numPr>
        <w:spacing w:line="360" w:lineRule="auto"/>
        <w:ind w:left="426" w:hanging="426" w:firstLineChars="0"/>
        <w:rPr>
          <w:rFonts w:ascii="宋体" w:hAnsi="宋体"/>
          <w:bCs/>
          <w:sz w:val="22"/>
          <w:szCs w:val="22"/>
        </w:rPr>
      </w:pPr>
      <w:r>
        <w:rPr>
          <w:rFonts w:hint="eastAsia" w:ascii="宋体" w:hAnsi="宋体"/>
          <w:bCs/>
          <w:sz w:val="22"/>
          <w:szCs w:val="22"/>
        </w:rPr>
        <w:t>招标范围：详细要求见本招标文件中《用户需求书》。本次招标，投标人必须对全部内容进行报价，不得缺漏。</w:t>
      </w:r>
    </w:p>
    <w:p>
      <w:pPr>
        <w:pStyle w:val="82"/>
        <w:numPr>
          <w:ilvl w:val="0"/>
          <w:numId w:val="5"/>
        </w:numPr>
        <w:spacing w:line="360" w:lineRule="auto"/>
        <w:ind w:left="426" w:hanging="426" w:firstLineChars="0"/>
        <w:rPr>
          <w:rFonts w:ascii="宋体" w:hAnsi="宋体"/>
          <w:bCs/>
          <w:sz w:val="22"/>
          <w:szCs w:val="22"/>
        </w:rPr>
      </w:pPr>
      <w:r>
        <w:rPr>
          <w:rFonts w:ascii="宋体" w:hAnsi="宋体"/>
          <w:bCs/>
          <w:sz w:val="22"/>
          <w:szCs w:val="22"/>
        </w:rPr>
        <w:t>资金来源：</w:t>
      </w:r>
      <w:r>
        <w:rPr>
          <w:rFonts w:ascii="宋体" w:hAnsi="宋体"/>
          <w:b/>
          <w:bCs/>
          <w:sz w:val="22"/>
          <w:szCs w:val="22"/>
          <w:u w:val="single"/>
        </w:rPr>
        <w:t>详见投标人须知前附表</w:t>
      </w:r>
      <w:r>
        <w:rPr>
          <w:rFonts w:ascii="宋体" w:hAnsi="宋体"/>
          <w:bCs/>
          <w:sz w:val="22"/>
          <w:szCs w:val="22"/>
        </w:rPr>
        <w:t>。</w:t>
      </w:r>
    </w:p>
    <w:p>
      <w:pPr>
        <w:pStyle w:val="82"/>
        <w:numPr>
          <w:ilvl w:val="0"/>
          <w:numId w:val="5"/>
        </w:numPr>
        <w:spacing w:line="360" w:lineRule="auto"/>
        <w:ind w:left="426" w:hanging="426" w:firstLineChars="0"/>
        <w:rPr>
          <w:rFonts w:ascii="宋体" w:hAnsi="宋体"/>
          <w:bCs/>
          <w:sz w:val="22"/>
          <w:szCs w:val="22"/>
        </w:rPr>
      </w:pPr>
      <w:r>
        <w:rPr>
          <w:rFonts w:ascii="宋体" w:hAnsi="宋体"/>
          <w:bCs/>
          <w:sz w:val="22"/>
          <w:szCs w:val="22"/>
        </w:rPr>
        <w:t>项目预算金额：</w:t>
      </w:r>
      <w:r>
        <w:rPr>
          <w:rFonts w:ascii="宋体" w:hAnsi="宋体"/>
          <w:b/>
          <w:bCs/>
          <w:sz w:val="22"/>
          <w:szCs w:val="22"/>
          <w:u w:val="single"/>
        </w:rPr>
        <w:t>详见投标人须知前附表。</w:t>
      </w:r>
    </w:p>
    <w:p>
      <w:pPr>
        <w:pStyle w:val="46"/>
        <w:numPr>
          <w:ilvl w:val="0"/>
          <w:numId w:val="4"/>
        </w:numPr>
        <w:spacing w:line="360" w:lineRule="auto"/>
        <w:ind w:left="0" w:firstLine="0" w:firstLineChars="0"/>
        <w:outlineLvl w:val="2"/>
        <w:rPr>
          <w:rFonts w:ascii="宋体" w:hAnsi="宋体"/>
          <w:b/>
          <w:bCs/>
          <w:sz w:val="22"/>
          <w:szCs w:val="22"/>
        </w:rPr>
      </w:pPr>
      <w:bookmarkStart w:id="57" w:name="_Toc3050"/>
      <w:bookmarkStart w:id="58" w:name="_Toc29166"/>
      <w:bookmarkStart w:id="59" w:name="_Toc382907621"/>
      <w:bookmarkStart w:id="60" w:name="_Toc317604605"/>
      <w:bookmarkStart w:id="61" w:name="_Toc30586"/>
      <w:bookmarkStart w:id="62" w:name="_Toc441844054"/>
      <w:bookmarkStart w:id="63" w:name="_Toc46502738"/>
      <w:bookmarkStart w:id="64" w:name="_Toc439256279"/>
      <w:bookmarkStart w:id="65" w:name="_Toc13446"/>
      <w:bookmarkStart w:id="66" w:name="_Toc13813"/>
      <w:r>
        <w:rPr>
          <w:rFonts w:ascii="宋体" w:hAnsi="宋体"/>
          <w:b/>
          <w:bCs/>
          <w:sz w:val="22"/>
          <w:szCs w:val="22"/>
        </w:rPr>
        <w:t>定义</w:t>
      </w:r>
      <w:bookmarkEnd w:id="57"/>
      <w:bookmarkEnd w:id="58"/>
      <w:bookmarkEnd w:id="59"/>
      <w:bookmarkEnd w:id="60"/>
      <w:bookmarkEnd w:id="61"/>
      <w:bookmarkEnd w:id="62"/>
      <w:bookmarkEnd w:id="63"/>
      <w:bookmarkEnd w:id="64"/>
      <w:bookmarkEnd w:id="65"/>
      <w:bookmarkEnd w:id="66"/>
    </w:p>
    <w:p>
      <w:pPr>
        <w:pStyle w:val="82"/>
        <w:numPr>
          <w:ilvl w:val="0"/>
          <w:numId w:val="6"/>
        </w:numPr>
        <w:spacing w:line="360" w:lineRule="auto"/>
        <w:ind w:left="426" w:hanging="426" w:firstLineChars="0"/>
        <w:rPr>
          <w:rFonts w:ascii="宋体" w:hAnsi="宋体"/>
          <w:bCs/>
          <w:sz w:val="22"/>
          <w:szCs w:val="22"/>
        </w:rPr>
      </w:pPr>
      <w:r>
        <w:rPr>
          <w:rFonts w:hint="eastAsia" w:ascii="宋体" w:hAnsi="宋体"/>
          <w:bCs/>
          <w:sz w:val="22"/>
          <w:szCs w:val="22"/>
        </w:rPr>
        <w:t>招标人：</w:t>
      </w:r>
      <w:r>
        <w:rPr>
          <w:rFonts w:hint="eastAsia" w:ascii="宋体" w:hAnsi="宋体"/>
          <w:b/>
          <w:bCs/>
          <w:sz w:val="22"/>
          <w:szCs w:val="22"/>
          <w:u w:val="single"/>
        </w:rPr>
        <w:t>详见投标人须知前附表。</w:t>
      </w:r>
    </w:p>
    <w:p>
      <w:pPr>
        <w:pStyle w:val="82"/>
        <w:numPr>
          <w:ilvl w:val="0"/>
          <w:numId w:val="6"/>
        </w:numPr>
        <w:spacing w:line="360" w:lineRule="auto"/>
        <w:ind w:left="426" w:hanging="426" w:firstLineChars="0"/>
        <w:rPr>
          <w:rFonts w:ascii="宋体" w:hAnsi="宋体"/>
          <w:bCs/>
          <w:sz w:val="22"/>
          <w:szCs w:val="22"/>
        </w:rPr>
      </w:pPr>
      <w:r>
        <w:rPr>
          <w:rFonts w:hint="eastAsia" w:ascii="宋体" w:hAnsi="宋体"/>
          <w:bCs/>
          <w:sz w:val="22"/>
          <w:szCs w:val="22"/>
        </w:rPr>
        <w:t>招标</w:t>
      </w:r>
      <w:r>
        <w:rPr>
          <w:rFonts w:ascii="宋体" w:hAnsi="宋体"/>
          <w:bCs/>
          <w:sz w:val="22"/>
          <w:szCs w:val="22"/>
        </w:rPr>
        <w:t>代理机构：</w:t>
      </w:r>
      <w:r>
        <w:rPr>
          <w:rFonts w:ascii="宋体" w:hAnsi="宋体"/>
          <w:b/>
          <w:bCs/>
          <w:sz w:val="22"/>
          <w:szCs w:val="22"/>
          <w:u w:val="single"/>
        </w:rPr>
        <w:t>详见投标人须知前附表。</w:t>
      </w:r>
    </w:p>
    <w:p>
      <w:pPr>
        <w:pStyle w:val="82"/>
        <w:numPr>
          <w:ilvl w:val="0"/>
          <w:numId w:val="6"/>
        </w:numPr>
        <w:spacing w:line="360" w:lineRule="auto"/>
        <w:ind w:left="426" w:hanging="426" w:firstLineChars="0"/>
        <w:rPr>
          <w:rFonts w:ascii="宋体" w:hAnsi="宋体"/>
          <w:bCs/>
          <w:sz w:val="22"/>
          <w:szCs w:val="22"/>
        </w:rPr>
      </w:pPr>
      <w:r>
        <w:rPr>
          <w:rFonts w:ascii="宋体" w:hAnsi="宋体"/>
          <w:bCs/>
          <w:sz w:val="22"/>
          <w:szCs w:val="22"/>
        </w:rPr>
        <w:t>评标委员会：评标委员会是依据有关规定组建的专门负责本次招标其评标工作的临时性机构。</w:t>
      </w:r>
    </w:p>
    <w:p>
      <w:pPr>
        <w:pStyle w:val="82"/>
        <w:numPr>
          <w:ilvl w:val="0"/>
          <w:numId w:val="6"/>
        </w:numPr>
        <w:spacing w:line="360" w:lineRule="auto"/>
        <w:ind w:left="426" w:hanging="426" w:firstLineChars="0"/>
        <w:rPr>
          <w:rFonts w:ascii="宋体" w:hAnsi="宋体"/>
          <w:bCs/>
          <w:sz w:val="22"/>
          <w:szCs w:val="22"/>
        </w:rPr>
      </w:pPr>
      <w:r>
        <w:rPr>
          <w:rFonts w:ascii="宋体" w:hAnsi="宋体"/>
          <w:bCs/>
          <w:sz w:val="22"/>
          <w:szCs w:val="22"/>
        </w:rPr>
        <w:t>日期：指日历日。评审时，对投标中出现的“工作日”按五个工作日折合七个日历日计算，且评标委员会可能会就有关日期作出对该投标人不利的折算或量化。</w:t>
      </w:r>
    </w:p>
    <w:p>
      <w:pPr>
        <w:pStyle w:val="82"/>
        <w:numPr>
          <w:ilvl w:val="0"/>
          <w:numId w:val="6"/>
        </w:numPr>
        <w:spacing w:line="360" w:lineRule="auto"/>
        <w:ind w:left="426" w:hanging="426" w:firstLineChars="0"/>
        <w:rPr>
          <w:rFonts w:ascii="宋体" w:hAnsi="宋体"/>
          <w:bCs/>
          <w:sz w:val="22"/>
          <w:szCs w:val="22"/>
        </w:rPr>
      </w:pPr>
      <w:r>
        <w:rPr>
          <w:rFonts w:ascii="宋体" w:hAnsi="宋体"/>
          <w:bCs/>
          <w:sz w:val="22"/>
          <w:szCs w:val="22"/>
        </w:rPr>
        <w:t xml:space="preserve"> 时间：指北京时间。</w:t>
      </w:r>
    </w:p>
    <w:p>
      <w:pPr>
        <w:pStyle w:val="82"/>
        <w:numPr>
          <w:ilvl w:val="0"/>
          <w:numId w:val="6"/>
        </w:numPr>
        <w:spacing w:line="360" w:lineRule="auto"/>
        <w:ind w:left="426" w:hanging="426" w:firstLineChars="0"/>
        <w:rPr>
          <w:rFonts w:ascii="宋体" w:hAnsi="宋体"/>
          <w:bCs/>
          <w:sz w:val="22"/>
          <w:szCs w:val="22"/>
        </w:rPr>
      </w:pPr>
      <w:r>
        <w:rPr>
          <w:rFonts w:ascii="宋体" w:hAnsi="宋体"/>
          <w:bCs/>
          <w:sz w:val="22"/>
          <w:szCs w:val="22"/>
        </w:rPr>
        <w:t>合同：指由本次招标所产生的合同或合约文件。</w:t>
      </w:r>
    </w:p>
    <w:p>
      <w:pPr>
        <w:pStyle w:val="82"/>
        <w:numPr>
          <w:ilvl w:val="0"/>
          <w:numId w:val="6"/>
        </w:numPr>
        <w:spacing w:line="360" w:lineRule="auto"/>
        <w:ind w:left="426" w:hanging="426" w:firstLineChars="0"/>
        <w:rPr>
          <w:rFonts w:ascii="宋体" w:hAnsi="宋体"/>
          <w:bCs/>
          <w:sz w:val="22"/>
          <w:szCs w:val="22"/>
        </w:rPr>
      </w:pPr>
      <w:r>
        <w:rPr>
          <w:rFonts w:ascii="宋体" w:hAnsi="宋体"/>
          <w:bCs/>
          <w:sz w:val="22"/>
          <w:szCs w:val="22"/>
        </w:rPr>
        <w:t>招标文件中所规定“书面形式”，是指任何手写的、打印的或印刷的方式，通讯方式包括专人递交或传真发送。</w:t>
      </w:r>
    </w:p>
    <w:p>
      <w:pPr>
        <w:pStyle w:val="82"/>
        <w:numPr>
          <w:ilvl w:val="0"/>
          <w:numId w:val="6"/>
        </w:numPr>
        <w:spacing w:line="360" w:lineRule="auto"/>
        <w:ind w:left="426" w:hanging="426" w:firstLineChars="0"/>
        <w:rPr>
          <w:rFonts w:ascii="宋体" w:hAnsi="宋体"/>
          <w:bCs/>
          <w:sz w:val="22"/>
          <w:szCs w:val="22"/>
        </w:rPr>
      </w:pPr>
      <w:r>
        <w:rPr>
          <w:rFonts w:ascii="宋体" w:hAnsi="宋体"/>
          <w:bCs/>
          <w:sz w:val="22"/>
          <w:szCs w:val="22"/>
        </w:rPr>
        <w:t>服务：指投标人须向</w:t>
      </w:r>
      <w:r>
        <w:rPr>
          <w:rFonts w:hint="eastAsia" w:ascii="宋体" w:hAnsi="宋体"/>
          <w:bCs/>
          <w:sz w:val="22"/>
          <w:szCs w:val="22"/>
        </w:rPr>
        <w:t>招标</w:t>
      </w:r>
      <w:r>
        <w:rPr>
          <w:rFonts w:ascii="宋体" w:hAnsi="宋体"/>
          <w:bCs/>
          <w:sz w:val="22"/>
          <w:szCs w:val="22"/>
        </w:rPr>
        <w:t>人提供的符合招标文件要求的服务。</w:t>
      </w:r>
    </w:p>
    <w:p>
      <w:pPr>
        <w:pStyle w:val="82"/>
        <w:numPr>
          <w:ilvl w:val="0"/>
          <w:numId w:val="6"/>
        </w:numPr>
        <w:spacing w:line="360" w:lineRule="auto"/>
        <w:ind w:left="426" w:hanging="426" w:firstLineChars="0"/>
        <w:rPr>
          <w:rFonts w:ascii="宋体" w:hAnsi="宋体"/>
          <w:bCs/>
          <w:sz w:val="22"/>
          <w:szCs w:val="22"/>
        </w:rPr>
      </w:pPr>
      <w:r>
        <w:rPr>
          <w:rFonts w:ascii="宋体" w:hAnsi="宋体"/>
          <w:bCs/>
          <w:sz w:val="22"/>
          <w:szCs w:val="22"/>
        </w:rPr>
        <w:t>货物：指投标人须向</w:t>
      </w:r>
      <w:r>
        <w:rPr>
          <w:rFonts w:hint="eastAsia" w:ascii="宋体" w:hAnsi="宋体"/>
          <w:bCs/>
          <w:sz w:val="22"/>
          <w:szCs w:val="22"/>
        </w:rPr>
        <w:t>招标</w:t>
      </w:r>
      <w:r>
        <w:rPr>
          <w:rFonts w:ascii="宋体" w:hAnsi="宋体"/>
          <w:bCs/>
          <w:sz w:val="22"/>
          <w:szCs w:val="22"/>
        </w:rPr>
        <w:t>人提供的符合招标文件要求的货物等，其来源地均应为中华人民共和国或与中华人民共和国有官方贸易关系的国家或地区。招标文件中没有提及采购货物来源地的，根据相关规定均应是本国货物，优先采购自主创新、节能、环保产品。投标的货物必须是合法生产的符合国家有关标准要求的全新原厂生产的产品，并满足采购招标文件规定的规格、参数、质量、价格、有效期、售后服务等要求。所有国内制造的货物必须具备出厂合格证和相关检测报告；所有进口货物必须均为合法正当渠道进口的且具备原产地证明、中国商检证明及合法进货渠道全套单证。在验收货物时，中标投标人必须提供上述全部相关资料及证明文件。</w:t>
      </w:r>
    </w:p>
    <w:p>
      <w:pPr>
        <w:pStyle w:val="46"/>
        <w:numPr>
          <w:ilvl w:val="0"/>
          <w:numId w:val="4"/>
        </w:numPr>
        <w:spacing w:line="360" w:lineRule="auto"/>
        <w:ind w:left="0" w:firstLine="0" w:firstLineChars="0"/>
        <w:outlineLvl w:val="2"/>
        <w:rPr>
          <w:rFonts w:ascii="Times New Roman" w:hAnsi="Times New Roman" w:eastAsiaTheme="minorEastAsia"/>
          <w:b/>
          <w:bCs/>
          <w:sz w:val="22"/>
          <w:szCs w:val="22"/>
        </w:rPr>
      </w:pPr>
      <w:bookmarkStart w:id="67" w:name="_Toc31935"/>
      <w:bookmarkStart w:id="68" w:name="_Toc12696"/>
      <w:bookmarkStart w:id="69" w:name="_Toc441844055"/>
      <w:bookmarkStart w:id="70" w:name="_Toc22337"/>
      <w:bookmarkStart w:id="71" w:name="_Toc46502739"/>
      <w:bookmarkStart w:id="72" w:name="_Toc2644"/>
      <w:bookmarkStart w:id="73" w:name="_Toc15650"/>
      <w:r>
        <w:rPr>
          <w:rFonts w:ascii="Times New Roman" w:hAnsi="Times New Roman" w:eastAsiaTheme="minorEastAsia"/>
          <w:b/>
          <w:bCs/>
          <w:sz w:val="22"/>
          <w:szCs w:val="22"/>
        </w:rPr>
        <w:t>合格的投标人</w:t>
      </w:r>
      <w:bookmarkEnd w:id="67"/>
      <w:bookmarkEnd w:id="68"/>
      <w:bookmarkEnd w:id="69"/>
      <w:bookmarkEnd w:id="70"/>
      <w:bookmarkEnd w:id="71"/>
      <w:bookmarkEnd w:id="72"/>
      <w:bookmarkEnd w:id="73"/>
    </w:p>
    <w:p>
      <w:pPr>
        <w:pStyle w:val="82"/>
        <w:numPr>
          <w:ilvl w:val="0"/>
          <w:numId w:val="7"/>
        </w:numPr>
        <w:spacing w:line="360" w:lineRule="auto"/>
        <w:ind w:left="567" w:hanging="567" w:firstLineChars="0"/>
        <w:rPr>
          <w:rFonts w:ascii="宋体" w:hAnsi="宋体"/>
          <w:bCs/>
          <w:sz w:val="22"/>
          <w:szCs w:val="22"/>
        </w:rPr>
      </w:pPr>
      <w:r>
        <w:rPr>
          <w:rFonts w:hint="eastAsia" w:ascii="宋体" w:hAnsi="宋体"/>
          <w:bCs/>
          <w:sz w:val="22"/>
          <w:szCs w:val="22"/>
        </w:rPr>
        <w:t>合格的投标人条件见第一章《投标邀请》中第</w:t>
      </w:r>
      <w:r>
        <w:rPr>
          <w:rFonts w:ascii="宋体" w:hAnsi="宋体"/>
          <w:bCs/>
          <w:sz w:val="22"/>
          <w:szCs w:val="22"/>
        </w:rPr>
        <w:t>5</w:t>
      </w:r>
      <w:r>
        <w:rPr>
          <w:rFonts w:hint="eastAsia" w:ascii="宋体" w:hAnsi="宋体"/>
          <w:bCs/>
          <w:sz w:val="22"/>
          <w:szCs w:val="22"/>
        </w:rPr>
        <w:t>款的“</w:t>
      </w:r>
      <w:r>
        <w:rPr>
          <w:rFonts w:hint="eastAsia" w:ascii="宋体" w:hAnsi="宋体"/>
          <w:b/>
          <w:bCs/>
          <w:sz w:val="22"/>
          <w:szCs w:val="22"/>
          <w:u w:val="single"/>
        </w:rPr>
        <w:t>投标人资格要求”及本条以下</w:t>
      </w:r>
      <w:r>
        <w:rPr>
          <w:rFonts w:ascii="宋体" w:hAnsi="宋体"/>
          <w:b/>
          <w:bCs/>
          <w:sz w:val="22"/>
          <w:szCs w:val="22"/>
          <w:u w:val="single"/>
        </w:rPr>
        <w:t>3</w:t>
      </w:r>
      <w:r>
        <w:rPr>
          <w:rFonts w:hint="eastAsia" w:ascii="宋体" w:hAnsi="宋体"/>
          <w:b/>
          <w:bCs/>
          <w:sz w:val="22"/>
          <w:szCs w:val="22"/>
          <w:u w:val="single"/>
        </w:rPr>
        <w:t>.2款至</w:t>
      </w:r>
      <w:r>
        <w:rPr>
          <w:rFonts w:ascii="宋体" w:hAnsi="宋体"/>
          <w:b/>
          <w:bCs/>
          <w:sz w:val="22"/>
          <w:szCs w:val="22"/>
          <w:u w:val="single"/>
        </w:rPr>
        <w:t>3</w:t>
      </w:r>
      <w:r>
        <w:rPr>
          <w:rFonts w:hint="eastAsia" w:ascii="宋体" w:hAnsi="宋体"/>
          <w:b/>
          <w:bCs/>
          <w:sz w:val="22"/>
          <w:szCs w:val="22"/>
          <w:u w:val="single"/>
        </w:rPr>
        <w:t>.</w:t>
      </w:r>
      <w:r>
        <w:rPr>
          <w:rFonts w:ascii="宋体" w:hAnsi="宋体"/>
          <w:b/>
          <w:bCs/>
          <w:sz w:val="22"/>
          <w:szCs w:val="22"/>
          <w:u w:val="single"/>
        </w:rPr>
        <w:t>10</w:t>
      </w:r>
      <w:r>
        <w:rPr>
          <w:rFonts w:hint="eastAsia" w:ascii="宋体" w:hAnsi="宋体"/>
          <w:b/>
          <w:bCs/>
          <w:sz w:val="22"/>
          <w:szCs w:val="22"/>
          <w:u w:val="single"/>
        </w:rPr>
        <w:t>款的通用要求</w:t>
      </w:r>
      <w:r>
        <w:rPr>
          <w:rFonts w:hint="eastAsia" w:ascii="宋体" w:hAnsi="宋体"/>
          <w:bCs/>
          <w:sz w:val="22"/>
          <w:szCs w:val="22"/>
        </w:rPr>
        <w:t>。</w:t>
      </w:r>
    </w:p>
    <w:p>
      <w:pPr>
        <w:pStyle w:val="82"/>
        <w:numPr>
          <w:ilvl w:val="0"/>
          <w:numId w:val="7"/>
        </w:numPr>
        <w:spacing w:line="360" w:lineRule="auto"/>
        <w:ind w:left="567" w:hanging="567" w:firstLineChars="0"/>
        <w:rPr>
          <w:rFonts w:ascii="宋体" w:hAnsi="宋体"/>
          <w:bCs/>
          <w:sz w:val="22"/>
          <w:szCs w:val="22"/>
        </w:rPr>
      </w:pPr>
      <w:r>
        <w:rPr>
          <w:rFonts w:hint="eastAsia" w:hAnsi="宋体"/>
          <w:sz w:val="22"/>
          <w:szCs w:val="22"/>
          <w:lang w:val="zh-CN"/>
        </w:rPr>
        <w:t>投标人符合《中华人民共和国招标投标法》第二十六条的规定。</w:t>
      </w:r>
    </w:p>
    <w:p>
      <w:pPr>
        <w:pStyle w:val="82"/>
        <w:numPr>
          <w:ilvl w:val="0"/>
          <w:numId w:val="7"/>
        </w:numPr>
        <w:spacing w:line="360" w:lineRule="auto"/>
        <w:ind w:left="567" w:hanging="567" w:firstLineChars="0"/>
        <w:rPr>
          <w:rFonts w:ascii="宋体" w:hAnsi="宋体" w:cs="宋体"/>
          <w:bCs/>
          <w:sz w:val="22"/>
          <w:szCs w:val="22"/>
        </w:rPr>
      </w:pPr>
      <w:r>
        <w:rPr>
          <w:rFonts w:hint="eastAsia" w:hAnsi="宋体"/>
          <w:sz w:val="22"/>
          <w:szCs w:val="22"/>
        </w:rPr>
        <w:t>投标</w:t>
      </w:r>
      <w:r>
        <w:rPr>
          <w:rFonts w:hint="eastAsia" w:ascii="宋体" w:hAnsi="宋体" w:cs="宋体"/>
          <w:sz w:val="22"/>
          <w:szCs w:val="22"/>
        </w:rPr>
        <w:t>人在参加本项目投标前的三年内，不得在投标活动中存在违反《中华人民共和国招标投标法》第五十三条、第五十四条、第六十条、《中华人民共和国招标投标法实施条例》第七十六条、第七十七条规定，而受到各级管理部门的处罚。投标人在投标文件中必须主动按招标文件的要求填报“最近3年企业牵涉的主要诉讼案件或处罚说明”，如果不主动填报而被事后发现的，将取消其投标（中标）资格，并按有关规定从重处理。</w:t>
      </w:r>
    </w:p>
    <w:p>
      <w:pPr>
        <w:pStyle w:val="82"/>
        <w:numPr>
          <w:ilvl w:val="0"/>
          <w:numId w:val="7"/>
        </w:numPr>
        <w:spacing w:line="360" w:lineRule="auto"/>
        <w:ind w:left="567" w:hanging="567" w:firstLineChars="0"/>
        <w:rPr>
          <w:rFonts w:ascii="宋体" w:hAnsi="宋体" w:cs="宋体"/>
          <w:sz w:val="22"/>
          <w:szCs w:val="22"/>
        </w:rPr>
      </w:pPr>
      <w:r>
        <w:rPr>
          <w:rFonts w:hint="eastAsia" w:ascii="宋体" w:hAnsi="宋体" w:cs="宋体"/>
          <w:sz w:val="22"/>
          <w:szCs w:val="22"/>
          <w:lang w:val="zh-CN"/>
        </w:rPr>
        <w:t>根据《中华人民共和国招标投标法实施条例》第三十四条规定，与招标人存在利害关系可能影响招标公正性的法人、其他组织或者个人，不得参加投标；投标人负责人为同一人或者存在控股、管理关系的不同投标人，不得参加同一项目投标。上述情况一经发现，相关投标均无效。</w:t>
      </w:r>
    </w:p>
    <w:p>
      <w:pPr>
        <w:pStyle w:val="82"/>
        <w:numPr>
          <w:ilvl w:val="0"/>
          <w:numId w:val="7"/>
        </w:numPr>
        <w:spacing w:line="360" w:lineRule="auto"/>
        <w:ind w:left="567" w:hanging="567" w:firstLineChars="0"/>
        <w:rPr>
          <w:rFonts w:ascii="宋体" w:hAnsi="宋体" w:cs="宋体"/>
          <w:bCs/>
          <w:sz w:val="22"/>
          <w:szCs w:val="22"/>
        </w:rPr>
      </w:pPr>
      <w:r>
        <w:rPr>
          <w:rFonts w:hint="eastAsia" w:ascii="宋体" w:hAnsi="宋体" w:cs="宋体"/>
          <w:bCs/>
          <w:sz w:val="22"/>
          <w:szCs w:val="22"/>
        </w:rPr>
        <w:t>未被列入“国家企业信用信息公示系统”网站（http://www.gsxt.gov.cn）严重违法失信企业名单；未被列入“中国执行信息公开网”失信执行人。</w:t>
      </w:r>
    </w:p>
    <w:p>
      <w:pPr>
        <w:pStyle w:val="82"/>
        <w:numPr>
          <w:ilvl w:val="0"/>
          <w:numId w:val="7"/>
        </w:numPr>
        <w:spacing w:line="360" w:lineRule="auto"/>
        <w:ind w:left="567" w:hanging="567" w:firstLineChars="0"/>
        <w:rPr>
          <w:rFonts w:ascii="宋体" w:hAnsi="宋体" w:cs="宋体"/>
          <w:bCs/>
          <w:sz w:val="22"/>
          <w:szCs w:val="22"/>
        </w:rPr>
      </w:pPr>
      <w:r>
        <w:rPr>
          <w:rFonts w:hint="eastAsia" w:ascii="宋体" w:hAnsi="宋体" w:cs="宋体"/>
          <w:bCs/>
          <w:sz w:val="22"/>
          <w:szCs w:val="22"/>
        </w:rPr>
        <w:t>不存在大额诉讼或多宗诉讼或其他违法、违约等影响本次招标项目正常履约的情形。</w:t>
      </w:r>
    </w:p>
    <w:p>
      <w:pPr>
        <w:pStyle w:val="82"/>
        <w:numPr>
          <w:ilvl w:val="0"/>
          <w:numId w:val="7"/>
        </w:numPr>
        <w:spacing w:line="360" w:lineRule="auto"/>
        <w:ind w:left="567" w:hanging="567" w:firstLineChars="0"/>
        <w:rPr>
          <w:rFonts w:ascii="宋体" w:hAnsi="宋体" w:cs="宋体"/>
          <w:bCs/>
          <w:sz w:val="22"/>
          <w:szCs w:val="22"/>
        </w:rPr>
      </w:pPr>
      <w:r>
        <w:rPr>
          <w:rFonts w:hint="eastAsia" w:ascii="宋体" w:hAnsi="宋体" w:cs="宋体"/>
          <w:bCs/>
          <w:sz w:val="22"/>
          <w:szCs w:val="22"/>
        </w:rPr>
        <w:t>不存在投标人或其关联公司曾与东莞市交通投资集团有限公司及其下属企业签订合同，且在履约过程中因投标人或其关联公司严重违约而导致合同变更、中止、解除的情形。</w:t>
      </w:r>
    </w:p>
    <w:p>
      <w:pPr>
        <w:pStyle w:val="82"/>
        <w:numPr>
          <w:ilvl w:val="0"/>
          <w:numId w:val="7"/>
        </w:numPr>
        <w:spacing w:line="360" w:lineRule="auto"/>
        <w:ind w:left="567" w:hanging="567" w:firstLineChars="0"/>
        <w:rPr>
          <w:rFonts w:ascii="宋体" w:hAnsi="宋体" w:cs="宋体"/>
          <w:bCs/>
          <w:sz w:val="22"/>
          <w:szCs w:val="22"/>
        </w:rPr>
      </w:pPr>
      <w:r>
        <w:rPr>
          <w:rFonts w:hint="eastAsia" w:ascii="宋体" w:hAnsi="宋体" w:cs="宋体"/>
          <w:bCs/>
          <w:sz w:val="22"/>
          <w:szCs w:val="22"/>
        </w:rPr>
        <w:t>投标人或其关联公司未正在与东莞市交通投资集团有公司及其下属企业发生诉讼的。</w:t>
      </w:r>
    </w:p>
    <w:p>
      <w:pPr>
        <w:pStyle w:val="82"/>
        <w:numPr>
          <w:ilvl w:val="0"/>
          <w:numId w:val="7"/>
        </w:numPr>
        <w:spacing w:line="360" w:lineRule="auto"/>
        <w:ind w:left="567" w:hanging="567" w:firstLineChars="0"/>
        <w:rPr>
          <w:rFonts w:ascii="宋体" w:hAnsi="宋体"/>
          <w:bCs/>
          <w:sz w:val="22"/>
          <w:szCs w:val="22"/>
        </w:rPr>
      </w:pPr>
      <w:r>
        <w:rPr>
          <w:rFonts w:hint="eastAsia" w:ascii="宋体" w:hAnsi="宋体" w:cs="宋体"/>
          <w:bCs/>
          <w:sz w:val="22"/>
          <w:szCs w:val="22"/>
        </w:rPr>
        <w:t>不存在法院判决或仲裁裁决认定投标人或其关联公司在</w:t>
      </w:r>
      <w:r>
        <w:rPr>
          <w:rFonts w:hint="eastAsia" w:ascii="宋体" w:hAnsi="宋体"/>
          <w:bCs/>
          <w:sz w:val="22"/>
          <w:szCs w:val="22"/>
        </w:rPr>
        <w:t>与东莞市交通投资集团有限公司及其下属企业履约过程中存在违约或过失责任的情形的。</w:t>
      </w:r>
    </w:p>
    <w:p>
      <w:pPr>
        <w:pStyle w:val="82"/>
        <w:numPr>
          <w:ilvl w:val="0"/>
          <w:numId w:val="7"/>
        </w:numPr>
        <w:spacing w:line="360" w:lineRule="auto"/>
        <w:ind w:left="567" w:hanging="567" w:firstLineChars="0"/>
        <w:rPr>
          <w:rFonts w:ascii="宋体" w:hAnsi="宋体"/>
          <w:bCs/>
          <w:sz w:val="22"/>
          <w:szCs w:val="22"/>
        </w:rPr>
      </w:pPr>
      <w:r>
        <w:rPr>
          <w:rFonts w:ascii="宋体" w:hAnsi="宋体"/>
          <w:sz w:val="22"/>
          <w:szCs w:val="22"/>
          <w:lang w:val="zh-CN"/>
        </w:rPr>
        <w:t>联合体投标的投标人应当满足下列条件：</w:t>
      </w:r>
    </w:p>
    <w:p>
      <w:pPr>
        <w:pStyle w:val="82"/>
        <w:numPr>
          <w:ilvl w:val="0"/>
          <w:numId w:val="8"/>
        </w:numPr>
        <w:spacing w:line="360" w:lineRule="auto"/>
        <w:ind w:firstLineChars="0"/>
        <w:rPr>
          <w:rFonts w:ascii="宋体" w:hAnsi="宋体"/>
          <w:bCs/>
          <w:sz w:val="22"/>
          <w:szCs w:val="22"/>
        </w:rPr>
      </w:pPr>
      <w:r>
        <w:rPr>
          <w:rFonts w:hint="eastAsia" w:ascii="宋体" w:hAnsi="宋体"/>
          <w:bCs/>
          <w:sz w:val="22"/>
          <w:szCs w:val="22"/>
        </w:rPr>
        <w:t>以联合体形式进行投标的，联合体各方之间应当签订联合体协议，明确约定联合体各方承担的工作和义务，并将共同联合体协议连同投标文件一并提交。</w:t>
      </w:r>
    </w:p>
    <w:p>
      <w:pPr>
        <w:pStyle w:val="82"/>
        <w:numPr>
          <w:ilvl w:val="0"/>
          <w:numId w:val="8"/>
        </w:numPr>
        <w:spacing w:line="360" w:lineRule="auto"/>
        <w:ind w:firstLineChars="0"/>
        <w:rPr>
          <w:rFonts w:ascii="宋体" w:hAnsi="宋体"/>
          <w:bCs/>
          <w:sz w:val="22"/>
          <w:szCs w:val="22"/>
        </w:rPr>
      </w:pPr>
      <w:r>
        <w:rPr>
          <w:rFonts w:ascii="宋体" w:hAnsi="宋体"/>
          <w:bCs/>
          <w:sz w:val="22"/>
          <w:szCs w:val="22"/>
        </w:rPr>
        <w:t>以联合体形式参加采购活动的，联合体各方不得再单独参加或者与其他投标人另外组成联合体参加同一合同项下的采购活动。</w:t>
      </w:r>
    </w:p>
    <w:p>
      <w:pPr>
        <w:pStyle w:val="82"/>
        <w:numPr>
          <w:ilvl w:val="0"/>
          <w:numId w:val="8"/>
        </w:numPr>
        <w:spacing w:line="360" w:lineRule="auto"/>
        <w:ind w:firstLineChars="0"/>
        <w:rPr>
          <w:rFonts w:ascii="宋体" w:hAnsi="宋体"/>
          <w:bCs/>
          <w:sz w:val="22"/>
          <w:szCs w:val="22"/>
        </w:rPr>
      </w:pPr>
      <w:r>
        <w:rPr>
          <w:rFonts w:ascii="宋体" w:hAnsi="宋体"/>
          <w:bCs/>
          <w:sz w:val="22"/>
          <w:szCs w:val="22"/>
        </w:rPr>
        <w:t>以联合体进行投标的，可以由联合体中的一方或者共同提交投标保证金，以一方名义提交的投标保证金的，对联合体各方均具有约束力。</w:t>
      </w:r>
    </w:p>
    <w:p>
      <w:pPr>
        <w:pStyle w:val="82"/>
        <w:numPr>
          <w:ilvl w:val="0"/>
          <w:numId w:val="8"/>
        </w:numPr>
        <w:spacing w:line="360" w:lineRule="auto"/>
        <w:ind w:firstLineChars="0"/>
        <w:rPr>
          <w:rFonts w:ascii="宋体" w:hAnsi="宋体"/>
          <w:bCs/>
          <w:sz w:val="22"/>
          <w:szCs w:val="22"/>
        </w:rPr>
      </w:pPr>
      <w:r>
        <w:rPr>
          <w:rFonts w:ascii="宋体" w:hAnsi="宋体"/>
          <w:bCs/>
          <w:sz w:val="22"/>
          <w:szCs w:val="22"/>
        </w:rPr>
        <w:t>联合体中有同类资质的投标人按照联合体分工承担相同工作的，按照资质等级较低的投标人确定资质等级。</w:t>
      </w:r>
    </w:p>
    <w:p>
      <w:pPr>
        <w:pStyle w:val="82"/>
        <w:numPr>
          <w:ilvl w:val="0"/>
          <w:numId w:val="8"/>
        </w:numPr>
        <w:spacing w:line="360" w:lineRule="auto"/>
        <w:ind w:firstLineChars="0"/>
        <w:rPr>
          <w:rFonts w:ascii="宋体" w:hAnsi="宋体"/>
          <w:bCs/>
          <w:sz w:val="22"/>
          <w:szCs w:val="22"/>
        </w:rPr>
      </w:pPr>
      <w:r>
        <w:rPr>
          <w:rFonts w:ascii="宋体" w:hAnsi="宋体"/>
          <w:bCs/>
          <w:sz w:val="22"/>
          <w:szCs w:val="22"/>
        </w:rPr>
        <w:t>联合体各方应当共同与</w:t>
      </w:r>
      <w:r>
        <w:rPr>
          <w:rFonts w:hint="eastAsia" w:ascii="宋体" w:hAnsi="宋体"/>
          <w:bCs/>
          <w:sz w:val="22"/>
          <w:szCs w:val="22"/>
        </w:rPr>
        <w:t>招标</w:t>
      </w:r>
      <w:r>
        <w:rPr>
          <w:rFonts w:ascii="宋体" w:hAnsi="宋体"/>
          <w:bCs/>
          <w:sz w:val="22"/>
          <w:szCs w:val="22"/>
        </w:rPr>
        <w:t>人签订采购合同，就采购合同约定的事项对</w:t>
      </w:r>
      <w:r>
        <w:rPr>
          <w:rFonts w:hint="eastAsia" w:ascii="宋体" w:hAnsi="宋体"/>
          <w:bCs/>
          <w:sz w:val="22"/>
          <w:szCs w:val="22"/>
        </w:rPr>
        <w:t>招标</w:t>
      </w:r>
      <w:r>
        <w:rPr>
          <w:rFonts w:ascii="宋体" w:hAnsi="宋体"/>
          <w:bCs/>
          <w:sz w:val="22"/>
          <w:szCs w:val="22"/>
        </w:rPr>
        <w:t>人承担连带责任。</w:t>
      </w:r>
    </w:p>
    <w:p>
      <w:pPr>
        <w:pStyle w:val="46"/>
        <w:numPr>
          <w:ilvl w:val="0"/>
          <w:numId w:val="4"/>
        </w:numPr>
        <w:spacing w:line="360" w:lineRule="auto"/>
        <w:ind w:left="0" w:firstLine="0" w:firstLineChars="0"/>
        <w:outlineLvl w:val="2"/>
        <w:rPr>
          <w:rFonts w:ascii="宋体" w:hAnsi="宋体"/>
          <w:b/>
          <w:bCs/>
          <w:sz w:val="22"/>
          <w:szCs w:val="22"/>
        </w:rPr>
      </w:pPr>
      <w:bookmarkStart w:id="74" w:name="_Toc11045"/>
      <w:bookmarkStart w:id="75" w:name="_Toc441844056"/>
      <w:bookmarkStart w:id="76" w:name="_Toc46502740"/>
      <w:bookmarkStart w:id="77" w:name="_Toc21669"/>
      <w:bookmarkStart w:id="78" w:name="_Toc18554"/>
      <w:bookmarkStart w:id="79" w:name="_Toc25505"/>
      <w:bookmarkStart w:id="80" w:name="_Toc32375"/>
      <w:r>
        <w:rPr>
          <w:rFonts w:ascii="宋体" w:hAnsi="宋体"/>
          <w:b/>
          <w:bCs/>
          <w:sz w:val="22"/>
          <w:szCs w:val="22"/>
        </w:rPr>
        <w:t>合格的货物和服务及验收</w:t>
      </w:r>
      <w:bookmarkEnd w:id="74"/>
      <w:bookmarkEnd w:id="75"/>
      <w:bookmarkEnd w:id="76"/>
      <w:bookmarkEnd w:id="77"/>
      <w:bookmarkEnd w:id="78"/>
      <w:bookmarkEnd w:id="79"/>
      <w:bookmarkEnd w:id="80"/>
    </w:p>
    <w:p>
      <w:pPr>
        <w:pStyle w:val="82"/>
        <w:numPr>
          <w:ilvl w:val="0"/>
          <w:numId w:val="9"/>
        </w:numPr>
        <w:spacing w:line="360" w:lineRule="auto"/>
        <w:ind w:left="567" w:hanging="567" w:firstLineChars="0"/>
        <w:rPr>
          <w:rFonts w:ascii="宋体" w:hAnsi="宋体"/>
          <w:sz w:val="22"/>
          <w:szCs w:val="22"/>
        </w:rPr>
      </w:pPr>
      <w:r>
        <w:rPr>
          <w:rFonts w:hint="eastAsia" w:ascii="宋体" w:hAnsi="宋体"/>
          <w:sz w:val="22"/>
          <w:szCs w:val="22"/>
        </w:rPr>
        <w:t>货物是指投标人制造或组织符合招标文件要求的货物等。投标的货物必须是其合法生产的符合国家有关标准要求的货物，并满足招标文件规定的规格、参数、质量、价格、有效期、售后服务等要求。招标文件中没有提及招标货物来源地的，根据相关规定应当是本国货物。</w:t>
      </w:r>
    </w:p>
    <w:p>
      <w:pPr>
        <w:pStyle w:val="82"/>
        <w:numPr>
          <w:ilvl w:val="0"/>
          <w:numId w:val="9"/>
        </w:numPr>
        <w:spacing w:line="360" w:lineRule="auto"/>
        <w:ind w:left="567" w:hanging="567" w:firstLineChars="0"/>
        <w:rPr>
          <w:rFonts w:ascii="宋体" w:hAnsi="宋体"/>
          <w:sz w:val="22"/>
          <w:szCs w:val="22"/>
        </w:rPr>
      </w:pPr>
      <w:r>
        <w:rPr>
          <w:rFonts w:ascii="宋体" w:hAnsi="宋体"/>
          <w:sz w:val="22"/>
          <w:szCs w:val="22"/>
        </w:rPr>
        <w:t>服务是指除货物和工程以外的其他采购对象，其中包括投标人须承担的运输、安装、技术支持、培训及招标文件规定的其它服务。</w:t>
      </w:r>
    </w:p>
    <w:p>
      <w:pPr>
        <w:pStyle w:val="82"/>
        <w:numPr>
          <w:ilvl w:val="0"/>
          <w:numId w:val="9"/>
        </w:numPr>
        <w:spacing w:line="360" w:lineRule="auto"/>
        <w:ind w:left="567" w:hanging="567" w:firstLineChars="0"/>
        <w:rPr>
          <w:rFonts w:ascii="宋体" w:hAnsi="宋体"/>
          <w:sz w:val="22"/>
          <w:szCs w:val="22"/>
        </w:rPr>
      </w:pPr>
      <w:r>
        <w:rPr>
          <w:rFonts w:ascii="宋体" w:hAnsi="宋体"/>
          <w:sz w:val="22"/>
          <w:szCs w:val="22"/>
        </w:rPr>
        <w:t>投标人应保证,</w:t>
      </w:r>
      <w:r>
        <w:rPr>
          <w:rFonts w:hint="eastAsia" w:ascii="宋体" w:hAnsi="宋体"/>
          <w:sz w:val="22"/>
          <w:szCs w:val="22"/>
        </w:rPr>
        <w:t>招标</w:t>
      </w:r>
      <w:r>
        <w:rPr>
          <w:rFonts w:ascii="宋体" w:hAnsi="宋体"/>
          <w:sz w:val="22"/>
          <w:szCs w:val="22"/>
        </w:rPr>
        <w:t>人在中华人民共和国使用货物或服务的任何一部分时,</w:t>
      </w:r>
      <w:r>
        <w:rPr>
          <w:rFonts w:hint="eastAsia" w:ascii="宋体" w:hAnsi="宋体"/>
          <w:sz w:val="22"/>
          <w:szCs w:val="22"/>
        </w:rPr>
        <w:t>招标</w:t>
      </w:r>
      <w:r>
        <w:rPr>
          <w:rFonts w:ascii="宋体" w:hAnsi="宋体"/>
          <w:sz w:val="22"/>
          <w:szCs w:val="22"/>
        </w:rPr>
        <w:t>人免受第三方提出侵犯其专利权、商标权或其它知识产权的起诉。</w:t>
      </w:r>
    </w:p>
    <w:p>
      <w:pPr>
        <w:pStyle w:val="82"/>
        <w:numPr>
          <w:ilvl w:val="0"/>
          <w:numId w:val="9"/>
        </w:numPr>
        <w:spacing w:line="360" w:lineRule="auto"/>
        <w:ind w:left="567" w:hanging="567" w:firstLineChars="0"/>
        <w:rPr>
          <w:rFonts w:ascii="宋体" w:hAnsi="宋体"/>
          <w:sz w:val="22"/>
          <w:szCs w:val="22"/>
        </w:rPr>
      </w:pPr>
      <w:r>
        <w:rPr>
          <w:rFonts w:ascii="宋体" w:hAnsi="宋体"/>
          <w:sz w:val="22"/>
          <w:szCs w:val="22"/>
        </w:rPr>
        <w:t>货物验收。</w:t>
      </w:r>
    </w:p>
    <w:p>
      <w:pPr>
        <w:pStyle w:val="82"/>
        <w:numPr>
          <w:ilvl w:val="0"/>
          <w:numId w:val="10"/>
        </w:numPr>
        <w:spacing w:line="360" w:lineRule="auto"/>
        <w:ind w:left="567" w:hanging="567" w:firstLineChars="0"/>
        <w:rPr>
          <w:rFonts w:ascii="宋体" w:hAnsi="宋体"/>
          <w:sz w:val="22"/>
          <w:szCs w:val="22"/>
        </w:rPr>
      </w:pPr>
      <w:r>
        <w:rPr>
          <w:rFonts w:hint="eastAsia" w:ascii="宋体" w:hAnsi="宋体"/>
          <w:sz w:val="22"/>
          <w:szCs w:val="22"/>
        </w:rPr>
        <w:t>验收工作由招标人（或招标人指定的单位）和中标人共同进行。</w:t>
      </w:r>
    </w:p>
    <w:p>
      <w:pPr>
        <w:pStyle w:val="82"/>
        <w:numPr>
          <w:ilvl w:val="0"/>
          <w:numId w:val="10"/>
        </w:numPr>
        <w:spacing w:line="360" w:lineRule="auto"/>
        <w:ind w:left="567" w:hanging="567" w:firstLineChars="0"/>
        <w:rPr>
          <w:rFonts w:ascii="宋体" w:hAnsi="宋体"/>
          <w:sz w:val="22"/>
          <w:szCs w:val="22"/>
        </w:rPr>
      </w:pPr>
      <w:r>
        <w:rPr>
          <w:rFonts w:ascii="宋体" w:hAnsi="宋体"/>
          <w:sz w:val="22"/>
          <w:szCs w:val="22"/>
        </w:rPr>
        <w:t>在验收时，</w:t>
      </w:r>
      <w:r>
        <w:rPr>
          <w:rFonts w:hint="eastAsia" w:ascii="宋体" w:hAnsi="宋体"/>
          <w:sz w:val="22"/>
          <w:szCs w:val="22"/>
        </w:rPr>
        <w:t>中标人</w:t>
      </w:r>
      <w:r>
        <w:rPr>
          <w:rFonts w:ascii="宋体" w:hAnsi="宋体"/>
          <w:sz w:val="22"/>
          <w:szCs w:val="22"/>
        </w:rPr>
        <w:t>应向</w:t>
      </w:r>
      <w:r>
        <w:rPr>
          <w:rFonts w:hint="eastAsia" w:ascii="宋体" w:hAnsi="宋体"/>
          <w:sz w:val="22"/>
          <w:szCs w:val="22"/>
        </w:rPr>
        <w:t>招标人</w:t>
      </w:r>
      <w:r>
        <w:rPr>
          <w:rFonts w:ascii="宋体" w:hAnsi="宋体"/>
          <w:sz w:val="22"/>
          <w:szCs w:val="22"/>
        </w:rPr>
        <w:t>提供货物的相关资料，按</w:t>
      </w:r>
      <w:r>
        <w:rPr>
          <w:rFonts w:hint="eastAsia" w:ascii="宋体" w:hAnsi="宋体"/>
          <w:sz w:val="22"/>
          <w:szCs w:val="22"/>
        </w:rPr>
        <w:t>招标人</w:t>
      </w:r>
      <w:r>
        <w:rPr>
          <w:rFonts w:ascii="宋体" w:hAnsi="宋体"/>
          <w:sz w:val="22"/>
          <w:szCs w:val="22"/>
        </w:rPr>
        <w:t>提出的方式验收。</w:t>
      </w:r>
    </w:p>
    <w:p>
      <w:pPr>
        <w:pStyle w:val="82"/>
        <w:numPr>
          <w:ilvl w:val="0"/>
          <w:numId w:val="10"/>
        </w:numPr>
        <w:spacing w:line="360" w:lineRule="auto"/>
        <w:ind w:left="567" w:hanging="567" w:firstLineChars="0"/>
        <w:rPr>
          <w:rFonts w:ascii="宋体" w:hAnsi="宋体"/>
          <w:sz w:val="22"/>
          <w:szCs w:val="22"/>
        </w:rPr>
      </w:pPr>
      <w:r>
        <w:rPr>
          <w:rFonts w:ascii="宋体" w:hAnsi="宋体"/>
          <w:sz w:val="22"/>
          <w:szCs w:val="22"/>
        </w:rPr>
        <w:t>由</w:t>
      </w:r>
      <w:r>
        <w:rPr>
          <w:rFonts w:hint="eastAsia" w:ascii="宋体" w:hAnsi="宋体"/>
          <w:sz w:val="22"/>
          <w:szCs w:val="22"/>
        </w:rPr>
        <w:t>招标人</w:t>
      </w:r>
      <w:r>
        <w:rPr>
          <w:rFonts w:ascii="宋体" w:hAnsi="宋体"/>
          <w:sz w:val="22"/>
          <w:szCs w:val="22"/>
        </w:rPr>
        <w:t>对货物的质量、规格和数量其他进行检验。如发现质量、规格和数量等任何一项与招标要求规定不符，</w:t>
      </w:r>
      <w:r>
        <w:rPr>
          <w:rFonts w:hint="eastAsia" w:ascii="宋体" w:hAnsi="宋体"/>
          <w:sz w:val="22"/>
          <w:szCs w:val="22"/>
        </w:rPr>
        <w:t>招标人</w:t>
      </w:r>
      <w:r>
        <w:rPr>
          <w:rFonts w:ascii="宋体" w:hAnsi="宋体"/>
          <w:sz w:val="22"/>
          <w:szCs w:val="22"/>
        </w:rPr>
        <w:t>有权拒绝接受。</w:t>
      </w:r>
    </w:p>
    <w:p>
      <w:pPr>
        <w:pStyle w:val="82"/>
        <w:numPr>
          <w:ilvl w:val="0"/>
          <w:numId w:val="9"/>
        </w:numPr>
        <w:spacing w:line="360" w:lineRule="auto"/>
        <w:ind w:left="567" w:hanging="567" w:firstLineChars="0"/>
        <w:rPr>
          <w:rFonts w:ascii="宋体" w:hAnsi="宋体"/>
          <w:sz w:val="22"/>
          <w:szCs w:val="22"/>
        </w:rPr>
      </w:pPr>
      <w:r>
        <w:rPr>
          <w:rFonts w:ascii="宋体" w:hAnsi="宋体"/>
          <w:sz w:val="22"/>
          <w:szCs w:val="22"/>
        </w:rPr>
        <w:t>投标人提供相关的服务必须符合中华人民共和国的行业标准。</w:t>
      </w:r>
    </w:p>
    <w:p>
      <w:pPr>
        <w:pStyle w:val="46"/>
        <w:numPr>
          <w:ilvl w:val="0"/>
          <w:numId w:val="4"/>
        </w:numPr>
        <w:spacing w:line="360" w:lineRule="auto"/>
        <w:ind w:left="0" w:firstLine="0" w:firstLineChars="0"/>
        <w:outlineLvl w:val="2"/>
        <w:rPr>
          <w:rFonts w:ascii="宋体" w:hAnsi="宋体"/>
          <w:b/>
          <w:bCs/>
          <w:sz w:val="22"/>
          <w:szCs w:val="22"/>
        </w:rPr>
      </w:pPr>
      <w:bookmarkStart w:id="81" w:name="_Toc10177"/>
      <w:bookmarkStart w:id="82" w:name="_Toc28416"/>
      <w:bookmarkStart w:id="83" w:name="_Toc46502741"/>
      <w:bookmarkStart w:id="84" w:name="_Toc18801"/>
      <w:bookmarkStart w:id="85" w:name="_Toc441844057"/>
      <w:bookmarkStart w:id="86" w:name="_Toc1996"/>
      <w:bookmarkStart w:id="87" w:name="_Toc24350"/>
      <w:r>
        <w:rPr>
          <w:rFonts w:ascii="宋体" w:hAnsi="宋体"/>
          <w:b/>
          <w:bCs/>
          <w:sz w:val="22"/>
          <w:szCs w:val="22"/>
        </w:rPr>
        <w:t>投标费用</w:t>
      </w:r>
      <w:bookmarkEnd w:id="81"/>
      <w:bookmarkEnd w:id="82"/>
      <w:bookmarkEnd w:id="83"/>
      <w:bookmarkEnd w:id="84"/>
      <w:bookmarkEnd w:id="85"/>
      <w:bookmarkEnd w:id="86"/>
      <w:bookmarkEnd w:id="87"/>
    </w:p>
    <w:p>
      <w:pPr>
        <w:pStyle w:val="82"/>
        <w:numPr>
          <w:ilvl w:val="0"/>
          <w:numId w:val="11"/>
        </w:numPr>
        <w:tabs>
          <w:tab w:val="left" w:pos="567"/>
        </w:tabs>
        <w:spacing w:line="360" w:lineRule="auto"/>
        <w:ind w:left="426" w:hanging="426" w:firstLineChars="0"/>
        <w:rPr>
          <w:rFonts w:ascii="宋体" w:hAnsi="宋体"/>
          <w:sz w:val="22"/>
          <w:szCs w:val="22"/>
          <w:lang w:val="zh-CN"/>
        </w:rPr>
      </w:pPr>
      <w:r>
        <w:rPr>
          <w:rFonts w:hint="eastAsia" w:ascii="宋体" w:hAnsi="宋体"/>
          <w:b/>
          <w:sz w:val="22"/>
          <w:szCs w:val="22"/>
          <w:lang w:val="zh-CN"/>
        </w:rPr>
        <w:t>不论投标结果如何，投标人应承担自身因投标文件编制、递交及其他参加本采购活动所涉及的一切费用，招标代理机构、招标人对上述费用不负任何责任</w:t>
      </w:r>
      <w:r>
        <w:rPr>
          <w:rFonts w:hint="eastAsia" w:ascii="宋体" w:hAnsi="宋体"/>
          <w:sz w:val="22"/>
          <w:szCs w:val="22"/>
          <w:lang w:val="zh-CN"/>
        </w:rPr>
        <w:t>。</w:t>
      </w:r>
    </w:p>
    <w:p>
      <w:pPr>
        <w:pStyle w:val="82"/>
        <w:numPr>
          <w:ilvl w:val="0"/>
          <w:numId w:val="11"/>
        </w:numPr>
        <w:tabs>
          <w:tab w:val="left" w:pos="567"/>
        </w:tabs>
        <w:spacing w:line="360" w:lineRule="auto"/>
        <w:ind w:left="426" w:hanging="426" w:firstLineChars="0"/>
        <w:rPr>
          <w:rFonts w:ascii="宋体"/>
          <w:b/>
          <w:sz w:val="22"/>
          <w:szCs w:val="22"/>
        </w:rPr>
      </w:pPr>
      <w:r>
        <w:rPr>
          <w:rFonts w:ascii="宋体"/>
          <w:b/>
          <w:sz w:val="22"/>
          <w:szCs w:val="22"/>
        </w:rPr>
        <w:t>中标服务费。</w:t>
      </w:r>
    </w:p>
    <w:p>
      <w:pPr>
        <w:pStyle w:val="82"/>
        <w:numPr>
          <w:ilvl w:val="0"/>
          <w:numId w:val="12"/>
        </w:numPr>
        <w:spacing w:line="360" w:lineRule="auto"/>
        <w:ind w:left="567" w:hanging="567" w:firstLineChars="0"/>
        <w:rPr>
          <w:rFonts w:ascii="宋体" w:hAnsi="宋体" w:cs="宋体"/>
          <w:sz w:val="22"/>
          <w:szCs w:val="22"/>
        </w:rPr>
      </w:pPr>
      <w:r>
        <w:rPr>
          <w:rFonts w:hint="eastAsia" w:ascii="宋体" w:hAnsi="宋体"/>
          <w:sz w:val="22"/>
          <w:szCs w:val="22"/>
        </w:rPr>
        <w:t>中标人在领取《中标通知书》时应向招标代理机构交纳中标服务</w:t>
      </w:r>
      <w:r>
        <w:rPr>
          <w:rFonts w:hint="eastAsia" w:ascii="宋体" w:hAnsi="宋体" w:cs="宋体"/>
          <w:sz w:val="22"/>
          <w:szCs w:val="22"/>
        </w:rPr>
        <w:t>费</w:t>
      </w:r>
      <w:r>
        <w:rPr>
          <w:rFonts w:hint="eastAsia" w:ascii="宋体" w:hAnsi="宋体" w:cs="宋体"/>
          <w:bCs/>
          <w:sz w:val="22"/>
          <w:szCs w:val="22"/>
        </w:rPr>
        <w:t>，</w:t>
      </w:r>
      <w:bookmarkStart w:id="88" w:name="_Hlk46406125"/>
      <w:r>
        <w:rPr>
          <w:rFonts w:hint="eastAsia" w:ascii="宋体" w:hAnsi="宋体" w:cs="宋体"/>
          <w:sz w:val="22"/>
          <w:szCs w:val="22"/>
        </w:rPr>
        <w:t>中标服务</w:t>
      </w:r>
      <w:r>
        <w:rPr>
          <w:rFonts w:hint="eastAsia" w:ascii="宋体" w:hAnsi="宋体" w:cs="宋体"/>
          <w:bCs/>
          <w:sz w:val="22"/>
          <w:szCs w:val="22"/>
        </w:rPr>
        <w:t>费</w:t>
      </w:r>
      <w:r>
        <w:rPr>
          <w:rFonts w:hint="eastAsia" w:ascii="宋体" w:hAnsi="宋体" w:cs="宋体"/>
          <w:sz w:val="22"/>
          <w:szCs w:val="22"/>
          <w:lang w:val="zh-CN"/>
        </w:rPr>
        <w:t>按包号中标价做为计费基数分包组计算服务费，累计单个项目服务费最高限额为30万元，</w:t>
      </w:r>
      <w:r>
        <w:rPr>
          <w:rFonts w:hint="eastAsia" w:ascii="宋体" w:hAnsi="宋体" w:cs="宋体"/>
          <w:bCs/>
          <w:sz w:val="22"/>
          <w:szCs w:val="22"/>
        </w:rPr>
        <w:t>中标人按各包号中标价比例支付</w:t>
      </w:r>
      <w:r>
        <w:rPr>
          <w:rFonts w:hint="eastAsia" w:ascii="宋体" w:hAnsi="宋体" w:cs="宋体"/>
          <w:sz w:val="22"/>
          <w:szCs w:val="22"/>
          <w:lang w:val="zh-CN"/>
        </w:rPr>
        <w:t>招标代理服务费，</w:t>
      </w:r>
      <w:bookmarkEnd w:id="88"/>
      <w:r>
        <w:rPr>
          <w:rFonts w:hint="eastAsia" w:ascii="宋体" w:hAnsi="宋体" w:cs="宋体"/>
          <w:sz w:val="22"/>
          <w:szCs w:val="22"/>
          <w:lang w:val="zh-CN"/>
        </w:rPr>
        <w:t>详细</w:t>
      </w:r>
      <w:r>
        <w:rPr>
          <w:rFonts w:hint="eastAsia" w:ascii="宋体" w:hAnsi="宋体" w:cs="宋体"/>
          <w:sz w:val="22"/>
          <w:szCs w:val="22"/>
        </w:rPr>
        <w:t>收费标准参见5.2.5。</w:t>
      </w:r>
    </w:p>
    <w:p>
      <w:pPr>
        <w:pStyle w:val="82"/>
        <w:numPr>
          <w:ilvl w:val="0"/>
          <w:numId w:val="12"/>
        </w:numPr>
        <w:spacing w:line="360" w:lineRule="auto"/>
        <w:ind w:left="567" w:hanging="567" w:firstLineChars="0"/>
        <w:rPr>
          <w:rFonts w:ascii="宋体" w:hAnsi="宋体"/>
          <w:sz w:val="22"/>
          <w:szCs w:val="22"/>
        </w:rPr>
      </w:pPr>
      <w:r>
        <w:rPr>
          <w:rFonts w:ascii="宋体" w:hAnsi="宋体"/>
          <w:sz w:val="22"/>
          <w:szCs w:val="22"/>
        </w:rPr>
        <w:t>中标服务费以人民币支付。</w:t>
      </w:r>
    </w:p>
    <w:p>
      <w:pPr>
        <w:pStyle w:val="82"/>
        <w:numPr>
          <w:ilvl w:val="0"/>
          <w:numId w:val="12"/>
        </w:numPr>
        <w:spacing w:line="360" w:lineRule="auto"/>
        <w:ind w:left="567" w:hanging="567" w:firstLineChars="0"/>
        <w:rPr>
          <w:rFonts w:ascii="宋体" w:hAnsi="宋体"/>
          <w:sz w:val="22"/>
          <w:szCs w:val="22"/>
        </w:rPr>
      </w:pPr>
      <w:r>
        <w:rPr>
          <w:rFonts w:ascii="宋体" w:hAnsi="宋体"/>
          <w:sz w:val="22"/>
          <w:szCs w:val="22"/>
        </w:rPr>
        <w:t>中标服务费支付方式：一次性以电汇、支票或现金等形式支付。</w:t>
      </w:r>
    </w:p>
    <w:p>
      <w:pPr>
        <w:pStyle w:val="82"/>
        <w:numPr>
          <w:ilvl w:val="0"/>
          <w:numId w:val="12"/>
        </w:numPr>
        <w:spacing w:line="360" w:lineRule="auto"/>
        <w:ind w:left="567" w:hanging="567" w:firstLineChars="0"/>
        <w:rPr>
          <w:rFonts w:ascii="宋体" w:hAnsi="宋体"/>
          <w:sz w:val="22"/>
          <w:szCs w:val="22"/>
        </w:rPr>
      </w:pPr>
      <w:r>
        <w:rPr>
          <w:rFonts w:ascii="宋体" w:hAnsi="宋体"/>
          <w:b/>
          <w:sz w:val="22"/>
          <w:szCs w:val="22"/>
        </w:rPr>
        <w:t>中标服务费不在投标报价中单列</w:t>
      </w:r>
      <w:r>
        <w:rPr>
          <w:rFonts w:ascii="宋体" w:hAnsi="宋体"/>
          <w:sz w:val="22"/>
          <w:szCs w:val="22"/>
        </w:rPr>
        <w:t>。</w:t>
      </w:r>
    </w:p>
    <w:p>
      <w:pPr>
        <w:pStyle w:val="82"/>
        <w:numPr>
          <w:ilvl w:val="0"/>
          <w:numId w:val="12"/>
        </w:numPr>
        <w:spacing w:line="360" w:lineRule="auto"/>
        <w:ind w:left="567" w:hanging="567" w:firstLineChars="0"/>
        <w:rPr>
          <w:rFonts w:ascii="宋体" w:hAnsi="宋体" w:cs="宋体"/>
          <w:sz w:val="22"/>
          <w:szCs w:val="22"/>
        </w:rPr>
      </w:pPr>
      <w:r>
        <w:rPr>
          <w:rFonts w:hint="eastAsia" w:ascii="宋体" w:hAnsi="宋体" w:cs="宋体"/>
          <w:sz w:val="22"/>
          <w:szCs w:val="22"/>
        </w:rPr>
        <w:t>收费标准按采购人与招标代理机构签订委托协议及原国家计委《关于印发〈招标代理服务收费管理暂行办法〉的通知》（计价格［2002］1980号）和国家发展改革委《关于降低部分建设项目收费标准规范收费行为等有关问题的通知》（发改价格［2011］534号）文件规定的80%执行，单项中标服务费最高限额30万元，具体收费标准如下表所列：</w:t>
      </w:r>
    </w:p>
    <w:p>
      <w:pPr>
        <w:spacing w:before="100" w:after="100" w:line="360" w:lineRule="auto"/>
        <w:jc w:val="center"/>
        <w:rPr>
          <w:rFonts w:ascii="宋体" w:hAnsi="宋体" w:cs="宋体"/>
          <w:b/>
          <w:bCs/>
          <w:sz w:val="22"/>
          <w:szCs w:val="22"/>
          <w:lang w:val="zh-CN"/>
        </w:rPr>
      </w:pPr>
      <w:r>
        <w:rPr>
          <w:rFonts w:hint="eastAsia" w:ascii="宋体" w:hAnsi="宋体" w:cs="宋体"/>
          <w:b/>
          <w:bCs/>
          <w:sz w:val="22"/>
          <w:szCs w:val="22"/>
          <w:lang w:val="zh-CN"/>
        </w:rPr>
        <w:t>招标代理服务收费标准</w:t>
      </w:r>
    </w:p>
    <w:tbl>
      <w:tblPr>
        <w:tblStyle w:val="34"/>
        <w:tblW w:w="900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2758"/>
        <w:gridCol w:w="2081"/>
        <w:gridCol w:w="2153"/>
        <w:gridCol w:w="20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934" w:hRule="atLeast"/>
          <w:jc w:val="center"/>
        </w:trPr>
        <w:tc>
          <w:tcPr>
            <w:tcW w:w="2758" w:type="dxa"/>
            <w:tcBorders>
              <w:top w:val="single" w:color="auto" w:sz="4" w:space="0"/>
              <w:left w:val="single" w:color="auto" w:sz="4" w:space="0"/>
              <w:bottom w:val="single" w:color="auto" w:sz="4" w:space="0"/>
              <w:right w:val="single" w:color="auto" w:sz="4" w:space="0"/>
            </w:tcBorders>
            <w:vAlign w:val="center"/>
          </w:tcPr>
          <w:p>
            <w:pPr>
              <w:spacing w:before="100" w:after="100" w:line="360" w:lineRule="auto"/>
              <w:jc w:val="center"/>
              <w:rPr>
                <w:rFonts w:ascii="宋体" w:hAnsi="宋体" w:cs="宋体"/>
                <w:sz w:val="22"/>
                <w:szCs w:val="22"/>
                <w:lang w:val="zh-CN"/>
              </w:rPr>
            </w:pPr>
            <w:r>
              <w:rPr>
                <w:rFonts w:hint="eastAsia" w:ascii="宋体" w:hAnsi="宋体" w:cs="宋体"/>
                <w:sz w:val="22"/>
                <w:szCs w:val="22"/>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6985</wp:posOffset>
                      </wp:positionV>
                      <wp:extent cx="1248410" cy="1124585"/>
                      <wp:effectExtent l="0" t="0" r="27940" b="37465"/>
                      <wp:wrapNone/>
                      <wp:docPr id="30" name="直接连接符 30"/>
                      <wp:cNvGraphicFramePr/>
                      <a:graphic xmlns:a="http://schemas.openxmlformats.org/drawingml/2006/main">
                        <a:graphicData uri="http://schemas.microsoft.com/office/word/2010/wordprocessingShape">
                          <wps:wsp>
                            <wps:cNvCnPr/>
                            <wps:spPr>
                              <a:xfrm>
                                <a:off x="0" y="0"/>
                                <a:ext cx="1248410" cy="112458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2pt;margin-top:0.55pt;height:88.55pt;width:98.3pt;z-index:251660288;mso-width-relative:page;mso-height-relative:page;" filled="f" stroked="t" coordsize="21600,21600" o:gfxdata="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2EfsdUAAAAHAQAADwAAAAAAAAABACAAAAAiAAAAZHJzL2Rvd25yZXYueG1sUEsBAhQAFAAAAAgA&#10;h07iQFkDD3/vAQAA4AMAAA4AAAAAAAAAAQAgAAAAJAEAAGRycy9lMm9Eb2MueG1sUEsFBgAAAAAG&#10;AAYAWQEAAIUFAAAAAA==&#10;">
                      <v:fill on="f" focussize="0,0"/>
                      <v:stroke color="#000000" joinstyle="round"/>
                      <v:imagedata o:title=""/>
                      <o:lock v:ext="edit" aspectratio="f"/>
                    </v:line>
                  </w:pict>
                </mc:Fallback>
              </mc:AlternateContent>
            </w:r>
            <w:r>
              <w:rPr>
                <w:rFonts w:hint="eastAsia" w:ascii="宋体" w:hAnsi="宋体" w:cs="宋体"/>
                <w:sz w:val="22"/>
                <w:szCs w:val="22"/>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12700</wp:posOffset>
                      </wp:positionV>
                      <wp:extent cx="1710055" cy="781685"/>
                      <wp:effectExtent l="0" t="0" r="23495" b="37465"/>
                      <wp:wrapNone/>
                      <wp:docPr id="29" name="直接连接符 29"/>
                      <wp:cNvGraphicFramePr/>
                      <a:graphic xmlns:a="http://schemas.openxmlformats.org/drawingml/2006/main">
                        <a:graphicData uri="http://schemas.microsoft.com/office/word/2010/wordprocessingShape">
                          <wps:wsp>
                            <wps:cNvCnPr/>
                            <wps:spPr>
                              <a:xfrm>
                                <a:off x="0" y="0"/>
                                <a:ext cx="1710055" cy="78168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5pt;margin-top:1pt;height:61.55pt;width:134.65pt;z-index:251659264;mso-width-relative:page;mso-height-relative:page;" filled="f" stroked="t" coordsize="21600,21600" o:gfxdata="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WcmUvXAAAACAEAAA8AAAAAAAAAAQAgAAAAIgAAAGRycy9kb3ducmV2LnhtbFBLAQIUABQA&#10;AAAIAIdO4kBKFikZ8QEAAN8DAAAOAAAAAAAAAAEAIAAAACYBAABkcnMvZTJvRG9jLnhtbFBLBQYA&#10;AAAABgAGAFkBAACJBQAAAAA=&#10;">
                      <v:fill on="f" focussize="0,0"/>
                      <v:stroke color="#000000" joinstyle="round"/>
                      <v:imagedata o:title=""/>
                      <o:lock v:ext="edit" aspectratio="f"/>
                    </v:line>
                  </w:pict>
                </mc:Fallback>
              </mc:AlternateContent>
            </w:r>
            <w:r>
              <w:rPr>
                <w:rFonts w:hint="eastAsia" w:ascii="宋体" w:hAnsi="宋体" w:cs="宋体"/>
                <w:sz w:val="22"/>
                <w:szCs w:val="22"/>
                <w:lang w:val="zh-CN"/>
              </w:rPr>
              <w:t>服务类型</w:t>
            </w:r>
          </w:p>
          <w:p>
            <w:pPr>
              <w:spacing w:before="100" w:after="100" w:line="360" w:lineRule="auto"/>
              <w:ind w:firstLine="1104"/>
              <w:rPr>
                <w:rFonts w:ascii="宋体" w:hAnsi="宋体" w:cs="宋体"/>
                <w:sz w:val="22"/>
                <w:szCs w:val="22"/>
                <w:lang w:val="zh-CN"/>
              </w:rPr>
            </w:pPr>
            <w:r>
              <w:rPr>
                <w:rFonts w:hint="eastAsia" w:ascii="宋体" w:hAnsi="宋体" w:cs="宋体"/>
                <w:sz w:val="22"/>
                <w:szCs w:val="22"/>
                <w:lang w:val="zh-CN"/>
              </w:rPr>
              <w:t>费率</w:t>
            </w:r>
          </w:p>
          <w:p>
            <w:pPr>
              <w:spacing w:before="100" w:after="100" w:line="360" w:lineRule="auto"/>
              <w:rPr>
                <w:rFonts w:ascii="宋体" w:hAnsi="宋体" w:cs="宋体"/>
                <w:sz w:val="22"/>
                <w:szCs w:val="22"/>
                <w:lang w:val="zh-CN"/>
              </w:rPr>
            </w:pPr>
            <w:r>
              <w:rPr>
                <w:rFonts w:hint="eastAsia" w:ascii="宋体" w:hAnsi="宋体" w:cs="宋体"/>
                <w:sz w:val="22"/>
                <w:szCs w:val="22"/>
                <w:lang w:val="zh-CN"/>
              </w:rPr>
              <w:t>中标金额（万元）</w:t>
            </w:r>
          </w:p>
        </w:tc>
        <w:tc>
          <w:tcPr>
            <w:tcW w:w="2081" w:type="dxa"/>
            <w:tcBorders>
              <w:top w:val="single" w:color="auto" w:sz="4" w:space="0"/>
              <w:left w:val="single" w:color="auto" w:sz="4" w:space="0"/>
              <w:bottom w:val="single" w:color="auto" w:sz="4" w:space="0"/>
              <w:right w:val="single" w:color="auto" w:sz="4" w:space="0"/>
            </w:tcBorders>
            <w:vAlign w:val="center"/>
          </w:tcPr>
          <w:p>
            <w:pPr>
              <w:spacing w:before="100" w:after="100" w:line="360" w:lineRule="auto"/>
              <w:jc w:val="center"/>
              <w:rPr>
                <w:rFonts w:ascii="宋体" w:hAnsi="宋体" w:cs="宋体"/>
                <w:sz w:val="22"/>
                <w:szCs w:val="22"/>
                <w:lang w:val="zh-CN"/>
              </w:rPr>
            </w:pPr>
            <w:r>
              <w:rPr>
                <w:rFonts w:hint="eastAsia" w:ascii="宋体" w:hAnsi="宋体" w:cs="宋体"/>
                <w:sz w:val="22"/>
                <w:szCs w:val="22"/>
                <w:lang w:val="zh-CN"/>
              </w:rPr>
              <w:t>货物招标</w:t>
            </w:r>
          </w:p>
        </w:tc>
        <w:tc>
          <w:tcPr>
            <w:tcW w:w="2153" w:type="dxa"/>
            <w:tcBorders>
              <w:top w:val="single" w:color="auto" w:sz="4" w:space="0"/>
              <w:left w:val="single" w:color="auto" w:sz="4" w:space="0"/>
              <w:bottom w:val="single" w:color="auto" w:sz="4" w:space="0"/>
              <w:right w:val="single" w:color="auto" w:sz="4" w:space="0"/>
            </w:tcBorders>
            <w:vAlign w:val="center"/>
          </w:tcPr>
          <w:p>
            <w:pPr>
              <w:spacing w:before="100" w:after="100" w:line="360" w:lineRule="auto"/>
              <w:jc w:val="center"/>
              <w:rPr>
                <w:rFonts w:ascii="宋体" w:hAnsi="宋体" w:cs="宋体"/>
                <w:sz w:val="22"/>
                <w:szCs w:val="22"/>
                <w:lang w:val="zh-CN"/>
              </w:rPr>
            </w:pPr>
            <w:r>
              <w:rPr>
                <w:rFonts w:hint="eastAsia" w:ascii="宋体" w:hAnsi="宋体" w:cs="宋体"/>
                <w:sz w:val="22"/>
                <w:szCs w:val="22"/>
                <w:lang w:val="zh-CN"/>
              </w:rPr>
              <w:t>服务招标</w:t>
            </w:r>
          </w:p>
        </w:tc>
        <w:tc>
          <w:tcPr>
            <w:tcW w:w="2011" w:type="dxa"/>
            <w:tcBorders>
              <w:top w:val="single" w:color="auto" w:sz="4" w:space="0"/>
              <w:left w:val="single" w:color="auto" w:sz="4" w:space="0"/>
              <w:bottom w:val="single" w:color="auto" w:sz="4" w:space="0"/>
              <w:right w:val="single" w:color="auto" w:sz="4" w:space="0"/>
            </w:tcBorders>
            <w:vAlign w:val="center"/>
          </w:tcPr>
          <w:p>
            <w:pPr>
              <w:spacing w:before="100" w:after="100" w:line="360" w:lineRule="auto"/>
              <w:jc w:val="center"/>
              <w:rPr>
                <w:rFonts w:ascii="宋体" w:hAnsi="宋体" w:cs="宋体"/>
                <w:sz w:val="22"/>
                <w:szCs w:val="22"/>
                <w:lang w:val="zh-CN"/>
              </w:rPr>
            </w:pPr>
            <w:r>
              <w:rPr>
                <w:rFonts w:hint="eastAsia" w:ascii="宋体" w:hAnsi="宋体" w:cs="宋体"/>
                <w:sz w:val="22"/>
                <w:szCs w:val="22"/>
                <w:lang w:val="zh-CN"/>
              </w:rPr>
              <w:t>工程招标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37" w:hRule="atLeast"/>
          <w:jc w:val="center"/>
        </w:trPr>
        <w:tc>
          <w:tcPr>
            <w:tcW w:w="27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2"/>
                <w:szCs w:val="22"/>
              </w:rPr>
            </w:pPr>
            <w:r>
              <w:rPr>
                <w:rFonts w:hint="eastAsia" w:ascii="宋体" w:hAnsi="宋体" w:cs="宋体"/>
                <w:sz w:val="22"/>
                <w:szCs w:val="22"/>
              </w:rPr>
              <w:t>100万元以下</w:t>
            </w:r>
          </w:p>
        </w:tc>
        <w:tc>
          <w:tcPr>
            <w:tcW w:w="20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2"/>
                <w:szCs w:val="22"/>
              </w:rPr>
            </w:pPr>
            <w:r>
              <w:rPr>
                <w:rFonts w:hint="eastAsia" w:ascii="宋体" w:hAnsi="宋体" w:cs="宋体"/>
                <w:sz w:val="22"/>
                <w:szCs w:val="22"/>
              </w:rPr>
              <w:t>1.5%</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ascii="宋体" w:hAnsi="宋体" w:cs="宋体"/>
                <w:sz w:val="22"/>
                <w:szCs w:val="22"/>
              </w:rPr>
            </w:pPr>
            <w:r>
              <w:rPr>
                <w:rFonts w:hint="eastAsia" w:ascii="宋体" w:hAnsi="宋体" w:cs="宋体"/>
                <w:sz w:val="22"/>
                <w:szCs w:val="22"/>
              </w:rPr>
              <w:t>1.5%</w:t>
            </w:r>
          </w:p>
        </w:tc>
        <w:tc>
          <w:tcPr>
            <w:tcW w:w="201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ascii="宋体" w:hAnsi="宋体" w:cs="宋体"/>
                <w:sz w:val="22"/>
                <w:szCs w:val="22"/>
              </w:rPr>
            </w:pPr>
            <w:r>
              <w:rPr>
                <w:rFonts w:hint="eastAsia" w:ascii="宋体" w:hAnsi="宋体" w:cs="宋体"/>
                <w:sz w:val="22"/>
                <w:szCs w:val="22"/>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37" w:hRule="atLeast"/>
          <w:jc w:val="center"/>
        </w:trPr>
        <w:tc>
          <w:tcPr>
            <w:tcW w:w="27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2"/>
                <w:szCs w:val="22"/>
              </w:rPr>
            </w:pPr>
            <w:r>
              <w:rPr>
                <w:rFonts w:hint="eastAsia" w:ascii="宋体" w:hAnsi="宋体" w:cs="宋体"/>
                <w:sz w:val="22"/>
                <w:szCs w:val="22"/>
              </w:rPr>
              <w:t>100～500万元</w:t>
            </w:r>
          </w:p>
        </w:tc>
        <w:tc>
          <w:tcPr>
            <w:tcW w:w="20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2"/>
                <w:szCs w:val="22"/>
              </w:rPr>
            </w:pPr>
            <w:r>
              <w:rPr>
                <w:rFonts w:hint="eastAsia" w:ascii="宋体" w:hAnsi="宋体" w:cs="宋体"/>
                <w:sz w:val="22"/>
                <w:szCs w:val="22"/>
              </w:rPr>
              <w:t>1.1%</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ascii="宋体" w:hAnsi="宋体" w:cs="宋体"/>
                <w:sz w:val="22"/>
                <w:szCs w:val="22"/>
              </w:rPr>
            </w:pPr>
            <w:r>
              <w:rPr>
                <w:rFonts w:hint="eastAsia" w:ascii="宋体" w:hAnsi="宋体" w:cs="宋体"/>
                <w:sz w:val="22"/>
                <w:szCs w:val="22"/>
              </w:rPr>
              <w:t>0.8%</w:t>
            </w:r>
          </w:p>
        </w:tc>
        <w:tc>
          <w:tcPr>
            <w:tcW w:w="201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ascii="宋体" w:hAnsi="宋体" w:cs="宋体"/>
                <w:sz w:val="22"/>
                <w:szCs w:val="22"/>
              </w:rPr>
            </w:pPr>
            <w:r>
              <w:rPr>
                <w:rFonts w:hint="eastAsia" w:ascii="宋体" w:hAnsi="宋体" w:cs="宋体"/>
                <w:sz w:val="22"/>
                <w:szCs w:val="22"/>
              </w:rPr>
              <w:t>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37" w:hRule="atLeast"/>
          <w:jc w:val="center"/>
        </w:trPr>
        <w:tc>
          <w:tcPr>
            <w:tcW w:w="27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2"/>
                <w:szCs w:val="22"/>
              </w:rPr>
            </w:pPr>
            <w:r>
              <w:rPr>
                <w:rFonts w:hint="eastAsia" w:ascii="宋体" w:hAnsi="宋体" w:cs="宋体"/>
                <w:sz w:val="22"/>
                <w:szCs w:val="22"/>
              </w:rPr>
              <w:t>500～1000万元</w:t>
            </w:r>
          </w:p>
        </w:tc>
        <w:tc>
          <w:tcPr>
            <w:tcW w:w="20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2"/>
                <w:szCs w:val="22"/>
              </w:rPr>
            </w:pPr>
            <w:r>
              <w:rPr>
                <w:rFonts w:hint="eastAsia" w:ascii="宋体" w:hAnsi="宋体" w:cs="宋体"/>
                <w:sz w:val="22"/>
                <w:szCs w:val="22"/>
              </w:rPr>
              <w:t>0.8%</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ascii="宋体" w:hAnsi="宋体" w:cs="宋体"/>
                <w:sz w:val="22"/>
                <w:szCs w:val="22"/>
              </w:rPr>
            </w:pPr>
            <w:r>
              <w:rPr>
                <w:rFonts w:hint="eastAsia" w:ascii="宋体" w:hAnsi="宋体" w:cs="宋体"/>
                <w:sz w:val="22"/>
                <w:szCs w:val="22"/>
              </w:rPr>
              <w:t>0.45%</w:t>
            </w:r>
          </w:p>
        </w:tc>
        <w:tc>
          <w:tcPr>
            <w:tcW w:w="201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ascii="宋体" w:hAnsi="宋体" w:cs="宋体"/>
                <w:sz w:val="22"/>
                <w:szCs w:val="22"/>
              </w:rPr>
            </w:pPr>
            <w:r>
              <w:rPr>
                <w:rFonts w:hint="eastAsia" w:ascii="宋体" w:hAnsi="宋体" w:cs="宋体"/>
                <w:sz w:val="22"/>
                <w:szCs w:val="22"/>
              </w:rPr>
              <w:t>0.55%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37" w:hRule="atLeast"/>
          <w:jc w:val="center"/>
        </w:trPr>
        <w:tc>
          <w:tcPr>
            <w:tcW w:w="27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2"/>
                <w:szCs w:val="22"/>
              </w:rPr>
            </w:pPr>
            <w:r>
              <w:rPr>
                <w:rFonts w:hint="eastAsia" w:ascii="宋体" w:hAnsi="宋体" w:cs="宋体"/>
                <w:sz w:val="22"/>
                <w:szCs w:val="22"/>
              </w:rPr>
              <w:t>1000～5000万元</w:t>
            </w:r>
          </w:p>
        </w:tc>
        <w:tc>
          <w:tcPr>
            <w:tcW w:w="20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2"/>
                <w:szCs w:val="22"/>
              </w:rPr>
            </w:pPr>
            <w:r>
              <w:rPr>
                <w:rFonts w:hint="eastAsia" w:ascii="宋体" w:hAnsi="宋体" w:cs="宋体"/>
                <w:sz w:val="22"/>
                <w:szCs w:val="22"/>
              </w:rPr>
              <w:t>0.5%</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ascii="宋体" w:hAnsi="宋体" w:cs="宋体"/>
                <w:sz w:val="22"/>
                <w:szCs w:val="22"/>
              </w:rPr>
            </w:pPr>
            <w:r>
              <w:rPr>
                <w:rFonts w:hint="eastAsia" w:ascii="宋体" w:hAnsi="宋体" w:cs="宋体"/>
                <w:sz w:val="22"/>
                <w:szCs w:val="22"/>
              </w:rPr>
              <w:t>0.25%</w:t>
            </w:r>
          </w:p>
        </w:tc>
        <w:tc>
          <w:tcPr>
            <w:tcW w:w="201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ascii="宋体" w:hAnsi="宋体" w:cs="宋体"/>
                <w:sz w:val="22"/>
                <w:szCs w:val="22"/>
              </w:rPr>
            </w:pPr>
            <w:r>
              <w:rPr>
                <w:rFonts w:hint="eastAsia" w:ascii="宋体" w:hAnsi="宋体" w:cs="宋体"/>
                <w:sz w:val="22"/>
                <w:szCs w:val="22"/>
              </w:rPr>
              <w:t>0.35%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37" w:hRule="atLeast"/>
          <w:jc w:val="center"/>
        </w:trPr>
        <w:tc>
          <w:tcPr>
            <w:tcW w:w="27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2"/>
                <w:szCs w:val="22"/>
              </w:rPr>
            </w:pPr>
            <w:r>
              <w:rPr>
                <w:rFonts w:hint="eastAsia" w:ascii="宋体" w:hAnsi="宋体" w:cs="宋体"/>
                <w:sz w:val="22"/>
                <w:szCs w:val="22"/>
              </w:rPr>
              <w:t>5000万元～1亿元</w:t>
            </w:r>
          </w:p>
        </w:tc>
        <w:tc>
          <w:tcPr>
            <w:tcW w:w="20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2"/>
                <w:szCs w:val="22"/>
              </w:rPr>
            </w:pPr>
            <w:r>
              <w:rPr>
                <w:rFonts w:hint="eastAsia" w:ascii="宋体" w:hAnsi="宋体" w:cs="宋体"/>
                <w:sz w:val="22"/>
                <w:szCs w:val="22"/>
              </w:rPr>
              <w:t>0.25%</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ascii="宋体" w:hAnsi="宋体" w:cs="宋体"/>
                <w:sz w:val="22"/>
                <w:szCs w:val="22"/>
              </w:rPr>
            </w:pPr>
            <w:r>
              <w:rPr>
                <w:rFonts w:hint="eastAsia" w:ascii="宋体" w:hAnsi="宋体" w:cs="宋体"/>
                <w:sz w:val="22"/>
                <w:szCs w:val="22"/>
              </w:rPr>
              <w:t>0.1%</w:t>
            </w:r>
          </w:p>
        </w:tc>
        <w:tc>
          <w:tcPr>
            <w:tcW w:w="201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ascii="宋体" w:hAnsi="宋体" w:cs="宋体"/>
                <w:sz w:val="22"/>
                <w:szCs w:val="22"/>
              </w:rPr>
            </w:pPr>
            <w:r>
              <w:rPr>
                <w:rFonts w:hint="eastAsia" w:ascii="宋体" w:hAnsi="宋体" w:cs="宋体"/>
                <w:sz w:val="22"/>
                <w:szCs w:val="22"/>
              </w:rPr>
              <w:t>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23" w:hRule="atLeast"/>
          <w:jc w:val="center"/>
        </w:trPr>
        <w:tc>
          <w:tcPr>
            <w:tcW w:w="27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2"/>
                <w:szCs w:val="22"/>
              </w:rPr>
            </w:pPr>
            <w:r>
              <w:rPr>
                <w:rFonts w:hint="eastAsia" w:ascii="宋体" w:hAnsi="宋体" w:cs="宋体"/>
                <w:sz w:val="22"/>
                <w:szCs w:val="22"/>
              </w:rPr>
              <w:t>…</w:t>
            </w:r>
          </w:p>
        </w:tc>
        <w:tc>
          <w:tcPr>
            <w:tcW w:w="208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rPr>
                <w:rFonts w:ascii="宋体" w:hAnsi="宋体" w:cs="宋体"/>
                <w:sz w:val="22"/>
                <w:szCs w:val="22"/>
              </w:rPr>
            </w:pPr>
            <w:r>
              <w:rPr>
                <w:rFonts w:hint="eastAsia" w:ascii="宋体" w:hAnsi="宋体" w:cs="宋体"/>
                <w:sz w:val="22"/>
                <w:szCs w:val="22"/>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rPr>
                <w:rFonts w:ascii="宋体" w:hAnsi="宋体" w:cs="宋体"/>
                <w:sz w:val="22"/>
                <w:szCs w:val="22"/>
              </w:rPr>
            </w:pPr>
            <w:r>
              <w:rPr>
                <w:rFonts w:hint="eastAsia" w:ascii="宋体" w:hAnsi="宋体" w:cs="宋体"/>
                <w:sz w:val="22"/>
                <w:szCs w:val="22"/>
              </w:rPr>
              <w:t>…</w:t>
            </w:r>
          </w:p>
        </w:tc>
        <w:tc>
          <w:tcPr>
            <w:tcW w:w="201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rPr>
                <w:rFonts w:ascii="宋体" w:hAnsi="宋体" w:cs="宋体"/>
                <w:sz w:val="22"/>
                <w:szCs w:val="22"/>
              </w:rPr>
            </w:pPr>
            <w:r>
              <w:rPr>
                <w:rFonts w:hint="eastAsia" w:ascii="宋体" w:hAnsi="宋体" w:cs="宋体"/>
                <w:sz w:val="22"/>
                <w:szCs w:val="22"/>
              </w:rPr>
              <w:t>…</w:t>
            </w:r>
          </w:p>
        </w:tc>
      </w:tr>
    </w:tbl>
    <w:p>
      <w:pPr>
        <w:spacing w:line="360" w:lineRule="auto"/>
        <w:rPr>
          <w:rFonts w:ascii="宋体" w:hAnsi="宋体" w:cs="宋体"/>
          <w:sz w:val="22"/>
          <w:szCs w:val="22"/>
          <w:lang w:val="zh-CN"/>
        </w:rPr>
      </w:pPr>
      <w:r>
        <w:rPr>
          <w:rFonts w:hint="eastAsia" w:ascii="宋体" w:hAnsi="宋体" w:cs="宋体"/>
          <w:sz w:val="22"/>
          <w:szCs w:val="22"/>
          <w:lang w:val="zh-CN"/>
        </w:rPr>
        <w:t>注：1、招标代理服务收费按差额定率累进法计算；</w:t>
      </w:r>
    </w:p>
    <w:p>
      <w:pPr>
        <w:spacing w:line="360" w:lineRule="auto"/>
        <w:ind w:firstLine="440" w:firstLineChars="200"/>
        <w:rPr>
          <w:rFonts w:ascii="宋体" w:hAnsi="宋体" w:cs="宋体"/>
          <w:sz w:val="22"/>
          <w:szCs w:val="22"/>
          <w:lang w:val="zh-CN"/>
        </w:rPr>
      </w:pPr>
      <w:r>
        <w:rPr>
          <w:rFonts w:hint="eastAsia" w:ascii="宋体" w:hAnsi="宋体" w:cs="宋体"/>
          <w:sz w:val="22"/>
          <w:szCs w:val="22"/>
          <w:lang w:val="zh-CN"/>
        </w:rPr>
        <w:t>2、本次招标为服务采购，招标代理服务收费按服务类计费标准收费，以中标金额作为计费基数。</w:t>
      </w:r>
    </w:p>
    <w:p>
      <w:pPr>
        <w:spacing w:line="360" w:lineRule="auto"/>
        <w:ind w:firstLine="440" w:firstLineChars="200"/>
        <w:rPr>
          <w:rFonts w:ascii="宋体" w:hAnsi="宋体" w:cs="宋体"/>
          <w:sz w:val="22"/>
          <w:szCs w:val="22"/>
          <w:lang w:val="zh-CN"/>
        </w:rPr>
      </w:pPr>
      <w:r>
        <w:rPr>
          <w:rFonts w:hint="eastAsia" w:ascii="宋体" w:hAnsi="宋体" w:cs="宋体"/>
          <w:sz w:val="22"/>
          <w:szCs w:val="22"/>
          <w:lang w:val="zh-CN"/>
        </w:rPr>
        <w:t>例：某服务招标代理业务的招标代理服务费计费基数为1000万元，计算招标代理服务收费额如下：</w:t>
      </w:r>
    </w:p>
    <w:p>
      <w:pPr>
        <w:spacing w:line="360" w:lineRule="auto"/>
        <w:ind w:firstLine="550" w:firstLineChars="250"/>
        <w:rPr>
          <w:rFonts w:ascii="宋体" w:hAnsi="宋体" w:cs="宋体"/>
          <w:sz w:val="22"/>
          <w:szCs w:val="22"/>
          <w:lang w:val="zh-CN"/>
        </w:rPr>
      </w:pPr>
      <w:r>
        <w:rPr>
          <w:rFonts w:hint="eastAsia" w:ascii="宋体" w:hAnsi="宋体" w:cs="宋体"/>
          <w:sz w:val="22"/>
          <w:szCs w:val="22"/>
          <w:lang w:val="zh-CN"/>
        </w:rPr>
        <w:t>100万元×1.5%＝1.5万元</w:t>
      </w:r>
    </w:p>
    <w:p>
      <w:pPr>
        <w:spacing w:line="360" w:lineRule="auto"/>
        <w:ind w:firstLine="440" w:firstLineChars="200"/>
        <w:rPr>
          <w:rFonts w:ascii="宋体" w:hAnsi="宋体" w:cs="宋体"/>
          <w:sz w:val="22"/>
          <w:szCs w:val="22"/>
          <w:lang w:val="zh-CN"/>
        </w:rPr>
      </w:pPr>
      <w:r>
        <w:rPr>
          <w:rFonts w:hint="eastAsia" w:ascii="宋体" w:hAnsi="宋体" w:cs="宋体"/>
          <w:sz w:val="22"/>
          <w:szCs w:val="22"/>
          <w:lang w:val="zh-CN"/>
        </w:rPr>
        <w:t>（500－100）万元×0.8%＝3.2万元</w:t>
      </w:r>
    </w:p>
    <w:p>
      <w:pPr>
        <w:spacing w:line="360" w:lineRule="auto"/>
        <w:ind w:firstLine="440" w:firstLineChars="200"/>
        <w:rPr>
          <w:rFonts w:ascii="宋体" w:hAnsi="宋体" w:cs="宋体"/>
          <w:sz w:val="22"/>
          <w:szCs w:val="22"/>
          <w:lang w:val="zh-CN"/>
        </w:rPr>
      </w:pPr>
      <w:r>
        <w:rPr>
          <w:rFonts w:hint="eastAsia" w:ascii="宋体" w:hAnsi="宋体" w:cs="宋体"/>
          <w:sz w:val="22"/>
          <w:szCs w:val="22"/>
          <w:lang w:val="zh-CN"/>
        </w:rPr>
        <w:t>（1000－500）万元×</w:t>
      </w:r>
      <w:r>
        <w:rPr>
          <w:rFonts w:hint="eastAsia" w:ascii="宋体" w:hAnsi="宋体" w:cs="宋体"/>
          <w:sz w:val="22"/>
          <w:szCs w:val="22"/>
        </w:rPr>
        <w:t>0.45%</w:t>
      </w:r>
      <w:r>
        <w:rPr>
          <w:rFonts w:hint="eastAsia" w:ascii="宋体" w:hAnsi="宋体" w:cs="宋体"/>
          <w:sz w:val="22"/>
          <w:szCs w:val="22"/>
          <w:lang w:val="zh-CN"/>
        </w:rPr>
        <w:t>＝2.25万元</w:t>
      </w:r>
    </w:p>
    <w:p>
      <w:pPr>
        <w:spacing w:line="360" w:lineRule="auto"/>
        <w:ind w:left="574" w:leftChars="200" w:hanging="154" w:hangingChars="70"/>
        <w:rPr>
          <w:rFonts w:ascii="宋体" w:hAnsi="宋体" w:cs="宋体"/>
          <w:sz w:val="22"/>
          <w:szCs w:val="22"/>
        </w:rPr>
      </w:pPr>
      <w:r>
        <w:rPr>
          <w:rFonts w:hint="eastAsia" w:ascii="宋体" w:hAnsi="宋体" w:cs="宋体"/>
          <w:sz w:val="22"/>
          <w:szCs w:val="22"/>
          <w:lang w:val="zh-CN"/>
        </w:rPr>
        <w:t>合计收费=1.5＋3.2＋2.25＝6.95万元</w:t>
      </w:r>
      <w:r>
        <w:rPr>
          <w:rFonts w:hint="eastAsia" w:ascii="宋体" w:hAnsi="宋体" w:cs="宋体"/>
          <w:sz w:val="22"/>
          <w:szCs w:val="22"/>
        </w:rPr>
        <w:t>*80%=5.56万元</w:t>
      </w:r>
    </w:p>
    <w:p>
      <w:pPr>
        <w:pStyle w:val="46"/>
        <w:numPr>
          <w:ilvl w:val="0"/>
          <w:numId w:val="4"/>
        </w:numPr>
        <w:spacing w:line="360" w:lineRule="auto"/>
        <w:ind w:left="0" w:firstLine="0" w:firstLineChars="0"/>
        <w:outlineLvl w:val="2"/>
        <w:rPr>
          <w:rFonts w:ascii="宋体" w:hAnsi="宋体"/>
          <w:b/>
          <w:bCs/>
          <w:sz w:val="22"/>
          <w:szCs w:val="22"/>
        </w:rPr>
      </w:pPr>
      <w:bookmarkStart w:id="89" w:name="_Toc46502742"/>
      <w:bookmarkStart w:id="90" w:name="_Toc31888"/>
      <w:bookmarkStart w:id="91" w:name="_Toc441844058"/>
      <w:bookmarkStart w:id="92" w:name="_Toc11652"/>
      <w:bookmarkStart w:id="93" w:name="_Toc29558"/>
      <w:bookmarkStart w:id="94" w:name="_Toc19135"/>
      <w:bookmarkStart w:id="95" w:name="_Toc16081"/>
      <w:r>
        <w:rPr>
          <w:rFonts w:ascii="宋体" w:hAnsi="宋体"/>
          <w:b/>
          <w:bCs/>
          <w:sz w:val="22"/>
          <w:szCs w:val="22"/>
        </w:rPr>
        <w:t>踏勘现场</w:t>
      </w:r>
      <w:bookmarkEnd w:id="89"/>
      <w:bookmarkEnd w:id="90"/>
      <w:bookmarkEnd w:id="91"/>
      <w:bookmarkEnd w:id="92"/>
      <w:bookmarkEnd w:id="93"/>
      <w:bookmarkEnd w:id="94"/>
      <w:bookmarkEnd w:id="95"/>
    </w:p>
    <w:p>
      <w:pPr>
        <w:pStyle w:val="82"/>
        <w:numPr>
          <w:ilvl w:val="0"/>
          <w:numId w:val="13"/>
        </w:numPr>
        <w:tabs>
          <w:tab w:val="left" w:pos="0"/>
        </w:tabs>
        <w:spacing w:line="360" w:lineRule="auto"/>
        <w:ind w:firstLineChars="0"/>
        <w:rPr>
          <w:rFonts w:ascii="宋体" w:hAnsi="宋体"/>
          <w:sz w:val="22"/>
          <w:szCs w:val="22"/>
          <w:lang w:val="zh-CN"/>
        </w:rPr>
      </w:pPr>
      <w:r>
        <w:rPr>
          <w:rFonts w:hint="eastAsia" w:ascii="宋体" w:hAnsi="宋体"/>
          <w:sz w:val="22"/>
          <w:szCs w:val="22"/>
          <w:lang w:val="zh-CN"/>
        </w:rPr>
        <w:t>投标人应按本《投标人须知前附表》所述时间和要求对工程现场及周围环境进行踏勘，投标人应充分重视和仔细地进行这种考察，以便获取那些须投标人自己负责的有关编制投标文件和签署合同所涉及现场所有的资料。一旦中标，这种考察即被认为其结果已在中标文件中得到充分反映。考察现场的费用由投标人自己承担。</w:t>
      </w:r>
    </w:p>
    <w:p>
      <w:pPr>
        <w:pStyle w:val="82"/>
        <w:numPr>
          <w:ilvl w:val="0"/>
          <w:numId w:val="13"/>
        </w:numPr>
        <w:tabs>
          <w:tab w:val="left" w:pos="0"/>
        </w:tabs>
        <w:spacing w:line="360" w:lineRule="auto"/>
        <w:ind w:firstLineChars="0"/>
        <w:rPr>
          <w:rFonts w:ascii="宋体" w:hAnsi="宋体"/>
          <w:sz w:val="22"/>
          <w:szCs w:val="22"/>
          <w:lang w:val="zh-CN"/>
        </w:rPr>
      </w:pPr>
      <w:r>
        <w:rPr>
          <w:rFonts w:hint="eastAsia" w:ascii="宋体" w:hAnsi="宋体"/>
          <w:sz w:val="22"/>
          <w:szCs w:val="22"/>
          <w:lang w:val="zh-CN"/>
        </w:rPr>
        <w:t>招标</w:t>
      </w:r>
      <w:r>
        <w:rPr>
          <w:rFonts w:ascii="宋体" w:hAnsi="宋体"/>
          <w:sz w:val="22"/>
          <w:szCs w:val="22"/>
          <w:lang w:val="zh-CN"/>
        </w:rPr>
        <w:t>人向投标人提供的有关现场的数据和资料，是</w:t>
      </w:r>
      <w:r>
        <w:rPr>
          <w:rFonts w:hint="eastAsia" w:ascii="宋体" w:hAnsi="宋体"/>
          <w:sz w:val="22"/>
          <w:szCs w:val="22"/>
          <w:lang w:val="zh-CN"/>
        </w:rPr>
        <w:t>招标</w:t>
      </w:r>
      <w:r>
        <w:rPr>
          <w:rFonts w:ascii="宋体" w:hAnsi="宋体"/>
          <w:sz w:val="22"/>
          <w:szCs w:val="22"/>
          <w:lang w:val="zh-CN"/>
        </w:rPr>
        <w:t>人现有的能被投标人利用的资料，采购人对投标人做出的任何推论、理解和结论均不负责任。</w:t>
      </w:r>
    </w:p>
    <w:p>
      <w:pPr>
        <w:pStyle w:val="82"/>
        <w:numPr>
          <w:ilvl w:val="0"/>
          <w:numId w:val="13"/>
        </w:numPr>
        <w:tabs>
          <w:tab w:val="left" w:pos="0"/>
        </w:tabs>
        <w:spacing w:line="360" w:lineRule="auto"/>
        <w:ind w:firstLineChars="0"/>
        <w:rPr>
          <w:rFonts w:ascii="宋体" w:hAnsi="宋体"/>
          <w:sz w:val="22"/>
          <w:szCs w:val="22"/>
          <w:lang w:val="zh-CN"/>
        </w:rPr>
      </w:pPr>
      <w:r>
        <w:rPr>
          <w:rFonts w:ascii="宋体" w:hAnsi="宋体"/>
          <w:sz w:val="22"/>
          <w:szCs w:val="22"/>
          <w:lang w:val="zh-CN"/>
        </w:rPr>
        <w:t>经</w:t>
      </w:r>
      <w:r>
        <w:rPr>
          <w:rFonts w:hint="eastAsia" w:ascii="宋体" w:hAnsi="宋体"/>
          <w:sz w:val="22"/>
          <w:szCs w:val="22"/>
          <w:lang w:val="zh-CN"/>
        </w:rPr>
        <w:t>招标</w:t>
      </w:r>
      <w:r>
        <w:rPr>
          <w:rFonts w:ascii="宋体" w:hAnsi="宋体"/>
          <w:sz w:val="22"/>
          <w:szCs w:val="22"/>
          <w:lang w:val="zh-CN"/>
        </w:rPr>
        <w:t>人允许，投标人可为踏勘目的进入</w:t>
      </w:r>
      <w:r>
        <w:rPr>
          <w:rFonts w:hint="eastAsia" w:ascii="宋体" w:hAnsi="宋体"/>
          <w:sz w:val="22"/>
          <w:szCs w:val="22"/>
          <w:lang w:val="zh-CN"/>
        </w:rPr>
        <w:t>招标</w:t>
      </w:r>
      <w:r>
        <w:rPr>
          <w:rFonts w:ascii="宋体" w:hAnsi="宋体"/>
          <w:sz w:val="22"/>
          <w:szCs w:val="22"/>
          <w:lang w:val="zh-CN"/>
        </w:rPr>
        <w:t>人的项目现场。在考察过程中，投标人及其代表必须承担那些进入现场后，由于他们的行为所造成的人身伤害（不管是否致命）、财产损失或损坏，以及其他任何原因造成的损失、损坏或费用，投标人不得因此使</w:t>
      </w:r>
      <w:r>
        <w:rPr>
          <w:rFonts w:hint="eastAsia" w:ascii="宋体" w:hAnsi="宋体"/>
          <w:sz w:val="22"/>
          <w:szCs w:val="22"/>
          <w:lang w:val="zh-CN"/>
        </w:rPr>
        <w:t>招标</w:t>
      </w:r>
      <w:r>
        <w:rPr>
          <w:rFonts w:ascii="宋体" w:hAnsi="宋体"/>
          <w:sz w:val="22"/>
          <w:szCs w:val="22"/>
          <w:lang w:val="zh-CN"/>
        </w:rPr>
        <w:t>人承担有关的责任和蒙受损失。</w:t>
      </w:r>
    </w:p>
    <w:p>
      <w:pPr>
        <w:pStyle w:val="4"/>
        <w:tabs>
          <w:tab w:val="left" w:pos="142"/>
          <w:tab w:val="clear" w:pos="1440"/>
        </w:tabs>
        <w:ind w:left="0" w:firstLine="0"/>
        <w:rPr>
          <w:rFonts w:ascii="Times New Roman" w:hAnsi="Times New Roman" w:eastAsiaTheme="minorEastAsia"/>
          <w:sz w:val="28"/>
          <w:szCs w:val="28"/>
          <w:lang w:val="zh-CN"/>
        </w:rPr>
      </w:pPr>
      <w:bookmarkStart w:id="96" w:name="_Toc28931"/>
      <w:bookmarkStart w:id="97" w:name="_Toc8363"/>
      <w:bookmarkStart w:id="98" w:name="_Toc16605"/>
      <w:bookmarkStart w:id="99" w:name="_Toc234"/>
      <w:bookmarkStart w:id="100" w:name="_Toc46502743"/>
      <w:bookmarkStart w:id="101" w:name="_Toc441844059"/>
      <w:bookmarkStart w:id="102" w:name="_Toc3740"/>
      <w:r>
        <w:rPr>
          <w:rFonts w:ascii="Times New Roman" w:hAnsi="Times New Roman" w:eastAsiaTheme="minorEastAsia"/>
          <w:sz w:val="28"/>
          <w:szCs w:val="28"/>
          <w:lang w:val="zh-CN"/>
        </w:rPr>
        <w:t>（二）招标文件</w:t>
      </w:r>
      <w:bookmarkEnd w:id="96"/>
      <w:bookmarkEnd w:id="97"/>
      <w:bookmarkEnd w:id="98"/>
      <w:bookmarkEnd w:id="99"/>
      <w:bookmarkEnd w:id="100"/>
      <w:bookmarkEnd w:id="101"/>
      <w:bookmarkEnd w:id="102"/>
    </w:p>
    <w:p>
      <w:pPr>
        <w:pStyle w:val="46"/>
        <w:numPr>
          <w:ilvl w:val="0"/>
          <w:numId w:val="4"/>
        </w:numPr>
        <w:spacing w:line="360" w:lineRule="auto"/>
        <w:ind w:left="0" w:firstLine="0" w:firstLineChars="0"/>
        <w:outlineLvl w:val="2"/>
        <w:rPr>
          <w:rFonts w:ascii="宋体" w:hAnsi="宋体" w:cs="宋体"/>
          <w:b/>
          <w:bCs/>
          <w:sz w:val="22"/>
          <w:szCs w:val="22"/>
        </w:rPr>
      </w:pPr>
      <w:bookmarkStart w:id="103" w:name="_Toc441844060"/>
      <w:bookmarkStart w:id="104" w:name="_Toc46502744"/>
      <w:bookmarkStart w:id="105" w:name="_Toc16195"/>
      <w:bookmarkStart w:id="106" w:name="_Toc15004"/>
      <w:bookmarkStart w:id="107" w:name="_Toc4807"/>
      <w:bookmarkStart w:id="108" w:name="_Toc3639"/>
      <w:bookmarkStart w:id="109" w:name="_Toc2981"/>
      <w:r>
        <w:rPr>
          <w:rFonts w:hint="eastAsia" w:ascii="宋体" w:hAnsi="宋体" w:cs="宋体"/>
          <w:b/>
          <w:bCs/>
          <w:sz w:val="22"/>
          <w:szCs w:val="22"/>
        </w:rPr>
        <w:t>招标文件的组成</w:t>
      </w:r>
      <w:bookmarkEnd w:id="103"/>
      <w:bookmarkEnd w:id="104"/>
      <w:bookmarkEnd w:id="105"/>
      <w:bookmarkEnd w:id="106"/>
      <w:bookmarkEnd w:id="107"/>
      <w:bookmarkEnd w:id="108"/>
      <w:bookmarkEnd w:id="109"/>
    </w:p>
    <w:p>
      <w:pPr>
        <w:pStyle w:val="82"/>
        <w:numPr>
          <w:ilvl w:val="0"/>
          <w:numId w:val="14"/>
        </w:numPr>
        <w:spacing w:line="360" w:lineRule="auto"/>
        <w:ind w:firstLineChars="0"/>
        <w:rPr>
          <w:rFonts w:ascii="宋体" w:hAnsi="宋体" w:cs="宋体"/>
          <w:sz w:val="22"/>
          <w:szCs w:val="22"/>
          <w:lang w:val="zh-CN"/>
        </w:rPr>
      </w:pPr>
      <w:r>
        <w:rPr>
          <w:rFonts w:hint="eastAsia" w:ascii="宋体" w:hAnsi="宋体" w:cs="宋体"/>
          <w:sz w:val="22"/>
          <w:szCs w:val="22"/>
          <w:lang w:val="zh-CN"/>
        </w:rPr>
        <w:t>招标文件包括：</w:t>
      </w:r>
    </w:p>
    <w:p>
      <w:pPr>
        <w:spacing w:line="360" w:lineRule="auto"/>
        <w:ind w:left="420" w:leftChars="200" w:firstLine="110" w:firstLineChars="50"/>
        <w:rPr>
          <w:rFonts w:ascii="宋体" w:hAnsi="宋体" w:cs="宋体"/>
          <w:sz w:val="22"/>
          <w:szCs w:val="22"/>
          <w:lang w:val="zh-CN"/>
        </w:rPr>
      </w:pPr>
      <w:r>
        <w:rPr>
          <w:rFonts w:hint="eastAsia" w:ascii="宋体" w:hAnsi="宋体" w:cs="宋体"/>
          <w:sz w:val="22"/>
          <w:szCs w:val="22"/>
          <w:lang w:val="zh-CN"/>
        </w:rPr>
        <w:t>第一章  投标邀请；</w:t>
      </w:r>
    </w:p>
    <w:p>
      <w:pPr>
        <w:spacing w:line="360" w:lineRule="auto"/>
        <w:ind w:left="420" w:leftChars="200" w:firstLine="110" w:firstLineChars="50"/>
        <w:rPr>
          <w:rFonts w:ascii="宋体" w:hAnsi="宋体" w:cs="宋体"/>
          <w:sz w:val="22"/>
          <w:szCs w:val="22"/>
          <w:lang w:val="zh-CN"/>
        </w:rPr>
      </w:pPr>
      <w:r>
        <w:rPr>
          <w:rFonts w:hint="eastAsia" w:ascii="宋体" w:hAnsi="宋体" w:cs="宋体"/>
          <w:sz w:val="22"/>
          <w:szCs w:val="22"/>
          <w:lang w:val="zh-CN"/>
        </w:rPr>
        <w:t xml:space="preserve">第二章 </w:t>
      </w:r>
      <w:r>
        <w:rPr>
          <w:rFonts w:ascii="宋体" w:hAnsi="宋体" w:cs="宋体"/>
          <w:sz w:val="22"/>
          <w:szCs w:val="22"/>
          <w:lang w:val="zh-CN"/>
        </w:rPr>
        <w:t xml:space="preserve"> </w:t>
      </w:r>
      <w:r>
        <w:rPr>
          <w:rFonts w:hint="eastAsia" w:ascii="宋体" w:hAnsi="宋体" w:cs="宋体"/>
          <w:sz w:val="22"/>
          <w:szCs w:val="22"/>
          <w:lang w:val="zh-CN"/>
        </w:rPr>
        <w:t>投标人须知；</w:t>
      </w:r>
    </w:p>
    <w:p>
      <w:pPr>
        <w:spacing w:line="360" w:lineRule="auto"/>
        <w:ind w:left="420" w:leftChars="200" w:firstLine="110" w:firstLineChars="50"/>
        <w:rPr>
          <w:rFonts w:ascii="宋体" w:hAnsi="宋体" w:cs="宋体"/>
          <w:sz w:val="22"/>
          <w:szCs w:val="22"/>
          <w:lang w:val="zh-CN"/>
        </w:rPr>
      </w:pPr>
      <w:r>
        <w:rPr>
          <w:rFonts w:hint="eastAsia" w:ascii="宋体" w:hAnsi="宋体" w:cs="宋体"/>
          <w:sz w:val="22"/>
          <w:szCs w:val="22"/>
          <w:lang w:val="zh-CN"/>
        </w:rPr>
        <w:t>第三章  评标方法；</w:t>
      </w:r>
    </w:p>
    <w:p>
      <w:pPr>
        <w:spacing w:line="360" w:lineRule="auto"/>
        <w:ind w:left="420" w:leftChars="200" w:firstLine="110" w:firstLineChars="50"/>
        <w:rPr>
          <w:rFonts w:ascii="宋体" w:hAnsi="宋体" w:cs="宋体"/>
          <w:sz w:val="22"/>
          <w:szCs w:val="22"/>
          <w:lang w:val="zh-CN"/>
        </w:rPr>
      </w:pPr>
      <w:r>
        <w:rPr>
          <w:rFonts w:hint="eastAsia" w:ascii="宋体" w:hAnsi="宋体" w:cs="宋体"/>
          <w:sz w:val="22"/>
          <w:szCs w:val="22"/>
          <w:lang w:val="zh-CN"/>
        </w:rPr>
        <w:t>第四章  用户需求书；</w:t>
      </w:r>
    </w:p>
    <w:p>
      <w:pPr>
        <w:spacing w:line="360" w:lineRule="auto"/>
        <w:ind w:left="420" w:leftChars="200" w:firstLine="110" w:firstLineChars="50"/>
        <w:rPr>
          <w:rFonts w:ascii="宋体" w:hAnsi="宋体" w:cs="宋体"/>
          <w:sz w:val="22"/>
          <w:szCs w:val="22"/>
          <w:lang w:val="zh-CN"/>
        </w:rPr>
      </w:pPr>
      <w:r>
        <w:rPr>
          <w:rFonts w:hint="eastAsia" w:ascii="宋体" w:hAnsi="宋体" w:cs="宋体"/>
          <w:sz w:val="22"/>
          <w:szCs w:val="22"/>
          <w:lang w:val="zh-CN"/>
        </w:rPr>
        <w:t>第五章  合同书格式；</w:t>
      </w:r>
    </w:p>
    <w:p>
      <w:pPr>
        <w:spacing w:line="360" w:lineRule="auto"/>
        <w:ind w:left="420" w:leftChars="200" w:firstLine="110" w:firstLineChars="50"/>
        <w:rPr>
          <w:rFonts w:ascii="宋体" w:hAnsi="宋体" w:cs="宋体"/>
          <w:sz w:val="22"/>
          <w:szCs w:val="22"/>
          <w:lang w:val="zh-CN"/>
        </w:rPr>
      </w:pPr>
      <w:r>
        <w:rPr>
          <w:rFonts w:hint="eastAsia" w:ascii="宋体" w:hAnsi="宋体" w:cs="宋体"/>
          <w:sz w:val="22"/>
          <w:szCs w:val="22"/>
          <w:lang w:val="zh-CN"/>
        </w:rPr>
        <w:t>第六章  投标文件格式。</w:t>
      </w:r>
    </w:p>
    <w:p>
      <w:pPr>
        <w:pStyle w:val="82"/>
        <w:numPr>
          <w:ilvl w:val="0"/>
          <w:numId w:val="14"/>
        </w:numPr>
        <w:spacing w:line="360" w:lineRule="auto"/>
        <w:ind w:firstLineChars="0"/>
        <w:rPr>
          <w:rFonts w:ascii="宋体" w:hAnsi="宋体" w:cs="宋体"/>
          <w:sz w:val="22"/>
          <w:szCs w:val="22"/>
          <w:lang w:val="zh-CN"/>
        </w:rPr>
      </w:pPr>
      <w:r>
        <w:rPr>
          <w:rFonts w:hint="eastAsia" w:ascii="宋体" w:hAnsi="宋体" w:cs="宋体"/>
          <w:sz w:val="22"/>
          <w:szCs w:val="22"/>
          <w:lang w:val="zh-CN"/>
        </w:rPr>
        <w:t>投标人应认真阅读招标文件中所有的事项、格式、条款和规范等要求。投标人没有按照招标文件要求提交全部资料或者投标文件没有对招标文件在各方面都做出实质性响应是投标人的风险，没有实质性响应招标文件要求的投标将被拒绝。</w:t>
      </w:r>
    </w:p>
    <w:p>
      <w:pPr>
        <w:pStyle w:val="46"/>
        <w:numPr>
          <w:ilvl w:val="0"/>
          <w:numId w:val="4"/>
        </w:numPr>
        <w:spacing w:line="360" w:lineRule="auto"/>
        <w:ind w:left="0" w:firstLine="0" w:firstLineChars="0"/>
        <w:outlineLvl w:val="2"/>
        <w:rPr>
          <w:rFonts w:ascii="宋体" w:hAnsi="宋体" w:cs="宋体"/>
          <w:b/>
          <w:bCs/>
          <w:sz w:val="22"/>
          <w:szCs w:val="22"/>
        </w:rPr>
      </w:pPr>
      <w:bookmarkStart w:id="110" w:name="_Toc441844061"/>
      <w:bookmarkStart w:id="111" w:name="_Toc395863076"/>
      <w:bookmarkStart w:id="112" w:name="_Toc19320"/>
      <w:bookmarkStart w:id="113" w:name="_Toc9573"/>
      <w:bookmarkStart w:id="114" w:name="_Toc46502745"/>
      <w:bookmarkStart w:id="115" w:name="_Toc4316"/>
      <w:bookmarkStart w:id="116" w:name="_Toc22804"/>
      <w:bookmarkStart w:id="117" w:name="_Toc26312"/>
      <w:r>
        <w:rPr>
          <w:rFonts w:hint="eastAsia" w:ascii="宋体" w:hAnsi="宋体" w:cs="宋体"/>
          <w:b/>
          <w:bCs/>
          <w:sz w:val="22"/>
          <w:szCs w:val="22"/>
        </w:rPr>
        <w:t>招标文件的</w:t>
      </w:r>
      <w:bookmarkEnd w:id="110"/>
      <w:bookmarkEnd w:id="111"/>
      <w:r>
        <w:rPr>
          <w:rFonts w:hint="eastAsia" w:ascii="宋体" w:hAnsi="宋体" w:cs="宋体"/>
          <w:b/>
          <w:bCs/>
          <w:sz w:val="22"/>
          <w:szCs w:val="22"/>
        </w:rPr>
        <w:t>异议</w:t>
      </w:r>
      <w:bookmarkEnd w:id="112"/>
      <w:bookmarkEnd w:id="113"/>
      <w:bookmarkEnd w:id="114"/>
      <w:bookmarkEnd w:id="115"/>
      <w:bookmarkEnd w:id="116"/>
      <w:bookmarkEnd w:id="117"/>
    </w:p>
    <w:p>
      <w:pPr>
        <w:pStyle w:val="47"/>
        <w:numPr>
          <w:ilvl w:val="0"/>
          <w:numId w:val="15"/>
        </w:numPr>
        <w:spacing w:line="360" w:lineRule="auto"/>
        <w:ind w:firstLineChars="0"/>
        <w:rPr>
          <w:rFonts w:ascii="宋体" w:eastAsia="宋体" w:cs="宋体"/>
          <w:sz w:val="22"/>
          <w:szCs w:val="22"/>
        </w:rPr>
      </w:pPr>
      <w:bookmarkStart w:id="118" w:name="_Toc39071044"/>
      <w:bookmarkStart w:id="119" w:name="_Toc36971219"/>
      <w:r>
        <w:rPr>
          <w:rFonts w:hint="eastAsia" w:ascii="宋体" w:eastAsia="宋体" w:cs="宋体"/>
          <w:sz w:val="22"/>
          <w:szCs w:val="22"/>
          <w:lang w:val="zh-CN"/>
        </w:rPr>
        <w:t>投标人或者其他利害关系人对招标文件有异议的，应当在投标截止时间10日前以书面形式向招标代理机构提出，并将材料原件送达招标代理机构，逾期则视为对招标文件所有内容无异议。异议书面材料必须加盖投标人法人公章，并注明联系人、联系电话、联系地址。超出提交接收异议截止时间而提出的任何疑问，招标代理机构可不予答复。投标人必须在投标文件中提供投标承诺书（格式详见第六章投标文件格式）。</w:t>
      </w:r>
    </w:p>
    <w:p>
      <w:pPr>
        <w:pStyle w:val="46"/>
        <w:numPr>
          <w:ilvl w:val="0"/>
          <w:numId w:val="4"/>
        </w:numPr>
        <w:spacing w:line="360" w:lineRule="auto"/>
        <w:ind w:left="0" w:firstLine="0" w:firstLineChars="0"/>
        <w:outlineLvl w:val="2"/>
        <w:rPr>
          <w:rFonts w:ascii="宋体" w:hAnsi="宋体" w:cs="宋体"/>
          <w:b/>
          <w:bCs/>
          <w:sz w:val="22"/>
          <w:szCs w:val="22"/>
        </w:rPr>
      </w:pPr>
      <w:bookmarkStart w:id="120" w:name="_Toc441844062"/>
      <w:bookmarkStart w:id="121" w:name="_Toc25558"/>
      <w:bookmarkStart w:id="122" w:name="_Toc17535"/>
      <w:bookmarkStart w:id="123" w:name="_Toc29248"/>
      <w:bookmarkStart w:id="124" w:name="_Toc25950"/>
      <w:bookmarkStart w:id="125" w:name="_Toc18867"/>
      <w:bookmarkStart w:id="126" w:name="_Toc395863077"/>
      <w:bookmarkStart w:id="127" w:name="_Toc46502746"/>
      <w:r>
        <w:rPr>
          <w:rFonts w:hint="eastAsia" w:ascii="宋体" w:hAnsi="宋体" w:cs="宋体"/>
          <w:b/>
          <w:bCs/>
          <w:sz w:val="22"/>
          <w:szCs w:val="22"/>
        </w:rPr>
        <w:t>招标文件的澄清及修改</w:t>
      </w:r>
      <w:bookmarkEnd w:id="118"/>
      <w:bookmarkEnd w:id="119"/>
      <w:bookmarkEnd w:id="120"/>
      <w:bookmarkEnd w:id="121"/>
      <w:bookmarkEnd w:id="122"/>
      <w:bookmarkEnd w:id="123"/>
      <w:bookmarkEnd w:id="124"/>
      <w:bookmarkEnd w:id="125"/>
      <w:bookmarkEnd w:id="126"/>
      <w:bookmarkEnd w:id="127"/>
    </w:p>
    <w:p>
      <w:pPr>
        <w:pStyle w:val="47"/>
        <w:numPr>
          <w:ilvl w:val="0"/>
          <w:numId w:val="16"/>
        </w:numPr>
        <w:spacing w:line="360" w:lineRule="auto"/>
        <w:ind w:firstLineChars="0"/>
        <w:rPr>
          <w:rFonts w:ascii="宋体" w:eastAsia="宋体" w:cs="宋体"/>
          <w:sz w:val="22"/>
          <w:szCs w:val="22"/>
        </w:rPr>
      </w:pPr>
      <w:r>
        <w:rPr>
          <w:rFonts w:hint="eastAsia" w:ascii="宋体" w:eastAsia="宋体" w:cs="宋体"/>
          <w:sz w:val="22"/>
          <w:szCs w:val="22"/>
        </w:rPr>
        <w:t>招标代理机构对已发出的招标文件进行必要澄清或者修改的，将在招标文件要求提交投标文件截止时间15日前，在招标信息发布的媒体上以有编号的澄清通知予以发布。招标文件的修改内容作为招标文件的组成部分，具有约束作用。</w:t>
      </w:r>
    </w:p>
    <w:p>
      <w:pPr>
        <w:pStyle w:val="47"/>
        <w:numPr>
          <w:ilvl w:val="0"/>
          <w:numId w:val="16"/>
        </w:numPr>
        <w:spacing w:line="360" w:lineRule="auto"/>
        <w:ind w:firstLineChars="0"/>
        <w:rPr>
          <w:rFonts w:ascii="宋体" w:eastAsia="宋体" w:cs="宋体"/>
          <w:sz w:val="22"/>
          <w:szCs w:val="22"/>
        </w:rPr>
      </w:pPr>
      <w:r>
        <w:rPr>
          <w:rFonts w:hint="eastAsia" w:ascii="宋体" w:eastAsia="宋体" w:cs="宋体"/>
          <w:sz w:val="22"/>
          <w:szCs w:val="22"/>
        </w:rPr>
        <w:t>当招标文件、招标文件的澄清、修改、补充等在同一内容的表述上不一致时，以最后发出的文件为准。</w:t>
      </w:r>
    </w:p>
    <w:p>
      <w:pPr>
        <w:pStyle w:val="47"/>
        <w:numPr>
          <w:ilvl w:val="0"/>
          <w:numId w:val="16"/>
        </w:numPr>
        <w:spacing w:line="360" w:lineRule="auto"/>
        <w:ind w:firstLineChars="0"/>
        <w:rPr>
          <w:rFonts w:ascii="宋体" w:eastAsia="宋体"/>
          <w:sz w:val="22"/>
          <w:szCs w:val="22"/>
        </w:rPr>
      </w:pPr>
      <w:r>
        <w:rPr>
          <w:rFonts w:ascii="宋体" w:eastAsia="宋体"/>
          <w:sz w:val="22"/>
          <w:szCs w:val="22"/>
        </w:rPr>
        <w:t>为使投标人在编制投标文件时有充分的时间对招标文件的澄清、修改、补充等内容进行研究，</w:t>
      </w:r>
      <w:r>
        <w:rPr>
          <w:rFonts w:hint="eastAsia" w:ascii="宋体" w:eastAsia="宋体"/>
          <w:sz w:val="22"/>
          <w:szCs w:val="22"/>
        </w:rPr>
        <w:t>招标</w:t>
      </w:r>
      <w:r>
        <w:rPr>
          <w:rFonts w:ascii="宋体" w:eastAsia="宋体"/>
          <w:sz w:val="22"/>
          <w:szCs w:val="22"/>
        </w:rPr>
        <w:t>代理机构将酌情延长提交投标文件的截止时间，具体时间将在招标文件的修改、补充通知中予以明确。</w:t>
      </w:r>
    </w:p>
    <w:p>
      <w:pPr>
        <w:pStyle w:val="47"/>
        <w:numPr>
          <w:ilvl w:val="0"/>
          <w:numId w:val="16"/>
        </w:numPr>
        <w:spacing w:line="360" w:lineRule="auto"/>
        <w:ind w:firstLineChars="0"/>
        <w:rPr>
          <w:rFonts w:ascii="宋体" w:eastAsia="宋体"/>
          <w:sz w:val="22"/>
          <w:szCs w:val="22"/>
        </w:rPr>
      </w:pPr>
      <w:r>
        <w:rPr>
          <w:rFonts w:ascii="宋体" w:eastAsia="宋体"/>
          <w:sz w:val="22"/>
          <w:szCs w:val="22"/>
        </w:rPr>
        <w:t>招标文件的修改、补充通知将在《投标人须知前附表》规定的媒体公告上公布，请各投标人密切留意。</w:t>
      </w:r>
    </w:p>
    <w:p>
      <w:pPr>
        <w:pStyle w:val="4"/>
        <w:tabs>
          <w:tab w:val="left" w:pos="142"/>
          <w:tab w:val="clear" w:pos="1440"/>
        </w:tabs>
        <w:ind w:left="0" w:firstLine="0"/>
        <w:rPr>
          <w:rFonts w:ascii="宋体" w:hAnsi="宋体" w:eastAsia="宋体"/>
          <w:sz w:val="22"/>
          <w:szCs w:val="22"/>
          <w:lang w:val="zh-CN"/>
        </w:rPr>
      </w:pPr>
      <w:bookmarkStart w:id="128" w:name="_Toc441844063"/>
      <w:bookmarkStart w:id="129" w:name="_Toc16887"/>
      <w:bookmarkStart w:id="130" w:name="_Toc29253"/>
      <w:bookmarkStart w:id="131" w:name="_Toc31418"/>
      <w:bookmarkStart w:id="132" w:name="_Toc12776"/>
      <w:bookmarkStart w:id="133" w:name="_Toc46502747"/>
      <w:bookmarkStart w:id="134" w:name="_Toc19812"/>
      <w:r>
        <w:rPr>
          <w:rFonts w:ascii="宋体" w:hAnsi="宋体" w:eastAsia="宋体"/>
          <w:sz w:val="22"/>
          <w:szCs w:val="22"/>
          <w:lang w:val="zh-CN"/>
        </w:rPr>
        <w:t>（三）投标文件编制</w:t>
      </w:r>
      <w:bookmarkEnd w:id="128"/>
      <w:bookmarkEnd w:id="129"/>
      <w:bookmarkEnd w:id="130"/>
      <w:bookmarkEnd w:id="131"/>
      <w:bookmarkEnd w:id="132"/>
      <w:bookmarkEnd w:id="133"/>
      <w:bookmarkEnd w:id="134"/>
    </w:p>
    <w:p>
      <w:pPr>
        <w:pStyle w:val="46"/>
        <w:numPr>
          <w:ilvl w:val="0"/>
          <w:numId w:val="4"/>
        </w:numPr>
        <w:spacing w:line="360" w:lineRule="auto"/>
        <w:ind w:left="0" w:firstLine="0" w:firstLineChars="0"/>
        <w:outlineLvl w:val="2"/>
        <w:rPr>
          <w:rFonts w:ascii="宋体" w:hAnsi="宋体"/>
          <w:b/>
          <w:bCs/>
          <w:sz w:val="22"/>
          <w:szCs w:val="22"/>
        </w:rPr>
      </w:pPr>
      <w:bookmarkStart w:id="135" w:name="_Toc46502748"/>
      <w:bookmarkStart w:id="136" w:name="_Toc441844064"/>
      <w:bookmarkStart w:id="137" w:name="_Toc17750"/>
      <w:bookmarkStart w:id="138" w:name="_Toc8907"/>
      <w:bookmarkStart w:id="139" w:name="_Toc16009"/>
      <w:bookmarkStart w:id="140" w:name="_Toc10399"/>
      <w:bookmarkStart w:id="141" w:name="_Toc24736"/>
      <w:r>
        <w:rPr>
          <w:rFonts w:ascii="宋体" w:hAnsi="宋体"/>
          <w:b/>
          <w:bCs/>
          <w:sz w:val="22"/>
          <w:szCs w:val="22"/>
        </w:rPr>
        <w:t>投标文件的语言及度量衡单位</w:t>
      </w:r>
      <w:bookmarkEnd w:id="135"/>
      <w:bookmarkEnd w:id="136"/>
      <w:bookmarkEnd w:id="137"/>
      <w:bookmarkEnd w:id="138"/>
      <w:bookmarkEnd w:id="139"/>
      <w:bookmarkEnd w:id="140"/>
      <w:bookmarkEnd w:id="141"/>
    </w:p>
    <w:p>
      <w:pPr>
        <w:pStyle w:val="47"/>
        <w:numPr>
          <w:ilvl w:val="0"/>
          <w:numId w:val="17"/>
        </w:numPr>
        <w:spacing w:line="360" w:lineRule="auto"/>
        <w:ind w:left="567" w:hanging="567" w:firstLineChars="0"/>
        <w:rPr>
          <w:rFonts w:ascii="宋体" w:eastAsia="宋体"/>
          <w:sz w:val="22"/>
          <w:szCs w:val="22"/>
        </w:rPr>
      </w:pPr>
      <w:r>
        <w:rPr>
          <w:rFonts w:ascii="宋体" w:eastAsia="宋体"/>
          <w:sz w:val="22"/>
          <w:szCs w:val="22"/>
        </w:rPr>
        <w:t>投标人提交的投标文件以及投标人与</w:t>
      </w:r>
      <w:r>
        <w:rPr>
          <w:rFonts w:hint="eastAsia" w:ascii="宋体" w:eastAsia="宋体"/>
          <w:sz w:val="22"/>
          <w:szCs w:val="22"/>
        </w:rPr>
        <w:t>招标</w:t>
      </w:r>
      <w:r>
        <w:rPr>
          <w:rFonts w:ascii="宋体" w:eastAsia="宋体"/>
          <w:sz w:val="22"/>
          <w:szCs w:val="22"/>
        </w:rPr>
        <w:t>代理机构就有关投标的所有来往函件均应使用简体中文书写。对于任何非中文的资料，都应提供简体中文翻译本，有矛盾时以简体中文翻译本为准。对中文翻译有异议的，以权威机构的译本为准。</w:t>
      </w:r>
    </w:p>
    <w:p>
      <w:pPr>
        <w:pStyle w:val="47"/>
        <w:numPr>
          <w:ilvl w:val="0"/>
          <w:numId w:val="17"/>
        </w:numPr>
        <w:spacing w:line="360" w:lineRule="auto"/>
        <w:ind w:left="567" w:hanging="567" w:firstLineChars="0"/>
        <w:rPr>
          <w:rFonts w:ascii="宋体" w:eastAsia="宋体"/>
          <w:sz w:val="22"/>
          <w:szCs w:val="22"/>
        </w:rPr>
      </w:pPr>
      <w:r>
        <w:rPr>
          <w:rFonts w:ascii="宋体" w:eastAsia="宋体"/>
          <w:sz w:val="22"/>
          <w:szCs w:val="22"/>
        </w:rPr>
        <w:t>在投标文件中以及所有投标人与</w:t>
      </w:r>
      <w:r>
        <w:rPr>
          <w:rFonts w:hint="eastAsia" w:ascii="宋体" w:eastAsia="宋体"/>
          <w:sz w:val="22"/>
          <w:szCs w:val="22"/>
        </w:rPr>
        <w:t>招标</w:t>
      </w:r>
      <w:r>
        <w:rPr>
          <w:rFonts w:ascii="宋体" w:eastAsia="宋体"/>
          <w:sz w:val="22"/>
          <w:szCs w:val="22"/>
        </w:rPr>
        <w:t>代理机构和</w:t>
      </w:r>
      <w:r>
        <w:rPr>
          <w:rFonts w:hint="eastAsia" w:ascii="宋体" w:eastAsia="宋体"/>
          <w:sz w:val="22"/>
          <w:szCs w:val="22"/>
        </w:rPr>
        <w:t>招标</w:t>
      </w:r>
      <w:r>
        <w:rPr>
          <w:rFonts w:ascii="宋体" w:eastAsia="宋体"/>
          <w:sz w:val="22"/>
          <w:szCs w:val="22"/>
        </w:rPr>
        <w:t>人往来文件中的所有计量单位和规格都应按国家有关规定使用公制标准。</w:t>
      </w:r>
    </w:p>
    <w:p>
      <w:pPr>
        <w:pStyle w:val="47"/>
        <w:numPr>
          <w:ilvl w:val="0"/>
          <w:numId w:val="17"/>
        </w:numPr>
        <w:spacing w:line="360" w:lineRule="auto"/>
        <w:ind w:left="567" w:hanging="567" w:firstLineChars="0"/>
        <w:rPr>
          <w:rFonts w:ascii="宋体" w:eastAsia="宋体"/>
          <w:sz w:val="22"/>
          <w:szCs w:val="22"/>
        </w:rPr>
      </w:pPr>
      <w:r>
        <w:rPr>
          <w:rFonts w:ascii="宋体" w:eastAsia="宋体"/>
          <w:sz w:val="22"/>
          <w:szCs w:val="22"/>
        </w:rPr>
        <w:t>招标文件中，如标有“★”的条款均为必须完全满足指标，投标人须进行实质性响应，投标人若有一项带“★”的条款未响应或不满足，将按无效投标处理。</w:t>
      </w:r>
    </w:p>
    <w:p>
      <w:pPr>
        <w:pStyle w:val="47"/>
        <w:numPr>
          <w:ilvl w:val="0"/>
          <w:numId w:val="17"/>
        </w:numPr>
        <w:spacing w:line="360" w:lineRule="auto"/>
        <w:ind w:left="567" w:hanging="567" w:firstLineChars="0"/>
        <w:rPr>
          <w:rFonts w:ascii="宋体" w:eastAsia="宋体" w:cs="宋体"/>
          <w:sz w:val="22"/>
          <w:szCs w:val="22"/>
        </w:rPr>
      </w:pPr>
      <w:r>
        <w:rPr>
          <w:rFonts w:ascii="宋体" w:eastAsia="宋体"/>
          <w:sz w:val="22"/>
          <w:szCs w:val="22"/>
        </w:rPr>
        <w:t>招标文件中，如标有“▲”的条款均为评审的重要评分指标，投标人若有部分“▲”条</w:t>
      </w:r>
      <w:r>
        <w:rPr>
          <w:rFonts w:hint="eastAsia" w:ascii="宋体" w:eastAsia="宋体" w:cs="宋体"/>
          <w:sz w:val="22"/>
          <w:szCs w:val="22"/>
        </w:rPr>
        <w:t>款未响应或不满足，将导致其响应性评审严重扣分。</w:t>
      </w:r>
    </w:p>
    <w:p>
      <w:pPr>
        <w:pStyle w:val="47"/>
        <w:numPr>
          <w:ilvl w:val="0"/>
          <w:numId w:val="17"/>
        </w:numPr>
        <w:spacing w:line="360" w:lineRule="auto"/>
        <w:ind w:left="567" w:hanging="567" w:firstLineChars="0"/>
        <w:rPr>
          <w:rFonts w:ascii="宋体" w:eastAsia="宋体" w:cs="宋体"/>
          <w:sz w:val="22"/>
          <w:szCs w:val="22"/>
        </w:rPr>
      </w:pPr>
      <w:r>
        <w:rPr>
          <w:rFonts w:hint="eastAsia" w:ascii="宋体" w:eastAsia="宋体" w:cs="宋体"/>
          <w:sz w:val="22"/>
          <w:szCs w:val="22"/>
        </w:rPr>
        <w:t>投标文件按规定加盖的投标人公章必须为企业法人公章，且与投标人名称一致，不能以其它业务章或附属机构章代替。需签名之处必须由当事人（由投标人的法定代表人或授权委托人签字或盖私章）亲笔签名。</w:t>
      </w:r>
    </w:p>
    <w:p>
      <w:pPr>
        <w:pStyle w:val="46"/>
        <w:numPr>
          <w:ilvl w:val="0"/>
          <w:numId w:val="4"/>
        </w:numPr>
        <w:spacing w:line="360" w:lineRule="auto"/>
        <w:ind w:left="0" w:firstLine="0" w:firstLineChars="0"/>
        <w:outlineLvl w:val="2"/>
        <w:rPr>
          <w:rFonts w:ascii="宋体" w:hAnsi="宋体" w:cs="宋体"/>
          <w:b/>
          <w:bCs/>
          <w:sz w:val="22"/>
          <w:szCs w:val="22"/>
        </w:rPr>
      </w:pPr>
      <w:bookmarkStart w:id="142" w:name="_Toc46502749"/>
      <w:bookmarkStart w:id="143" w:name="_Toc27474"/>
      <w:bookmarkStart w:id="144" w:name="_Toc19267"/>
      <w:bookmarkStart w:id="145" w:name="_Toc4399"/>
      <w:bookmarkStart w:id="146" w:name="_Toc441844065"/>
      <w:bookmarkStart w:id="147" w:name="_Toc16157"/>
      <w:bookmarkStart w:id="148" w:name="_Toc25550"/>
      <w:r>
        <w:rPr>
          <w:rFonts w:hint="eastAsia" w:ascii="宋体" w:hAnsi="宋体" w:cs="宋体"/>
          <w:b/>
          <w:bCs/>
          <w:sz w:val="22"/>
          <w:szCs w:val="22"/>
        </w:rPr>
        <w:t>投标文件构成</w:t>
      </w:r>
      <w:bookmarkEnd w:id="142"/>
      <w:bookmarkEnd w:id="143"/>
      <w:bookmarkEnd w:id="144"/>
      <w:bookmarkEnd w:id="145"/>
      <w:bookmarkEnd w:id="146"/>
      <w:bookmarkEnd w:id="147"/>
      <w:bookmarkEnd w:id="148"/>
    </w:p>
    <w:p>
      <w:pPr>
        <w:pStyle w:val="46"/>
        <w:numPr>
          <w:ilvl w:val="0"/>
          <w:numId w:val="18"/>
        </w:numPr>
        <w:tabs>
          <w:tab w:val="left" w:pos="567"/>
        </w:tabs>
        <w:spacing w:line="360" w:lineRule="auto"/>
        <w:ind w:left="426" w:hanging="426" w:firstLineChars="0"/>
        <w:rPr>
          <w:rFonts w:ascii="宋体" w:hAnsi="宋体" w:cs="宋体"/>
          <w:sz w:val="22"/>
          <w:szCs w:val="22"/>
        </w:rPr>
      </w:pPr>
      <w:r>
        <w:rPr>
          <w:rFonts w:hint="eastAsia" w:ascii="宋体" w:hAnsi="宋体" w:cs="宋体"/>
          <w:sz w:val="22"/>
          <w:szCs w:val="22"/>
        </w:rPr>
        <w:t>投标人编写的投标文件应包括下列部分：</w:t>
      </w:r>
    </w:p>
    <w:p>
      <w:pPr>
        <w:spacing w:line="360" w:lineRule="auto"/>
        <w:ind w:left="334" w:leftChars="159" w:firstLine="216" w:firstLineChars="98"/>
        <w:rPr>
          <w:rFonts w:ascii="宋体" w:hAnsi="宋体" w:cs="宋体"/>
          <w:b/>
          <w:bCs/>
          <w:sz w:val="22"/>
          <w:szCs w:val="22"/>
        </w:rPr>
      </w:pPr>
      <w:r>
        <w:rPr>
          <w:rFonts w:hint="eastAsia" w:ascii="宋体" w:hAnsi="宋体" w:cs="宋体"/>
          <w:b/>
          <w:bCs/>
          <w:sz w:val="22"/>
          <w:szCs w:val="22"/>
        </w:rPr>
        <w:t>1、唱标信封（单独密封）</w:t>
      </w:r>
    </w:p>
    <w:p>
      <w:pPr>
        <w:numPr>
          <w:ilvl w:val="0"/>
          <w:numId w:val="19"/>
        </w:numPr>
        <w:spacing w:line="360" w:lineRule="auto"/>
        <w:ind w:left="1340"/>
        <w:rPr>
          <w:rFonts w:ascii="宋体" w:hAnsi="宋体" w:cs="宋体"/>
          <w:sz w:val="22"/>
          <w:szCs w:val="22"/>
        </w:rPr>
      </w:pPr>
      <w:r>
        <w:rPr>
          <w:rFonts w:hint="eastAsia" w:ascii="宋体" w:hAnsi="宋体" w:cs="宋体"/>
          <w:sz w:val="22"/>
          <w:szCs w:val="22"/>
        </w:rPr>
        <w:t>投标报价一览表；</w:t>
      </w:r>
    </w:p>
    <w:p>
      <w:pPr>
        <w:numPr>
          <w:ilvl w:val="0"/>
          <w:numId w:val="19"/>
        </w:numPr>
        <w:spacing w:line="360" w:lineRule="auto"/>
        <w:ind w:left="1340"/>
        <w:rPr>
          <w:rFonts w:ascii="宋体" w:hAnsi="宋体" w:cs="宋体"/>
          <w:sz w:val="22"/>
          <w:szCs w:val="22"/>
        </w:rPr>
      </w:pPr>
      <w:r>
        <w:rPr>
          <w:rFonts w:hint="eastAsia" w:ascii="宋体" w:hAnsi="宋体" w:cs="宋体"/>
          <w:sz w:val="22"/>
          <w:szCs w:val="22"/>
        </w:rPr>
        <w:t>投标保证金汇入情况说明及投标保证金复印件加盖公章；</w:t>
      </w:r>
    </w:p>
    <w:p>
      <w:pPr>
        <w:numPr>
          <w:ilvl w:val="0"/>
          <w:numId w:val="19"/>
        </w:numPr>
        <w:spacing w:line="360" w:lineRule="auto"/>
        <w:ind w:left="1340"/>
        <w:rPr>
          <w:rFonts w:ascii="宋体" w:hAnsi="宋体" w:cs="宋体"/>
          <w:sz w:val="22"/>
          <w:szCs w:val="22"/>
        </w:rPr>
      </w:pPr>
      <w:bookmarkStart w:id="149" w:name="_Hlk46406861"/>
      <w:r>
        <w:rPr>
          <w:rFonts w:hint="eastAsia" w:ascii="宋体" w:hAnsi="宋体" w:cs="宋体"/>
          <w:sz w:val="22"/>
          <w:szCs w:val="22"/>
        </w:rPr>
        <w:t>法定代表人授权委托书</w:t>
      </w:r>
      <w:bookmarkEnd w:id="149"/>
      <w:r>
        <w:rPr>
          <w:rFonts w:hint="eastAsia" w:ascii="宋体" w:hAnsi="宋体" w:cs="宋体"/>
          <w:sz w:val="22"/>
          <w:szCs w:val="22"/>
        </w:rPr>
        <w:t>原件及被授权代表身份证复印件</w:t>
      </w:r>
      <w:bookmarkStart w:id="150" w:name="_Hlk41267762"/>
      <w:r>
        <w:rPr>
          <w:rFonts w:hint="eastAsia" w:ascii="宋体" w:hAnsi="宋体" w:cs="宋体"/>
          <w:sz w:val="22"/>
          <w:szCs w:val="22"/>
        </w:rPr>
        <w:t>加盖公章</w:t>
      </w:r>
      <w:bookmarkEnd w:id="150"/>
      <w:r>
        <w:rPr>
          <w:rFonts w:hint="eastAsia" w:ascii="宋体" w:hAnsi="宋体" w:cs="宋体"/>
          <w:sz w:val="22"/>
          <w:szCs w:val="22"/>
        </w:rPr>
        <w:t>（如法定代表人投标则附法定代表人身份证明书原件及法定代表人身份证复印件加盖公章）；</w:t>
      </w:r>
    </w:p>
    <w:p>
      <w:pPr>
        <w:numPr>
          <w:ilvl w:val="0"/>
          <w:numId w:val="19"/>
        </w:numPr>
        <w:spacing w:line="360" w:lineRule="auto"/>
        <w:ind w:left="1340"/>
        <w:rPr>
          <w:rFonts w:ascii="宋体" w:hAnsi="宋体" w:cs="宋体"/>
          <w:bCs/>
          <w:sz w:val="22"/>
          <w:szCs w:val="22"/>
        </w:rPr>
      </w:pPr>
      <w:r>
        <w:rPr>
          <w:rFonts w:hint="eastAsia" w:ascii="宋体" w:hAnsi="宋体" w:cs="宋体"/>
          <w:sz w:val="22"/>
          <w:szCs w:val="22"/>
        </w:rPr>
        <w:t>电子文件。</w:t>
      </w:r>
    </w:p>
    <w:p>
      <w:pPr>
        <w:spacing w:line="360" w:lineRule="auto"/>
        <w:ind w:left="540"/>
        <w:rPr>
          <w:rFonts w:ascii="宋体" w:hAnsi="宋体" w:cs="宋体"/>
          <w:b/>
          <w:bCs/>
          <w:sz w:val="22"/>
          <w:szCs w:val="22"/>
        </w:rPr>
      </w:pPr>
      <w:r>
        <w:rPr>
          <w:rFonts w:hint="eastAsia" w:ascii="宋体" w:hAnsi="宋体" w:cs="宋体"/>
          <w:b/>
          <w:bCs/>
          <w:sz w:val="22"/>
          <w:szCs w:val="22"/>
        </w:rPr>
        <w:t>2、价格部分文件</w:t>
      </w:r>
    </w:p>
    <w:p>
      <w:pPr>
        <w:numPr>
          <w:ilvl w:val="0"/>
          <w:numId w:val="20"/>
        </w:numPr>
        <w:spacing w:line="360" w:lineRule="auto"/>
        <w:ind w:left="1340"/>
        <w:rPr>
          <w:rFonts w:ascii="宋体" w:hAnsi="宋体" w:cs="宋体"/>
          <w:sz w:val="22"/>
          <w:szCs w:val="22"/>
        </w:rPr>
      </w:pPr>
      <w:r>
        <w:rPr>
          <w:rFonts w:hint="eastAsia" w:ascii="宋体" w:hAnsi="宋体" w:cs="宋体"/>
          <w:sz w:val="22"/>
          <w:szCs w:val="22"/>
        </w:rPr>
        <w:t>投标报价一览表。</w:t>
      </w:r>
    </w:p>
    <w:p>
      <w:pPr>
        <w:spacing w:line="360" w:lineRule="auto"/>
        <w:ind w:left="540"/>
        <w:rPr>
          <w:rFonts w:ascii="宋体" w:hAnsi="宋体" w:cs="宋体"/>
          <w:sz w:val="22"/>
          <w:szCs w:val="22"/>
        </w:rPr>
      </w:pPr>
      <w:r>
        <w:rPr>
          <w:rFonts w:hint="eastAsia" w:ascii="宋体" w:hAnsi="宋体" w:cs="宋体"/>
          <w:b/>
          <w:bCs/>
          <w:sz w:val="22"/>
          <w:szCs w:val="22"/>
        </w:rPr>
        <w:t>3、商务、技术部分文件</w:t>
      </w:r>
    </w:p>
    <w:p>
      <w:pPr>
        <w:numPr>
          <w:ilvl w:val="0"/>
          <w:numId w:val="21"/>
        </w:numPr>
        <w:spacing w:line="360" w:lineRule="auto"/>
        <w:ind w:left="1340"/>
        <w:rPr>
          <w:rFonts w:ascii="宋体" w:hAnsi="宋体" w:cs="宋体"/>
          <w:sz w:val="22"/>
          <w:szCs w:val="22"/>
        </w:rPr>
      </w:pPr>
      <w:r>
        <w:rPr>
          <w:rFonts w:hint="eastAsia" w:ascii="宋体" w:hAnsi="宋体" w:cs="宋体"/>
          <w:sz w:val="22"/>
          <w:szCs w:val="22"/>
        </w:rPr>
        <w:t>投标函；</w:t>
      </w:r>
    </w:p>
    <w:p>
      <w:pPr>
        <w:numPr>
          <w:ilvl w:val="0"/>
          <w:numId w:val="21"/>
        </w:numPr>
        <w:spacing w:line="360" w:lineRule="auto"/>
        <w:ind w:left="1340"/>
        <w:rPr>
          <w:rFonts w:ascii="宋体" w:hAnsi="宋体" w:cs="宋体"/>
          <w:sz w:val="22"/>
          <w:szCs w:val="22"/>
        </w:rPr>
      </w:pPr>
      <w:r>
        <w:rPr>
          <w:rFonts w:hint="eastAsia" w:ascii="宋体" w:hAnsi="宋体" w:cs="宋体"/>
          <w:sz w:val="22"/>
          <w:szCs w:val="22"/>
        </w:rPr>
        <w:t>承诺书；</w:t>
      </w:r>
    </w:p>
    <w:p>
      <w:pPr>
        <w:numPr>
          <w:ilvl w:val="0"/>
          <w:numId w:val="21"/>
        </w:numPr>
        <w:spacing w:line="360" w:lineRule="auto"/>
        <w:ind w:left="1340"/>
        <w:rPr>
          <w:rFonts w:ascii="宋体" w:hAnsi="宋体" w:cs="宋体"/>
          <w:sz w:val="22"/>
          <w:szCs w:val="22"/>
        </w:rPr>
      </w:pPr>
      <w:r>
        <w:rPr>
          <w:rFonts w:hint="eastAsia" w:ascii="宋体" w:hAnsi="宋体" w:cs="宋体"/>
          <w:sz w:val="22"/>
          <w:szCs w:val="22"/>
        </w:rPr>
        <w:t>法定代表人身份证明书</w:t>
      </w:r>
    </w:p>
    <w:p>
      <w:pPr>
        <w:numPr>
          <w:ilvl w:val="0"/>
          <w:numId w:val="21"/>
        </w:numPr>
        <w:spacing w:line="360" w:lineRule="auto"/>
        <w:ind w:left="1340"/>
        <w:rPr>
          <w:rFonts w:ascii="宋体" w:hAnsi="宋体" w:cs="宋体"/>
          <w:sz w:val="22"/>
          <w:szCs w:val="22"/>
        </w:rPr>
      </w:pPr>
      <w:r>
        <w:rPr>
          <w:rFonts w:hint="eastAsia" w:ascii="宋体" w:hAnsi="宋体" w:cs="宋体"/>
          <w:sz w:val="22"/>
          <w:szCs w:val="22"/>
        </w:rPr>
        <w:t>法定代表人授权委托书</w:t>
      </w:r>
    </w:p>
    <w:p>
      <w:pPr>
        <w:numPr>
          <w:ilvl w:val="0"/>
          <w:numId w:val="21"/>
        </w:numPr>
        <w:spacing w:line="360" w:lineRule="auto"/>
        <w:ind w:left="1340"/>
        <w:rPr>
          <w:rFonts w:ascii="宋体" w:hAnsi="宋体" w:cs="宋体"/>
          <w:sz w:val="22"/>
          <w:szCs w:val="22"/>
        </w:rPr>
      </w:pPr>
      <w:r>
        <w:rPr>
          <w:rFonts w:ascii="宋体" w:hAnsi="宋体"/>
          <w:sz w:val="22"/>
          <w:szCs w:val="22"/>
        </w:rPr>
        <w:t>资格文件声明函</w:t>
      </w:r>
    </w:p>
    <w:p>
      <w:pPr>
        <w:numPr>
          <w:ilvl w:val="0"/>
          <w:numId w:val="21"/>
        </w:numPr>
        <w:spacing w:line="360" w:lineRule="auto"/>
        <w:ind w:left="1340"/>
        <w:rPr>
          <w:rFonts w:ascii="宋体" w:hAnsi="宋体" w:cs="宋体"/>
          <w:sz w:val="22"/>
          <w:szCs w:val="22"/>
        </w:rPr>
      </w:pPr>
      <w:r>
        <w:rPr>
          <w:rFonts w:hint="eastAsia" w:ascii="宋体" w:hAnsi="宋体" w:cs="宋体"/>
          <w:sz w:val="22"/>
          <w:szCs w:val="22"/>
        </w:rPr>
        <w:t>投标单位基本情况、简介</w:t>
      </w:r>
    </w:p>
    <w:p>
      <w:pPr>
        <w:numPr>
          <w:ilvl w:val="0"/>
          <w:numId w:val="21"/>
        </w:numPr>
        <w:spacing w:line="360" w:lineRule="auto"/>
        <w:ind w:left="1340"/>
        <w:rPr>
          <w:rFonts w:ascii="宋体" w:hAnsi="宋体" w:cs="宋体"/>
          <w:sz w:val="22"/>
          <w:szCs w:val="22"/>
        </w:rPr>
      </w:pPr>
      <w:r>
        <w:rPr>
          <w:rFonts w:hint="eastAsia" w:ascii="宋体" w:hAnsi="宋体" w:cs="宋体"/>
          <w:sz w:val="22"/>
          <w:szCs w:val="22"/>
        </w:rPr>
        <w:t>投标人资格证明文件</w:t>
      </w:r>
    </w:p>
    <w:p>
      <w:pPr>
        <w:numPr>
          <w:ilvl w:val="0"/>
          <w:numId w:val="21"/>
        </w:numPr>
        <w:spacing w:line="360" w:lineRule="auto"/>
        <w:ind w:left="1340"/>
        <w:rPr>
          <w:rFonts w:ascii="宋体" w:hAnsi="宋体" w:cs="宋体"/>
          <w:sz w:val="22"/>
          <w:szCs w:val="22"/>
        </w:rPr>
      </w:pPr>
      <w:r>
        <w:rPr>
          <w:rFonts w:hint="eastAsia" w:ascii="宋体" w:hAnsi="宋体"/>
          <w:sz w:val="22"/>
          <w:szCs w:val="22"/>
        </w:rPr>
        <w:t>投标人承诺</w:t>
      </w:r>
    </w:p>
    <w:p>
      <w:pPr>
        <w:numPr>
          <w:ilvl w:val="0"/>
          <w:numId w:val="21"/>
        </w:numPr>
        <w:tabs>
          <w:tab w:val="left" w:pos="1276"/>
          <w:tab w:val="left" w:pos="1418"/>
        </w:tabs>
        <w:spacing w:line="360" w:lineRule="auto"/>
        <w:ind w:left="851" w:firstLine="5"/>
        <w:rPr>
          <w:rFonts w:ascii="宋体" w:hAnsi="宋体" w:cs="宋体"/>
          <w:sz w:val="22"/>
          <w:szCs w:val="22"/>
        </w:rPr>
      </w:pPr>
      <w:r>
        <w:rPr>
          <w:rFonts w:ascii="宋体" w:hAnsi="宋体"/>
          <w:sz w:val="22"/>
          <w:szCs w:val="22"/>
        </w:rPr>
        <w:t>业绩情况一览表</w:t>
      </w:r>
    </w:p>
    <w:p>
      <w:pPr>
        <w:numPr>
          <w:ilvl w:val="0"/>
          <w:numId w:val="21"/>
        </w:numPr>
        <w:tabs>
          <w:tab w:val="left" w:pos="1276"/>
          <w:tab w:val="left" w:pos="1418"/>
        </w:tabs>
        <w:spacing w:line="360" w:lineRule="auto"/>
        <w:ind w:left="851" w:firstLine="5"/>
        <w:rPr>
          <w:rFonts w:ascii="宋体" w:hAnsi="宋体" w:cs="宋体"/>
          <w:sz w:val="22"/>
          <w:szCs w:val="22"/>
        </w:rPr>
      </w:pPr>
      <w:r>
        <w:rPr>
          <w:rFonts w:hint="eastAsia" w:ascii="宋体" w:hAnsi="宋体" w:cs="宋体"/>
          <w:sz w:val="22"/>
          <w:szCs w:val="22"/>
        </w:rPr>
        <w:t>拟投入本项目的服务团队人员情况表格式</w:t>
      </w:r>
    </w:p>
    <w:p>
      <w:pPr>
        <w:numPr>
          <w:ilvl w:val="0"/>
          <w:numId w:val="21"/>
        </w:numPr>
        <w:tabs>
          <w:tab w:val="left" w:pos="1276"/>
          <w:tab w:val="left" w:pos="1418"/>
        </w:tabs>
        <w:spacing w:line="360" w:lineRule="auto"/>
        <w:ind w:left="851" w:firstLine="5"/>
        <w:rPr>
          <w:rFonts w:ascii="宋体" w:hAnsi="宋体" w:cs="宋体"/>
          <w:sz w:val="22"/>
          <w:szCs w:val="22"/>
        </w:rPr>
      </w:pPr>
      <w:r>
        <w:rPr>
          <w:rFonts w:hint="eastAsia" w:ascii="宋体" w:hAnsi="宋体" w:cs="宋体"/>
          <w:sz w:val="22"/>
          <w:szCs w:val="22"/>
        </w:rPr>
        <w:t>拟在本项目中投入的设备一览表</w:t>
      </w:r>
    </w:p>
    <w:p>
      <w:pPr>
        <w:numPr>
          <w:ilvl w:val="0"/>
          <w:numId w:val="21"/>
        </w:numPr>
        <w:tabs>
          <w:tab w:val="left" w:pos="1276"/>
          <w:tab w:val="left" w:pos="1418"/>
        </w:tabs>
        <w:spacing w:line="360" w:lineRule="auto"/>
        <w:ind w:left="851" w:firstLine="5"/>
        <w:rPr>
          <w:rFonts w:ascii="宋体" w:hAnsi="宋体" w:cs="宋体"/>
          <w:sz w:val="22"/>
          <w:szCs w:val="22"/>
        </w:rPr>
      </w:pPr>
      <w:r>
        <w:rPr>
          <w:rFonts w:hint="eastAsia" w:ascii="宋体" w:hAnsi="宋体" w:cs="宋体"/>
          <w:sz w:val="22"/>
          <w:szCs w:val="22"/>
        </w:rPr>
        <w:t>服务方案</w:t>
      </w:r>
    </w:p>
    <w:p>
      <w:pPr>
        <w:numPr>
          <w:ilvl w:val="0"/>
          <w:numId w:val="21"/>
        </w:numPr>
        <w:tabs>
          <w:tab w:val="left" w:pos="1276"/>
          <w:tab w:val="left" w:pos="1418"/>
        </w:tabs>
        <w:spacing w:line="360" w:lineRule="auto"/>
        <w:ind w:left="851" w:firstLine="5"/>
        <w:rPr>
          <w:rFonts w:ascii="宋体" w:hAnsi="宋体" w:cs="宋体"/>
          <w:sz w:val="22"/>
          <w:szCs w:val="22"/>
        </w:rPr>
      </w:pPr>
      <w:r>
        <w:rPr>
          <w:rFonts w:hint="eastAsia" w:ascii="宋体" w:hAnsi="宋体" w:cs="宋体"/>
          <w:sz w:val="22"/>
          <w:szCs w:val="22"/>
        </w:rPr>
        <w:t>用户需求偏离表</w:t>
      </w:r>
    </w:p>
    <w:p>
      <w:pPr>
        <w:numPr>
          <w:ilvl w:val="0"/>
          <w:numId w:val="21"/>
        </w:numPr>
        <w:tabs>
          <w:tab w:val="left" w:pos="1276"/>
          <w:tab w:val="left" w:pos="1418"/>
        </w:tabs>
        <w:spacing w:line="360" w:lineRule="auto"/>
        <w:ind w:left="851" w:firstLine="5"/>
        <w:rPr>
          <w:rFonts w:ascii="宋体" w:hAnsi="宋体" w:cs="宋体"/>
          <w:sz w:val="22"/>
          <w:szCs w:val="22"/>
        </w:rPr>
      </w:pPr>
      <w:r>
        <w:rPr>
          <w:rFonts w:hint="eastAsia" w:ascii="宋体" w:hAnsi="宋体" w:cs="宋体"/>
          <w:sz w:val="22"/>
          <w:szCs w:val="22"/>
        </w:rPr>
        <w:t>★号条款响应表</w:t>
      </w:r>
    </w:p>
    <w:p>
      <w:pPr>
        <w:numPr>
          <w:ilvl w:val="0"/>
          <w:numId w:val="21"/>
        </w:numPr>
        <w:tabs>
          <w:tab w:val="left" w:pos="1276"/>
          <w:tab w:val="left" w:pos="1418"/>
        </w:tabs>
        <w:spacing w:line="360" w:lineRule="auto"/>
        <w:ind w:left="851" w:firstLine="5"/>
        <w:rPr>
          <w:rFonts w:ascii="宋体" w:hAnsi="宋体" w:cs="宋体"/>
          <w:sz w:val="22"/>
          <w:szCs w:val="22"/>
        </w:rPr>
      </w:pPr>
      <w:r>
        <w:rPr>
          <w:rFonts w:hint="eastAsia" w:ascii="宋体" w:hAnsi="宋体" w:cs="宋体"/>
          <w:sz w:val="22"/>
          <w:szCs w:val="22"/>
        </w:rPr>
        <w:t>合同条款偏离表</w:t>
      </w:r>
    </w:p>
    <w:p>
      <w:pPr>
        <w:numPr>
          <w:ilvl w:val="0"/>
          <w:numId w:val="21"/>
        </w:numPr>
        <w:tabs>
          <w:tab w:val="left" w:pos="1276"/>
          <w:tab w:val="left" w:pos="1418"/>
        </w:tabs>
        <w:spacing w:line="360" w:lineRule="auto"/>
        <w:ind w:left="851" w:firstLine="5"/>
        <w:rPr>
          <w:rFonts w:ascii="宋体" w:hAnsi="宋体" w:cs="宋体"/>
          <w:sz w:val="22"/>
          <w:szCs w:val="22"/>
        </w:rPr>
      </w:pPr>
      <w:r>
        <w:rPr>
          <w:rFonts w:hint="eastAsia" w:ascii="宋体" w:hAnsi="宋体" w:cs="宋体"/>
          <w:sz w:val="22"/>
          <w:szCs w:val="22"/>
        </w:rPr>
        <w:t>技术条款偏离表</w:t>
      </w:r>
    </w:p>
    <w:p>
      <w:pPr>
        <w:numPr>
          <w:ilvl w:val="0"/>
          <w:numId w:val="21"/>
        </w:numPr>
        <w:tabs>
          <w:tab w:val="left" w:pos="1276"/>
          <w:tab w:val="left" w:pos="1418"/>
        </w:tabs>
        <w:spacing w:line="360" w:lineRule="auto"/>
        <w:ind w:left="851" w:firstLine="5"/>
        <w:rPr>
          <w:rFonts w:ascii="宋体" w:hAnsi="宋体" w:cs="宋体"/>
          <w:sz w:val="22"/>
          <w:szCs w:val="22"/>
        </w:rPr>
      </w:pPr>
      <w:r>
        <w:rPr>
          <w:rFonts w:hint="eastAsia" w:ascii="宋体" w:hAnsi="宋体" w:cs="宋体"/>
          <w:sz w:val="22"/>
          <w:szCs w:val="22"/>
        </w:rPr>
        <w:t>商务条款偏离表</w:t>
      </w:r>
    </w:p>
    <w:p>
      <w:pPr>
        <w:numPr>
          <w:ilvl w:val="0"/>
          <w:numId w:val="21"/>
        </w:numPr>
        <w:tabs>
          <w:tab w:val="left" w:pos="1276"/>
          <w:tab w:val="left" w:pos="1418"/>
        </w:tabs>
        <w:spacing w:line="360" w:lineRule="auto"/>
        <w:ind w:left="851" w:firstLine="5"/>
        <w:rPr>
          <w:rFonts w:ascii="宋体" w:hAnsi="宋体" w:cs="宋体"/>
          <w:sz w:val="22"/>
          <w:szCs w:val="22"/>
        </w:rPr>
      </w:pPr>
      <w:r>
        <w:rPr>
          <w:rFonts w:hint="eastAsia" w:ascii="宋体" w:hAnsi="宋体" w:cs="宋体"/>
          <w:sz w:val="22"/>
          <w:szCs w:val="22"/>
        </w:rPr>
        <w:t>投标保证金汇入情况说明</w:t>
      </w:r>
    </w:p>
    <w:p>
      <w:pPr>
        <w:numPr>
          <w:ilvl w:val="0"/>
          <w:numId w:val="21"/>
        </w:numPr>
        <w:tabs>
          <w:tab w:val="left" w:pos="1276"/>
          <w:tab w:val="left" w:pos="1418"/>
        </w:tabs>
        <w:spacing w:line="360" w:lineRule="auto"/>
        <w:ind w:left="851" w:firstLine="5"/>
        <w:rPr>
          <w:rFonts w:ascii="宋体" w:hAnsi="宋体" w:cs="宋体"/>
          <w:sz w:val="22"/>
          <w:szCs w:val="22"/>
        </w:rPr>
      </w:pPr>
      <w:r>
        <w:rPr>
          <w:rFonts w:hint="eastAsia" w:ascii="宋体" w:hAnsi="宋体" w:cs="宋体"/>
          <w:sz w:val="22"/>
          <w:szCs w:val="22"/>
        </w:rPr>
        <w:t>中标服务费承诺书</w:t>
      </w:r>
    </w:p>
    <w:p>
      <w:pPr>
        <w:numPr>
          <w:ilvl w:val="0"/>
          <w:numId w:val="21"/>
        </w:numPr>
        <w:tabs>
          <w:tab w:val="left" w:pos="1276"/>
          <w:tab w:val="left" w:pos="1418"/>
        </w:tabs>
        <w:spacing w:line="360" w:lineRule="auto"/>
        <w:ind w:left="851" w:firstLine="5"/>
        <w:rPr>
          <w:rFonts w:ascii="宋体" w:hAnsi="宋体" w:cs="宋体"/>
          <w:sz w:val="22"/>
          <w:szCs w:val="22"/>
        </w:rPr>
      </w:pPr>
      <w:r>
        <w:rPr>
          <w:rFonts w:hint="eastAsia" w:ascii="宋体" w:hAnsi="宋体" w:cs="宋体"/>
          <w:sz w:val="22"/>
          <w:szCs w:val="22"/>
        </w:rPr>
        <w:t>投标人认为需加以说明的其他内容</w:t>
      </w:r>
    </w:p>
    <w:p>
      <w:pPr>
        <w:pStyle w:val="46"/>
        <w:numPr>
          <w:ilvl w:val="0"/>
          <w:numId w:val="18"/>
        </w:numPr>
        <w:tabs>
          <w:tab w:val="left" w:pos="567"/>
        </w:tabs>
        <w:spacing w:line="360" w:lineRule="auto"/>
        <w:ind w:left="426" w:hanging="426" w:firstLineChars="0"/>
        <w:rPr>
          <w:rFonts w:ascii="宋体" w:hAnsi="宋体" w:cs="宋体"/>
          <w:b/>
          <w:bCs/>
          <w:sz w:val="22"/>
          <w:szCs w:val="22"/>
        </w:rPr>
      </w:pPr>
      <w:r>
        <w:rPr>
          <w:rFonts w:hint="eastAsia" w:ascii="宋体" w:hAnsi="宋体" w:cs="宋体"/>
          <w:b/>
          <w:bCs/>
          <w:sz w:val="22"/>
          <w:szCs w:val="22"/>
        </w:rPr>
        <w:t>投标人应如实详细提供第11.1款所要求的全部资料，价格部分文件必须单独装订。商务、技术部分文件不能出现投标价格，且必须编制目录及注明页码。</w:t>
      </w:r>
    </w:p>
    <w:p>
      <w:pPr>
        <w:pStyle w:val="46"/>
        <w:numPr>
          <w:ilvl w:val="0"/>
          <w:numId w:val="18"/>
        </w:numPr>
        <w:tabs>
          <w:tab w:val="left" w:pos="567"/>
        </w:tabs>
        <w:spacing w:line="360" w:lineRule="auto"/>
        <w:ind w:left="426" w:hanging="426" w:firstLineChars="0"/>
        <w:rPr>
          <w:rFonts w:ascii="宋体" w:hAnsi="宋体" w:cs="宋体"/>
          <w:sz w:val="22"/>
          <w:szCs w:val="22"/>
        </w:rPr>
      </w:pPr>
      <w:r>
        <w:rPr>
          <w:rFonts w:hint="eastAsia" w:ascii="宋体" w:hAnsi="宋体" w:cs="宋体"/>
          <w:sz w:val="22"/>
          <w:szCs w:val="22"/>
        </w:rPr>
        <w:t>投标人编制投标文件必须包括但不限于上述内容。</w:t>
      </w:r>
    </w:p>
    <w:p>
      <w:pPr>
        <w:pStyle w:val="46"/>
        <w:numPr>
          <w:ilvl w:val="0"/>
          <w:numId w:val="4"/>
        </w:numPr>
        <w:spacing w:line="360" w:lineRule="auto"/>
        <w:ind w:left="0" w:firstLine="0" w:firstLineChars="0"/>
        <w:outlineLvl w:val="2"/>
        <w:rPr>
          <w:rFonts w:ascii="宋体" w:hAnsi="宋体" w:cs="宋体"/>
          <w:b/>
          <w:bCs/>
          <w:sz w:val="22"/>
          <w:szCs w:val="22"/>
        </w:rPr>
      </w:pPr>
      <w:bookmarkStart w:id="151" w:name="_Toc19968"/>
      <w:bookmarkStart w:id="152" w:name="_Toc32744"/>
      <w:bookmarkStart w:id="153" w:name="_Toc4715"/>
      <w:bookmarkStart w:id="154" w:name="_Toc16170"/>
      <w:bookmarkStart w:id="155" w:name="_Toc12590"/>
      <w:bookmarkStart w:id="156" w:name="_Toc441844066"/>
      <w:bookmarkStart w:id="157" w:name="_Toc46502750"/>
      <w:r>
        <w:rPr>
          <w:rFonts w:hint="eastAsia" w:ascii="宋体" w:hAnsi="宋体" w:cs="宋体"/>
          <w:b/>
          <w:bCs/>
          <w:sz w:val="22"/>
          <w:szCs w:val="22"/>
        </w:rPr>
        <w:t>投标文件格式</w:t>
      </w:r>
      <w:bookmarkEnd w:id="151"/>
      <w:bookmarkEnd w:id="152"/>
      <w:bookmarkEnd w:id="153"/>
      <w:bookmarkEnd w:id="154"/>
      <w:bookmarkEnd w:id="155"/>
      <w:bookmarkEnd w:id="156"/>
      <w:bookmarkEnd w:id="157"/>
    </w:p>
    <w:p>
      <w:pPr>
        <w:pStyle w:val="47"/>
        <w:numPr>
          <w:ilvl w:val="0"/>
          <w:numId w:val="22"/>
        </w:numPr>
        <w:spacing w:line="360" w:lineRule="auto"/>
        <w:ind w:left="567" w:hanging="567" w:firstLineChars="0"/>
        <w:rPr>
          <w:rFonts w:ascii="宋体" w:eastAsia="宋体" w:cs="宋体"/>
          <w:kern w:val="0"/>
          <w:sz w:val="22"/>
          <w:szCs w:val="22"/>
          <w:lang w:val="zh-CN"/>
        </w:rPr>
      </w:pPr>
      <w:r>
        <w:rPr>
          <w:rFonts w:hint="eastAsia" w:ascii="宋体" w:eastAsia="宋体" w:cs="宋体"/>
          <w:kern w:val="0"/>
          <w:sz w:val="22"/>
          <w:szCs w:val="22"/>
          <w:lang w:val="zh-CN"/>
        </w:rPr>
        <w:t>投标人提交的投标文件应当使用招标文件所提供的投标文件全部格式（表格可以按同样格式扩展）。</w:t>
      </w:r>
    </w:p>
    <w:p>
      <w:pPr>
        <w:pStyle w:val="46"/>
        <w:numPr>
          <w:ilvl w:val="0"/>
          <w:numId w:val="4"/>
        </w:numPr>
        <w:spacing w:line="360" w:lineRule="auto"/>
        <w:ind w:left="0" w:firstLine="0" w:firstLineChars="0"/>
        <w:outlineLvl w:val="2"/>
        <w:rPr>
          <w:rFonts w:ascii="宋体" w:hAnsi="宋体" w:cs="宋体"/>
          <w:b/>
          <w:bCs/>
          <w:sz w:val="22"/>
          <w:szCs w:val="22"/>
        </w:rPr>
      </w:pPr>
      <w:bookmarkStart w:id="158" w:name="_Toc28061"/>
      <w:bookmarkStart w:id="159" w:name="_Toc46502751"/>
      <w:bookmarkStart w:id="160" w:name="_Toc22748"/>
      <w:bookmarkStart w:id="161" w:name="_Toc19"/>
      <w:bookmarkStart w:id="162" w:name="_Toc441844067"/>
      <w:bookmarkStart w:id="163" w:name="_Toc10972"/>
      <w:bookmarkStart w:id="164" w:name="_Toc10775"/>
      <w:r>
        <w:rPr>
          <w:rFonts w:hint="eastAsia" w:ascii="宋体" w:hAnsi="宋体" w:cs="宋体"/>
          <w:b/>
          <w:bCs/>
          <w:sz w:val="22"/>
          <w:szCs w:val="22"/>
        </w:rPr>
        <w:t>投标文件的份数和签署</w:t>
      </w:r>
      <w:bookmarkEnd w:id="158"/>
      <w:bookmarkEnd w:id="159"/>
      <w:bookmarkEnd w:id="160"/>
      <w:bookmarkEnd w:id="161"/>
      <w:bookmarkEnd w:id="162"/>
      <w:bookmarkEnd w:id="163"/>
      <w:bookmarkEnd w:id="164"/>
    </w:p>
    <w:p>
      <w:pPr>
        <w:pStyle w:val="47"/>
        <w:numPr>
          <w:ilvl w:val="0"/>
          <w:numId w:val="23"/>
        </w:numPr>
        <w:spacing w:line="360" w:lineRule="auto"/>
        <w:ind w:left="567" w:hanging="567" w:firstLineChars="0"/>
        <w:rPr>
          <w:rFonts w:ascii="宋体" w:eastAsia="宋体" w:cs="宋体"/>
          <w:b/>
          <w:kern w:val="0"/>
          <w:sz w:val="22"/>
          <w:szCs w:val="22"/>
          <w:lang w:val="zh-CN"/>
        </w:rPr>
      </w:pPr>
      <w:r>
        <w:rPr>
          <w:rFonts w:hint="eastAsia" w:ascii="宋体" w:eastAsia="宋体" w:cs="宋体"/>
          <w:b/>
          <w:kern w:val="0"/>
          <w:sz w:val="22"/>
          <w:szCs w:val="22"/>
          <w:lang w:val="zh-CN"/>
        </w:rPr>
        <w:t>投标人应分包组提交</w:t>
      </w:r>
      <w:r>
        <w:rPr>
          <w:rFonts w:hint="eastAsia" w:ascii="宋体" w:eastAsia="宋体" w:cs="宋体"/>
          <w:b/>
          <w:kern w:val="0"/>
          <w:sz w:val="22"/>
          <w:szCs w:val="22"/>
          <w:u w:val="single"/>
          <w:lang w:val="zh-CN"/>
        </w:rPr>
        <w:t xml:space="preserve"> 一 </w:t>
      </w:r>
      <w:r>
        <w:rPr>
          <w:rFonts w:hint="eastAsia" w:ascii="宋体" w:eastAsia="宋体" w:cs="宋体"/>
          <w:b/>
          <w:kern w:val="0"/>
          <w:sz w:val="22"/>
          <w:szCs w:val="22"/>
          <w:lang w:val="zh-CN"/>
        </w:rPr>
        <w:t>套正本（包括价格部分文件、商务部分文件和技术部分文件，商务与技术可装订成册也可分开装订）、</w:t>
      </w:r>
      <w:r>
        <w:rPr>
          <w:rFonts w:hint="eastAsia" w:ascii="宋体" w:eastAsia="宋体" w:cs="宋体"/>
          <w:b/>
          <w:kern w:val="0"/>
          <w:sz w:val="22"/>
          <w:szCs w:val="22"/>
          <w:u w:val="single"/>
          <w:lang w:val="zh-CN"/>
        </w:rPr>
        <w:t xml:space="preserve"> </w:t>
      </w:r>
      <w:r>
        <w:rPr>
          <w:rFonts w:hint="eastAsia" w:ascii="宋体" w:eastAsia="宋体" w:cs="宋体"/>
          <w:b/>
          <w:kern w:val="0"/>
          <w:sz w:val="22"/>
          <w:szCs w:val="22"/>
          <w:u w:val="single"/>
        </w:rPr>
        <w:t>柒</w:t>
      </w:r>
      <w:r>
        <w:rPr>
          <w:rFonts w:hint="eastAsia" w:ascii="宋体" w:eastAsia="宋体" w:cs="宋体"/>
          <w:b/>
          <w:kern w:val="0"/>
          <w:sz w:val="22"/>
          <w:szCs w:val="22"/>
          <w:u w:val="single"/>
          <w:lang w:val="zh-CN"/>
        </w:rPr>
        <w:t xml:space="preserve"> </w:t>
      </w:r>
      <w:r>
        <w:rPr>
          <w:rFonts w:hint="eastAsia" w:ascii="宋体" w:eastAsia="宋体" w:cs="宋体"/>
          <w:b/>
          <w:kern w:val="0"/>
          <w:sz w:val="22"/>
          <w:szCs w:val="22"/>
          <w:lang w:val="zh-CN"/>
        </w:rPr>
        <w:t>套副本（包括价格部分文件、商务部分文件和技术部分文件）和一份唱标信封的投标文件及投标文件电子版 1份，限光盘或U盘，不留密码，无病毒，内容应与投标人打印产生的纸质投标文件内容一致，如有不同，以纸质投标文件为准。</w:t>
      </w:r>
    </w:p>
    <w:p>
      <w:pPr>
        <w:pStyle w:val="47"/>
        <w:numPr>
          <w:ilvl w:val="0"/>
          <w:numId w:val="23"/>
        </w:numPr>
        <w:spacing w:line="360" w:lineRule="auto"/>
        <w:ind w:left="567" w:hanging="567" w:firstLineChars="0"/>
        <w:rPr>
          <w:rFonts w:ascii="宋体" w:eastAsia="宋体" w:cs="宋体"/>
          <w:kern w:val="0"/>
          <w:sz w:val="22"/>
          <w:szCs w:val="22"/>
          <w:lang w:val="zh-CN"/>
        </w:rPr>
      </w:pPr>
      <w:r>
        <w:rPr>
          <w:rFonts w:hint="eastAsia" w:ascii="宋体" w:eastAsia="宋体" w:cs="宋体"/>
          <w:kern w:val="0"/>
          <w:sz w:val="22"/>
          <w:szCs w:val="22"/>
          <w:lang w:val="zh-CN"/>
        </w:rPr>
        <w:t>投标文件正本均须用不褪色墨水书写或打印，投标文件副本的所有资料都可以用投标文件的正本复印，并应在投标文件封面的右上角清楚地注明“正本”或“副本”。正本和副本如有不一致之处，以正本为准。</w:t>
      </w:r>
    </w:p>
    <w:p>
      <w:pPr>
        <w:pStyle w:val="47"/>
        <w:numPr>
          <w:ilvl w:val="0"/>
          <w:numId w:val="23"/>
        </w:numPr>
        <w:spacing w:line="360" w:lineRule="auto"/>
        <w:ind w:left="567" w:hanging="567" w:firstLineChars="0"/>
        <w:rPr>
          <w:rFonts w:ascii="宋体" w:eastAsia="宋体" w:cs="宋体"/>
          <w:sz w:val="22"/>
          <w:szCs w:val="22"/>
        </w:rPr>
      </w:pPr>
      <w:r>
        <w:rPr>
          <w:rFonts w:hint="eastAsia" w:ascii="宋体" w:eastAsia="宋体" w:cs="宋体"/>
          <w:sz w:val="22"/>
          <w:szCs w:val="22"/>
        </w:rPr>
        <w:t>投标文件正本主要内容（招标文件格式中要求法定代表人或授权委托人签字的内容和要求加盖投标单位公章的内容）应由投标单位的法定代表人或授权委托人签字（或盖私章）和加盖投标人公章，否则该投标文件将被视为无效文件。</w:t>
      </w:r>
    </w:p>
    <w:p>
      <w:pPr>
        <w:pStyle w:val="47"/>
        <w:numPr>
          <w:ilvl w:val="0"/>
          <w:numId w:val="23"/>
        </w:numPr>
        <w:spacing w:line="360" w:lineRule="auto"/>
        <w:ind w:left="567" w:hanging="567" w:firstLineChars="0"/>
        <w:rPr>
          <w:rFonts w:ascii="宋体" w:eastAsia="宋体" w:cs="宋体"/>
          <w:sz w:val="22"/>
          <w:szCs w:val="22"/>
        </w:rPr>
      </w:pPr>
      <w:r>
        <w:rPr>
          <w:rFonts w:hint="eastAsia" w:ascii="宋体" w:eastAsia="宋体" w:cs="宋体"/>
          <w:sz w:val="22"/>
          <w:szCs w:val="22"/>
        </w:rPr>
        <w:t>除投标人对错误处修改外，全套投标文件应无涂改或行间插字和增删。如有修改，修改处应由投标人加盖投标人的公章或由授权委托人签字。</w:t>
      </w:r>
    </w:p>
    <w:p>
      <w:pPr>
        <w:pStyle w:val="47"/>
        <w:numPr>
          <w:ilvl w:val="0"/>
          <w:numId w:val="23"/>
        </w:numPr>
        <w:spacing w:line="360" w:lineRule="auto"/>
        <w:ind w:left="567" w:hanging="567" w:firstLineChars="0"/>
        <w:rPr>
          <w:rFonts w:ascii="宋体" w:eastAsia="宋体" w:cs="宋体"/>
          <w:sz w:val="22"/>
          <w:szCs w:val="22"/>
        </w:rPr>
      </w:pPr>
      <w:r>
        <w:rPr>
          <w:rFonts w:hint="eastAsia" w:ascii="宋体" w:eastAsia="宋体" w:cs="宋体"/>
          <w:sz w:val="22"/>
          <w:szCs w:val="22"/>
        </w:rPr>
        <w:t>传真或电传的投标文件将被拒绝。</w:t>
      </w:r>
    </w:p>
    <w:p>
      <w:pPr>
        <w:pStyle w:val="46"/>
        <w:numPr>
          <w:ilvl w:val="0"/>
          <w:numId w:val="4"/>
        </w:numPr>
        <w:spacing w:line="360" w:lineRule="auto"/>
        <w:ind w:left="0" w:firstLine="0" w:firstLineChars="0"/>
        <w:outlineLvl w:val="2"/>
        <w:rPr>
          <w:rFonts w:ascii="宋体" w:hAnsi="宋体" w:cs="宋体"/>
          <w:b/>
          <w:bCs/>
          <w:sz w:val="22"/>
          <w:szCs w:val="22"/>
        </w:rPr>
      </w:pPr>
      <w:bookmarkStart w:id="165" w:name="_Toc9407"/>
      <w:bookmarkStart w:id="166" w:name="_Toc46502752"/>
      <w:bookmarkStart w:id="167" w:name="_Toc17890"/>
      <w:bookmarkStart w:id="168" w:name="_Toc12858"/>
      <w:bookmarkStart w:id="169" w:name="_Toc3155"/>
      <w:bookmarkStart w:id="170" w:name="_Toc7268"/>
      <w:bookmarkStart w:id="171" w:name="_Toc441844068"/>
      <w:r>
        <w:rPr>
          <w:rFonts w:hint="eastAsia" w:ascii="宋体" w:hAnsi="宋体" w:cs="宋体"/>
          <w:b/>
          <w:bCs/>
          <w:sz w:val="22"/>
          <w:szCs w:val="22"/>
        </w:rPr>
        <w:t>投标报价和货币</w:t>
      </w:r>
      <w:bookmarkEnd w:id="165"/>
      <w:bookmarkEnd w:id="166"/>
      <w:bookmarkEnd w:id="167"/>
      <w:bookmarkEnd w:id="168"/>
      <w:bookmarkEnd w:id="169"/>
      <w:bookmarkEnd w:id="170"/>
      <w:bookmarkEnd w:id="171"/>
    </w:p>
    <w:p>
      <w:pPr>
        <w:pStyle w:val="82"/>
        <w:numPr>
          <w:ilvl w:val="0"/>
          <w:numId w:val="24"/>
        </w:numPr>
        <w:spacing w:line="360" w:lineRule="auto"/>
        <w:ind w:left="567" w:hanging="567" w:firstLineChars="0"/>
        <w:rPr>
          <w:rFonts w:ascii="宋体" w:hAnsi="宋体" w:cs="宋体"/>
          <w:sz w:val="22"/>
          <w:szCs w:val="22"/>
          <w:lang w:val="zh-CN"/>
        </w:rPr>
      </w:pPr>
      <w:r>
        <w:rPr>
          <w:rFonts w:hint="eastAsia" w:ascii="宋体" w:hAnsi="宋体" w:cs="宋体"/>
          <w:sz w:val="22"/>
          <w:szCs w:val="22"/>
          <w:lang w:val="zh-CN"/>
        </w:rPr>
        <w:t>投标人应按招标文件第二章中</w:t>
      </w:r>
      <w:r>
        <w:rPr>
          <w:rFonts w:hint="eastAsia" w:ascii="宋体" w:hAnsi="宋体" w:cs="宋体"/>
          <w:b/>
          <w:bCs/>
          <w:sz w:val="22"/>
          <w:szCs w:val="22"/>
          <w:u w:val="single"/>
          <w:lang w:val="zh-CN"/>
        </w:rPr>
        <w:t>投标人须知前附表</w:t>
      </w:r>
      <w:r>
        <w:rPr>
          <w:rFonts w:hint="eastAsia" w:ascii="宋体" w:hAnsi="宋体" w:cs="宋体"/>
          <w:sz w:val="22"/>
          <w:szCs w:val="22"/>
          <w:lang w:val="zh-CN"/>
        </w:rPr>
        <w:t>规定的报价要求报价。</w:t>
      </w:r>
    </w:p>
    <w:p>
      <w:pPr>
        <w:pStyle w:val="82"/>
        <w:numPr>
          <w:ilvl w:val="0"/>
          <w:numId w:val="24"/>
        </w:numPr>
        <w:spacing w:line="360" w:lineRule="auto"/>
        <w:ind w:left="567" w:hanging="567" w:firstLineChars="0"/>
        <w:rPr>
          <w:rFonts w:ascii="宋体" w:hAnsi="宋体" w:cs="宋体"/>
          <w:sz w:val="22"/>
          <w:szCs w:val="22"/>
        </w:rPr>
      </w:pPr>
      <w:r>
        <w:rPr>
          <w:rFonts w:hint="eastAsia" w:ascii="宋体" w:hAnsi="宋体" w:cs="宋体"/>
          <w:sz w:val="22"/>
          <w:szCs w:val="22"/>
          <w:lang w:val="zh-CN"/>
        </w:rPr>
        <w:t>投标人必须以人民币报价，以其它货币标价的投标将予以拒绝。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w:t>
      </w:r>
    </w:p>
    <w:p>
      <w:pPr>
        <w:pStyle w:val="82"/>
        <w:numPr>
          <w:ilvl w:val="0"/>
          <w:numId w:val="24"/>
        </w:numPr>
        <w:spacing w:line="360" w:lineRule="auto"/>
        <w:ind w:left="567" w:hanging="567" w:firstLineChars="0"/>
        <w:rPr>
          <w:rFonts w:ascii="宋体" w:hAnsi="宋体" w:cs="宋体"/>
          <w:sz w:val="22"/>
          <w:szCs w:val="22"/>
        </w:rPr>
      </w:pPr>
      <w:r>
        <w:rPr>
          <w:rFonts w:hint="eastAsia" w:ascii="宋体" w:hAnsi="宋体" w:cs="宋体"/>
          <w:sz w:val="22"/>
          <w:szCs w:val="22"/>
        </w:rPr>
        <w:t>投标人所报的投标价在合同执行期间是固定不变的，不得以任何理由予以变更。投标价</w:t>
      </w:r>
      <w:r>
        <w:rPr>
          <w:rFonts w:hint="eastAsia" w:ascii="宋体" w:hAnsi="宋体" w:cs="宋体"/>
          <w:sz w:val="22"/>
          <w:szCs w:val="22"/>
          <w:lang w:val="zh-CN"/>
        </w:rPr>
        <w:t>不是唯一的或不是固定不变</w:t>
      </w:r>
      <w:r>
        <w:rPr>
          <w:rFonts w:hint="eastAsia" w:ascii="宋体" w:hAnsi="宋体" w:cs="宋体"/>
          <w:sz w:val="22"/>
          <w:szCs w:val="22"/>
        </w:rPr>
        <w:t>的投标文件将作为非实质性响应投标而予以拒绝。</w:t>
      </w:r>
    </w:p>
    <w:p>
      <w:pPr>
        <w:pStyle w:val="82"/>
        <w:numPr>
          <w:ilvl w:val="0"/>
          <w:numId w:val="24"/>
        </w:numPr>
        <w:spacing w:line="360" w:lineRule="auto"/>
        <w:ind w:left="567" w:hanging="567" w:firstLineChars="0"/>
        <w:rPr>
          <w:rFonts w:ascii="宋体" w:hAnsi="宋体" w:cs="宋体"/>
          <w:sz w:val="22"/>
          <w:szCs w:val="22"/>
        </w:rPr>
      </w:pPr>
      <w:r>
        <w:rPr>
          <w:rFonts w:hint="eastAsia" w:ascii="宋体" w:hAnsi="宋体" w:cs="宋体"/>
          <w:sz w:val="22"/>
          <w:szCs w:val="22"/>
        </w:rPr>
        <w:t>国产的产品及其有关服务的报价应包括要向中华人民共和国政府缴纳的增值税和其他税。</w:t>
      </w:r>
    </w:p>
    <w:p>
      <w:pPr>
        <w:pStyle w:val="82"/>
        <w:numPr>
          <w:ilvl w:val="0"/>
          <w:numId w:val="24"/>
        </w:numPr>
        <w:spacing w:line="360" w:lineRule="auto"/>
        <w:ind w:left="567" w:hanging="567" w:firstLineChars="0"/>
        <w:rPr>
          <w:rFonts w:ascii="宋体" w:hAnsi="宋体" w:cs="宋体"/>
          <w:sz w:val="22"/>
          <w:szCs w:val="22"/>
        </w:rPr>
      </w:pPr>
      <w:r>
        <w:rPr>
          <w:rFonts w:hint="eastAsia" w:ascii="宋体" w:hAnsi="宋体" w:cs="宋体"/>
          <w:sz w:val="22"/>
          <w:szCs w:val="22"/>
        </w:rPr>
        <w:t>在中华人民共和国境内提供的进口产品及其有关服务的报价应包括要向中华人民共和国政府缴纳的关税、增值税和其他税。</w:t>
      </w:r>
    </w:p>
    <w:p>
      <w:pPr>
        <w:pStyle w:val="82"/>
        <w:numPr>
          <w:ilvl w:val="0"/>
          <w:numId w:val="24"/>
        </w:numPr>
        <w:spacing w:line="360" w:lineRule="auto"/>
        <w:ind w:left="567" w:hanging="567" w:firstLineChars="0"/>
        <w:rPr>
          <w:rFonts w:ascii="宋体" w:hAnsi="宋体" w:cs="宋体"/>
          <w:sz w:val="22"/>
          <w:szCs w:val="22"/>
        </w:rPr>
      </w:pPr>
      <w:r>
        <w:rPr>
          <w:rFonts w:hint="eastAsia" w:ascii="宋体" w:hAnsi="宋体" w:cs="宋体"/>
          <w:sz w:val="22"/>
          <w:szCs w:val="22"/>
        </w:rPr>
        <w:t>如果投标人对于招标文件或答疑文件中为满足技术要求中所提供的货物或服务有未报价或漏报、错报、缺报等情况，可以视其为投标人予以招标人的投标优惠报价，中标后不予调整。如果投标人不接受对其错误的更正，其投标将被拒绝。</w:t>
      </w:r>
    </w:p>
    <w:p>
      <w:pPr>
        <w:pStyle w:val="46"/>
        <w:numPr>
          <w:ilvl w:val="0"/>
          <w:numId w:val="4"/>
        </w:numPr>
        <w:spacing w:line="360" w:lineRule="auto"/>
        <w:ind w:left="0" w:firstLine="0" w:firstLineChars="0"/>
        <w:outlineLvl w:val="2"/>
        <w:rPr>
          <w:rFonts w:ascii="宋体" w:hAnsi="宋体" w:cs="宋体"/>
          <w:b/>
          <w:sz w:val="22"/>
          <w:szCs w:val="22"/>
        </w:rPr>
      </w:pPr>
      <w:bookmarkStart w:id="172" w:name="_Toc46502753"/>
      <w:bookmarkEnd w:id="172"/>
      <w:bookmarkStart w:id="173" w:name="_Toc521019318"/>
      <w:bookmarkEnd w:id="173"/>
      <w:bookmarkStart w:id="174" w:name="_Toc46502758"/>
      <w:bookmarkEnd w:id="174"/>
      <w:bookmarkStart w:id="175" w:name="_Toc46502754"/>
      <w:bookmarkEnd w:id="175"/>
      <w:bookmarkStart w:id="176" w:name="_Toc46502757"/>
      <w:bookmarkEnd w:id="176"/>
      <w:bookmarkStart w:id="177" w:name="_Toc46502756"/>
      <w:bookmarkEnd w:id="177"/>
      <w:bookmarkStart w:id="178" w:name="_Toc46502755"/>
      <w:bookmarkEnd w:id="178"/>
      <w:bookmarkStart w:id="179" w:name="_Toc46502759"/>
      <w:bookmarkStart w:id="180" w:name="_Toc22575"/>
      <w:bookmarkStart w:id="181" w:name="_Toc1048"/>
      <w:bookmarkStart w:id="182" w:name="_Toc441844070"/>
      <w:bookmarkStart w:id="183" w:name="_Toc26243"/>
      <w:bookmarkStart w:id="184" w:name="_Toc14562"/>
      <w:bookmarkStart w:id="185" w:name="_Toc26931"/>
      <w:r>
        <w:rPr>
          <w:rFonts w:hint="eastAsia" w:ascii="宋体" w:hAnsi="宋体" w:cs="宋体"/>
          <w:b/>
          <w:bCs/>
          <w:sz w:val="22"/>
          <w:szCs w:val="22"/>
        </w:rPr>
        <w:t>证明货物和服务的合格性和符合招标文件规定的文件</w:t>
      </w:r>
      <w:bookmarkEnd w:id="179"/>
      <w:bookmarkEnd w:id="180"/>
      <w:bookmarkEnd w:id="181"/>
      <w:bookmarkEnd w:id="182"/>
      <w:bookmarkEnd w:id="183"/>
      <w:bookmarkEnd w:id="184"/>
      <w:bookmarkEnd w:id="185"/>
    </w:p>
    <w:p>
      <w:pPr>
        <w:pStyle w:val="82"/>
        <w:numPr>
          <w:ilvl w:val="0"/>
          <w:numId w:val="25"/>
        </w:numPr>
        <w:spacing w:line="360" w:lineRule="auto"/>
        <w:ind w:firstLineChars="0"/>
        <w:rPr>
          <w:rFonts w:ascii="宋体" w:hAnsi="宋体" w:cs="宋体"/>
          <w:sz w:val="22"/>
          <w:szCs w:val="22"/>
          <w:lang w:val="zh-CN"/>
        </w:rPr>
      </w:pPr>
      <w:r>
        <w:rPr>
          <w:rFonts w:hint="eastAsia" w:ascii="宋体" w:hAnsi="宋体" w:cs="宋体"/>
          <w:sz w:val="22"/>
          <w:szCs w:val="22"/>
          <w:lang w:val="zh-CN"/>
        </w:rPr>
        <w:t>投标人应提交证明文件证明其拟供的合同项下的货物和服务的合格性符合招标文件规定。该证明文件作为投标文件的一部分。</w:t>
      </w:r>
    </w:p>
    <w:p>
      <w:pPr>
        <w:pStyle w:val="82"/>
        <w:numPr>
          <w:ilvl w:val="0"/>
          <w:numId w:val="25"/>
        </w:numPr>
        <w:spacing w:line="360" w:lineRule="auto"/>
        <w:ind w:firstLineChars="0"/>
        <w:rPr>
          <w:rFonts w:ascii="宋体" w:hAnsi="宋体" w:cs="宋体"/>
          <w:sz w:val="22"/>
          <w:szCs w:val="22"/>
          <w:lang w:val="zh-CN"/>
        </w:rPr>
      </w:pPr>
      <w:r>
        <w:rPr>
          <w:rFonts w:hint="eastAsia" w:ascii="宋体" w:hAnsi="宋体" w:cs="宋体"/>
          <w:sz w:val="22"/>
          <w:szCs w:val="22"/>
          <w:lang w:val="zh-CN"/>
        </w:rPr>
        <w:t>证明货物和服务与招标文件的要求相一致的文件，可以是文字资料、图纸和数据。</w:t>
      </w:r>
    </w:p>
    <w:p>
      <w:pPr>
        <w:pStyle w:val="82"/>
        <w:numPr>
          <w:ilvl w:val="0"/>
          <w:numId w:val="25"/>
        </w:numPr>
        <w:spacing w:line="360" w:lineRule="auto"/>
        <w:ind w:firstLineChars="0"/>
        <w:rPr>
          <w:rFonts w:ascii="宋体" w:hAnsi="宋体" w:cs="宋体"/>
          <w:sz w:val="22"/>
          <w:szCs w:val="22"/>
          <w:lang w:val="zh-CN"/>
        </w:rPr>
      </w:pPr>
      <w:r>
        <w:rPr>
          <w:rFonts w:hint="eastAsia" w:ascii="宋体" w:hAnsi="宋体" w:cs="宋体"/>
          <w:b/>
          <w:bCs/>
          <w:sz w:val="22"/>
          <w:szCs w:val="22"/>
          <w:lang w:val="zh-CN"/>
        </w:rPr>
        <w:t>为说明第15.2款的规定，投标人应注意本招标文件在《用户需求书》中对服务要求所说明只是概括性的，不能理解为所需要的全部服务的要求，投标人应按国家、行业相关技术标准、规范和以往的服务经验，合格优质的完成采购内容和包含的全部服务。凡标有“★”的地方均被视为重要的技术要求或商务要求。投标人要特别加以注意，必须对此回答并完全满足这些要求，否则若有一项带“★”的条款未响应或不满足，将按无效投标处理</w:t>
      </w:r>
      <w:r>
        <w:rPr>
          <w:rFonts w:hint="eastAsia" w:ascii="宋体" w:hAnsi="宋体" w:cs="宋体"/>
          <w:sz w:val="22"/>
          <w:szCs w:val="22"/>
          <w:lang w:val="zh-CN"/>
        </w:rPr>
        <w:t>。</w:t>
      </w:r>
    </w:p>
    <w:p>
      <w:pPr>
        <w:pStyle w:val="46"/>
        <w:numPr>
          <w:ilvl w:val="0"/>
          <w:numId w:val="4"/>
        </w:numPr>
        <w:spacing w:line="360" w:lineRule="auto"/>
        <w:ind w:left="0" w:firstLine="0" w:firstLineChars="0"/>
        <w:outlineLvl w:val="2"/>
        <w:rPr>
          <w:rFonts w:ascii="宋体" w:hAnsi="宋体" w:cs="宋体"/>
          <w:b/>
          <w:bCs/>
          <w:sz w:val="22"/>
          <w:szCs w:val="22"/>
        </w:rPr>
      </w:pPr>
      <w:bookmarkStart w:id="186" w:name="_Toc20121"/>
      <w:bookmarkStart w:id="187" w:name="_Toc9821"/>
      <w:bookmarkStart w:id="188" w:name="_Toc6090"/>
      <w:bookmarkStart w:id="189" w:name="_Toc30566"/>
      <w:bookmarkStart w:id="190" w:name="_Toc12973"/>
      <w:bookmarkStart w:id="191" w:name="_Toc441844071"/>
      <w:bookmarkStart w:id="192" w:name="_Toc46502760"/>
      <w:r>
        <w:rPr>
          <w:rFonts w:hint="eastAsia" w:ascii="宋体" w:hAnsi="宋体" w:cs="宋体"/>
          <w:b/>
          <w:bCs/>
          <w:sz w:val="22"/>
          <w:szCs w:val="22"/>
        </w:rPr>
        <w:t>投标保证金</w:t>
      </w:r>
      <w:bookmarkEnd w:id="186"/>
      <w:bookmarkEnd w:id="187"/>
      <w:bookmarkEnd w:id="188"/>
      <w:bookmarkEnd w:id="189"/>
      <w:bookmarkEnd w:id="190"/>
      <w:bookmarkEnd w:id="191"/>
      <w:bookmarkEnd w:id="192"/>
    </w:p>
    <w:p>
      <w:pPr>
        <w:pStyle w:val="82"/>
        <w:numPr>
          <w:ilvl w:val="0"/>
          <w:numId w:val="26"/>
        </w:numPr>
        <w:adjustRightInd w:val="0"/>
        <w:snapToGrid w:val="0"/>
        <w:spacing w:line="360" w:lineRule="auto"/>
        <w:ind w:left="567" w:hanging="567" w:firstLineChars="0"/>
        <w:jc w:val="left"/>
        <w:rPr>
          <w:rFonts w:ascii="宋体" w:hAnsi="宋体" w:cs="宋体"/>
          <w:kern w:val="0"/>
          <w:sz w:val="22"/>
          <w:szCs w:val="22"/>
        </w:rPr>
      </w:pPr>
      <w:r>
        <w:rPr>
          <w:rFonts w:hint="eastAsia" w:ascii="宋体" w:hAnsi="宋体" w:cs="宋体"/>
          <w:kern w:val="0"/>
          <w:sz w:val="22"/>
          <w:szCs w:val="22"/>
        </w:rPr>
        <w:t>投标人应向东莞市交通投资集团有限公司提交投标保证金，并作为其投标文件的一部分。</w:t>
      </w:r>
      <w:r>
        <w:rPr>
          <w:rFonts w:hint="eastAsia" w:ascii="宋体" w:hAnsi="宋体" w:cs="宋体"/>
          <w:sz w:val="22"/>
          <w:szCs w:val="22"/>
        </w:rPr>
        <w:t>投标保证金金额及账户信息：详</w:t>
      </w:r>
      <w:r>
        <w:rPr>
          <w:rFonts w:hint="eastAsia" w:ascii="宋体" w:hAnsi="宋体" w:cs="宋体"/>
          <w:sz w:val="22"/>
          <w:szCs w:val="22"/>
          <w:lang w:val="zh-CN"/>
        </w:rPr>
        <w:t>见</w:t>
      </w:r>
      <w:r>
        <w:rPr>
          <w:rFonts w:hint="eastAsia" w:ascii="宋体" w:hAnsi="宋体" w:cs="宋体"/>
          <w:kern w:val="0"/>
          <w:sz w:val="22"/>
          <w:szCs w:val="22"/>
          <w:lang w:val="zh-CN"/>
        </w:rPr>
        <w:t>《投标人须知前附表》</w:t>
      </w:r>
      <w:r>
        <w:rPr>
          <w:rFonts w:hint="eastAsia" w:ascii="宋体" w:hAnsi="宋体" w:cs="宋体"/>
          <w:sz w:val="22"/>
          <w:szCs w:val="22"/>
        </w:rPr>
        <w:t>。</w:t>
      </w:r>
    </w:p>
    <w:p>
      <w:pPr>
        <w:pStyle w:val="82"/>
        <w:numPr>
          <w:ilvl w:val="0"/>
          <w:numId w:val="26"/>
        </w:numPr>
        <w:adjustRightInd w:val="0"/>
        <w:snapToGrid w:val="0"/>
        <w:spacing w:line="360" w:lineRule="auto"/>
        <w:ind w:left="567" w:hanging="567" w:firstLineChars="0"/>
        <w:jc w:val="left"/>
        <w:rPr>
          <w:rFonts w:ascii="宋体" w:hAnsi="宋体"/>
          <w:kern w:val="0"/>
          <w:sz w:val="22"/>
          <w:szCs w:val="22"/>
        </w:rPr>
      </w:pPr>
      <w:r>
        <w:rPr>
          <w:rFonts w:ascii="宋体" w:hAnsi="宋体"/>
          <w:kern w:val="0"/>
          <w:sz w:val="22"/>
          <w:szCs w:val="22"/>
        </w:rPr>
        <w:t>投标人应按</w:t>
      </w:r>
      <w:r>
        <w:rPr>
          <w:rFonts w:hint="eastAsia" w:ascii="宋体" w:hAnsi="宋体"/>
          <w:kern w:val="0"/>
          <w:sz w:val="22"/>
          <w:szCs w:val="22"/>
        </w:rPr>
        <w:t>包号</w:t>
      </w:r>
      <w:r>
        <w:rPr>
          <w:rFonts w:ascii="宋体" w:hAnsi="宋体"/>
          <w:kern w:val="0"/>
          <w:sz w:val="22"/>
          <w:szCs w:val="22"/>
        </w:rPr>
        <w:t>提交投标保证金，投标人必须采用银行转账、电汇形式缴交，投标</w:t>
      </w:r>
      <w:r>
        <w:rPr>
          <w:rFonts w:hint="eastAsia" w:ascii="宋体" w:hAnsi="宋体"/>
          <w:kern w:val="0"/>
          <w:sz w:val="22"/>
          <w:szCs w:val="22"/>
        </w:rPr>
        <w:t>人</w:t>
      </w:r>
      <w:r>
        <w:rPr>
          <w:rFonts w:ascii="宋体" w:hAnsi="宋体"/>
          <w:kern w:val="0"/>
          <w:sz w:val="22"/>
          <w:szCs w:val="22"/>
        </w:rPr>
        <w:t>与交款人名称必须一致，非投标</w:t>
      </w:r>
      <w:r>
        <w:rPr>
          <w:rFonts w:hint="eastAsia" w:ascii="宋体" w:hAnsi="宋体"/>
          <w:kern w:val="0"/>
          <w:sz w:val="22"/>
          <w:szCs w:val="22"/>
        </w:rPr>
        <w:t>人</w:t>
      </w:r>
      <w:r>
        <w:rPr>
          <w:rFonts w:ascii="宋体" w:hAnsi="宋体"/>
          <w:kern w:val="0"/>
          <w:sz w:val="22"/>
          <w:szCs w:val="22"/>
        </w:rPr>
        <w:t>或以分公司或子公司缴纳的投标保证金无效。</w:t>
      </w:r>
    </w:p>
    <w:p>
      <w:pPr>
        <w:pStyle w:val="82"/>
        <w:numPr>
          <w:ilvl w:val="0"/>
          <w:numId w:val="26"/>
        </w:numPr>
        <w:adjustRightInd w:val="0"/>
        <w:snapToGrid w:val="0"/>
        <w:spacing w:line="360" w:lineRule="auto"/>
        <w:ind w:left="567" w:hanging="567" w:firstLineChars="0"/>
        <w:jc w:val="left"/>
        <w:rPr>
          <w:rFonts w:ascii="宋体" w:hAnsi="宋体"/>
          <w:snapToGrid w:val="0"/>
          <w:kern w:val="0"/>
          <w:sz w:val="22"/>
          <w:szCs w:val="22"/>
        </w:rPr>
      </w:pPr>
      <w:r>
        <w:rPr>
          <w:rFonts w:ascii="宋体" w:hAnsi="宋体"/>
          <w:snapToGrid w:val="0"/>
          <w:kern w:val="0"/>
          <w:sz w:val="22"/>
          <w:szCs w:val="22"/>
        </w:rPr>
        <w:t>投标保证金以银行划账形式提交，应符合下列规定：</w:t>
      </w:r>
    </w:p>
    <w:p>
      <w:pPr>
        <w:snapToGrid w:val="0"/>
        <w:spacing w:line="360" w:lineRule="auto"/>
        <w:ind w:left="525" w:leftChars="250" w:firstLine="110" w:firstLineChars="50"/>
        <w:rPr>
          <w:rFonts w:ascii="宋体" w:hAnsi="宋体"/>
          <w:sz w:val="22"/>
          <w:szCs w:val="22"/>
        </w:rPr>
      </w:pPr>
      <w:r>
        <w:rPr>
          <w:rFonts w:ascii="宋体" w:hAnsi="宋体"/>
          <w:sz w:val="22"/>
          <w:szCs w:val="22"/>
        </w:rPr>
        <w:t>投标保证金必须以银行转账、电汇方式提交。</w:t>
      </w:r>
    </w:p>
    <w:p>
      <w:pPr>
        <w:spacing w:line="360" w:lineRule="auto"/>
        <w:ind w:left="1075" w:leftChars="250" w:hanging="550" w:hangingChars="250"/>
        <w:rPr>
          <w:rFonts w:ascii="宋体" w:hAnsi="宋体"/>
          <w:sz w:val="22"/>
          <w:szCs w:val="22"/>
        </w:rPr>
      </w:pPr>
      <w:r>
        <w:rPr>
          <w:rFonts w:ascii="宋体" w:hAnsi="宋体"/>
          <w:sz w:val="22"/>
          <w:szCs w:val="22"/>
        </w:rPr>
        <w:t>（1）如项目出现分包情况的，投标人必须按所投子包分别提交投标保证金。</w:t>
      </w:r>
    </w:p>
    <w:p>
      <w:pPr>
        <w:spacing w:line="360" w:lineRule="auto"/>
        <w:ind w:left="1075" w:leftChars="250" w:hanging="550" w:hangingChars="250"/>
        <w:rPr>
          <w:rFonts w:ascii="宋体" w:hAnsi="宋体"/>
          <w:sz w:val="22"/>
          <w:szCs w:val="22"/>
        </w:rPr>
      </w:pPr>
      <w:r>
        <w:rPr>
          <w:rFonts w:ascii="宋体" w:hAnsi="宋体"/>
          <w:sz w:val="22"/>
          <w:szCs w:val="22"/>
        </w:rPr>
        <w:t>（2）</w:t>
      </w:r>
      <w:r>
        <w:rPr>
          <w:rFonts w:ascii="宋体" w:hAnsi="宋体"/>
          <w:b/>
          <w:sz w:val="22"/>
          <w:szCs w:val="22"/>
        </w:rPr>
        <w:t>采用银行转账、电汇方式提交的，保证金必须在</w:t>
      </w:r>
      <w:r>
        <w:rPr>
          <w:rFonts w:hint="eastAsia" w:ascii="宋体" w:hAnsi="宋体"/>
          <w:b/>
          <w:sz w:val="22"/>
          <w:szCs w:val="22"/>
        </w:rPr>
        <w:t>递交投标文件时间截止前</w:t>
      </w:r>
      <w:r>
        <w:rPr>
          <w:rFonts w:ascii="宋体" w:hAnsi="宋体"/>
          <w:b/>
          <w:sz w:val="22"/>
          <w:szCs w:val="22"/>
        </w:rPr>
        <w:t>，到达</w:t>
      </w:r>
      <w:r>
        <w:rPr>
          <w:rFonts w:hint="eastAsia" w:ascii="宋体" w:hAnsi="宋体"/>
          <w:b/>
          <w:sz w:val="22"/>
          <w:szCs w:val="22"/>
        </w:rPr>
        <w:t>招标</w:t>
      </w:r>
      <w:r>
        <w:rPr>
          <w:rFonts w:ascii="宋体" w:hAnsi="宋体"/>
          <w:b/>
          <w:sz w:val="22"/>
          <w:szCs w:val="22"/>
        </w:rPr>
        <w:t>人指定的账户，否则将不具备参加投标的资格</w:t>
      </w:r>
      <w:r>
        <w:rPr>
          <w:rFonts w:ascii="宋体" w:hAnsi="宋体"/>
          <w:sz w:val="22"/>
          <w:szCs w:val="22"/>
        </w:rPr>
        <w:t>。</w:t>
      </w:r>
    </w:p>
    <w:p>
      <w:pPr>
        <w:pStyle w:val="82"/>
        <w:numPr>
          <w:ilvl w:val="0"/>
          <w:numId w:val="26"/>
        </w:numPr>
        <w:adjustRightInd w:val="0"/>
        <w:snapToGrid w:val="0"/>
        <w:spacing w:line="360" w:lineRule="auto"/>
        <w:ind w:left="567" w:hanging="567" w:firstLineChars="0"/>
        <w:jc w:val="left"/>
        <w:rPr>
          <w:rFonts w:ascii="宋体" w:hAnsi="宋体"/>
          <w:sz w:val="22"/>
          <w:szCs w:val="22"/>
        </w:rPr>
      </w:pPr>
      <w:r>
        <w:rPr>
          <w:rFonts w:ascii="宋体" w:hAnsi="宋体"/>
          <w:sz w:val="22"/>
          <w:szCs w:val="22"/>
        </w:rPr>
        <w:t>凡没有根据本须知的规定提交投标保证金的投标，将被视为非响应性投标予以拒绝。</w:t>
      </w:r>
    </w:p>
    <w:p>
      <w:pPr>
        <w:pStyle w:val="82"/>
        <w:numPr>
          <w:ilvl w:val="0"/>
          <w:numId w:val="26"/>
        </w:numPr>
        <w:adjustRightInd w:val="0"/>
        <w:snapToGrid w:val="0"/>
        <w:spacing w:line="360" w:lineRule="auto"/>
        <w:ind w:left="567" w:hanging="567" w:firstLineChars="0"/>
        <w:jc w:val="left"/>
        <w:rPr>
          <w:rFonts w:ascii="宋体" w:hAnsi="宋体"/>
          <w:sz w:val="22"/>
          <w:szCs w:val="22"/>
        </w:rPr>
      </w:pPr>
      <w:r>
        <w:rPr>
          <w:rFonts w:ascii="宋体" w:hAnsi="宋体"/>
          <w:sz w:val="22"/>
          <w:szCs w:val="22"/>
        </w:rPr>
        <w:t>没中标的投标人，其投标保证金将在发出中标通知书五个工作日内办理退款手续（</w:t>
      </w:r>
      <w:r>
        <w:rPr>
          <w:rFonts w:hint="eastAsia" w:ascii="宋体" w:hAnsi="宋体"/>
          <w:sz w:val="22"/>
          <w:szCs w:val="22"/>
        </w:rPr>
        <w:t>退回原账户</w:t>
      </w:r>
      <w:r>
        <w:rPr>
          <w:rFonts w:ascii="宋体" w:hAnsi="宋体"/>
          <w:sz w:val="22"/>
          <w:szCs w:val="22"/>
        </w:rPr>
        <w:t>）。</w:t>
      </w:r>
    </w:p>
    <w:p>
      <w:pPr>
        <w:pStyle w:val="82"/>
        <w:numPr>
          <w:ilvl w:val="0"/>
          <w:numId w:val="26"/>
        </w:numPr>
        <w:adjustRightInd w:val="0"/>
        <w:snapToGrid w:val="0"/>
        <w:spacing w:line="360" w:lineRule="auto"/>
        <w:ind w:left="567" w:hanging="567" w:firstLineChars="0"/>
        <w:jc w:val="left"/>
        <w:rPr>
          <w:rFonts w:ascii="宋体" w:hAnsi="宋体"/>
          <w:sz w:val="22"/>
          <w:szCs w:val="22"/>
        </w:rPr>
      </w:pPr>
      <w:r>
        <w:rPr>
          <w:rFonts w:ascii="宋体" w:hAnsi="宋体"/>
          <w:sz w:val="22"/>
          <w:szCs w:val="22"/>
        </w:rPr>
        <w:t>中标人的投标保证金，在中标人按本须知第35条规定提交履约</w:t>
      </w:r>
      <w:r>
        <w:rPr>
          <w:rFonts w:hint="eastAsia" w:ascii="宋体" w:hAnsi="宋体"/>
          <w:sz w:val="22"/>
          <w:szCs w:val="22"/>
        </w:rPr>
        <w:t>担保</w:t>
      </w:r>
      <w:r>
        <w:rPr>
          <w:rFonts w:ascii="宋体" w:hAnsi="宋体"/>
          <w:sz w:val="22"/>
          <w:szCs w:val="22"/>
        </w:rPr>
        <w:t>后五个工作日内办理退款手续。</w:t>
      </w:r>
    </w:p>
    <w:p>
      <w:pPr>
        <w:pStyle w:val="82"/>
        <w:numPr>
          <w:ilvl w:val="0"/>
          <w:numId w:val="26"/>
        </w:numPr>
        <w:adjustRightInd w:val="0"/>
        <w:snapToGrid w:val="0"/>
        <w:spacing w:line="360" w:lineRule="auto"/>
        <w:ind w:left="567" w:hanging="567" w:firstLineChars="0"/>
        <w:jc w:val="left"/>
        <w:rPr>
          <w:rFonts w:ascii="宋体" w:hAnsi="宋体"/>
          <w:sz w:val="22"/>
          <w:szCs w:val="22"/>
        </w:rPr>
      </w:pPr>
      <w:r>
        <w:rPr>
          <w:rFonts w:ascii="宋体" w:hAnsi="宋体"/>
          <w:sz w:val="22"/>
          <w:szCs w:val="22"/>
        </w:rPr>
        <w:t>中标人在签订采购合同并按本须知第35条规定提交履约</w:t>
      </w:r>
      <w:r>
        <w:rPr>
          <w:rFonts w:hint="eastAsia" w:ascii="宋体" w:hAnsi="宋体"/>
          <w:sz w:val="22"/>
          <w:szCs w:val="22"/>
        </w:rPr>
        <w:t>担保</w:t>
      </w:r>
      <w:r>
        <w:rPr>
          <w:rFonts w:ascii="宋体" w:hAnsi="宋体"/>
          <w:sz w:val="22"/>
          <w:szCs w:val="22"/>
        </w:rPr>
        <w:t>后，携带履约</w:t>
      </w:r>
      <w:r>
        <w:rPr>
          <w:rFonts w:hint="eastAsia" w:ascii="宋体" w:hAnsi="宋体"/>
          <w:sz w:val="22"/>
          <w:szCs w:val="22"/>
        </w:rPr>
        <w:t>担保</w:t>
      </w:r>
      <w:r>
        <w:rPr>
          <w:rFonts w:ascii="宋体" w:hAnsi="宋体"/>
          <w:sz w:val="22"/>
          <w:szCs w:val="22"/>
        </w:rPr>
        <w:t>复印件（盖公章）一式五份和合同正本复印件，到</w:t>
      </w:r>
      <w:r>
        <w:rPr>
          <w:rFonts w:hint="eastAsia" w:ascii="宋体" w:hAnsi="宋体"/>
          <w:sz w:val="22"/>
          <w:szCs w:val="22"/>
        </w:rPr>
        <w:t>招标</w:t>
      </w:r>
      <w:r>
        <w:rPr>
          <w:rFonts w:ascii="宋体" w:hAnsi="宋体"/>
          <w:sz w:val="22"/>
          <w:szCs w:val="22"/>
        </w:rPr>
        <w:t>代理机构提出退投标保证金申请，经</w:t>
      </w:r>
      <w:r>
        <w:rPr>
          <w:rFonts w:hint="eastAsia" w:ascii="宋体" w:hAnsi="宋体"/>
          <w:sz w:val="22"/>
          <w:szCs w:val="22"/>
        </w:rPr>
        <w:t>招标人</w:t>
      </w:r>
      <w:r>
        <w:rPr>
          <w:rFonts w:ascii="宋体" w:hAnsi="宋体"/>
          <w:sz w:val="22"/>
          <w:szCs w:val="22"/>
        </w:rPr>
        <w:t>审核通过后再办理投标保证金退回手续。</w:t>
      </w:r>
    </w:p>
    <w:p>
      <w:pPr>
        <w:pStyle w:val="82"/>
        <w:numPr>
          <w:ilvl w:val="0"/>
          <w:numId w:val="26"/>
        </w:numPr>
        <w:adjustRightInd w:val="0"/>
        <w:snapToGrid w:val="0"/>
        <w:spacing w:line="360" w:lineRule="auto"/>
        <w:ind w:left="567" w:hanging="567" w:firstLineChars="0"/>
        <w:jc w:val="left"/>
        <w:rPr>
          <w:rFonts w:hAnsi="宋体"/>
          <w:b/>
          <w:bCs/>
          <w:szCs w:val="21"/>
        </w:rPr>
      </w:pPr>
      <w:r>
        <w:rPr>
          <w:rFonts w:ascii="宋体" w:hAnsi="宋体"/>
          <w:b/>
          <w:bCs/>
          <w:sz w:val="22"/>
          <w:szCs w:val="22"/>
        </w:rPr>
        <w:t>下列任何情况发生时，</w:t>
      </w:r>
      <w:r>
        <w:rPr>
          <w:rFonts w:hint="eastAsia" w:hAnsi="宋体"/>
          <w:b/>
          <w:sz w:val="22"/>
          <w:szCs w:val="22"/>
        </w:rPr>
        <w:t>经招标人同意后，招标代理机构在书面通知投标人（或中标人）后有权不予退还投标保证金：</w:t>
      </w:r>
    </w:p>
    <w:p>
      <w:pPr>
        <w:spacing w:line="360" w:lineRule="auto"/>
        <w:ind w:left="1075" w:leftChars="250" w:hanging="550" w:hangingChars="250"/>
        <w:rPr>
          <w:rFonts w:ascii="宋体" w:hAnsi="宋体"/>
          <w:sz w:val="22"/>
          <w:szCs w:val="22"/>
        </w:rPr>
      </w:pPr>
      <w:r>
        <w:rPr>
          <w:rFonts w:ascii="宋体" w:hAnsi="宋体"/>
          <w:sz w:val="22"/>
          <w:szCs w:val="22"/>
        </w:rPr>
        <w:t>（1）</w:t>
      </w:r>
      <w:r>
        <w:rPr>
          <w:rFonts w:hint="eastAsia" w:hAnsi="宋体"/>
          <w:sz w:val="22"/>
          <w:szCs w:val="22"/>
        </w:rPr>
        <w:t>投标人在规定的投标截止时间后至投标有效期满前撤销或修改其投标文件</w:t>
      </w:r>
      <w:r>
        <w:rPr>
          <w:rFonts w:ascii="宋体" w:hAnsi="宋体"/>
          <w:sz w:val="22"/>
          <w:szCs w:val="22"/>
        </w:rPr>
        <w:t>；</w:t>
      </w:r>
    </w:p>
    <w:p>
      <w:pPr>
        <w:spacing w:line="360" w:lineRule="auto"/>
        <w:ind w:left="1075" w:leftChars="250" w:hanging="550" w:hangingChars="250"/>
        <w:rPr>
          <w:rFonts w:ascii="宋体" w:hAnsi="宋体"/>
          <w:sz w:val="22"/>
          <w:szCs w:val="22"/>
        </w:rPr>
      </w:pPr>
      <w:r>
        <w:rPr>
          <w:rFonts w:ascii="宋体" w:hAnsi="宋体"/>
          <w:sz w:val="22"/>
          <w:szCs w:val="22"/>
        </w:rPr>
        <w:t>（2）</w:t>
      </w:r>
      <w:r>
        <w:rPr>
          <w:rFonts w:hint="eastAsia" w:hAnsi="宋体"/>
          <w:sz w:val="22"/>
          <w:szCs w:val="22"/>
        </w:rPr>
        <w:t>中标人未能在规定期限内提交履约担保</w:t>
      </w:r>
      <w:r>
        <w:rPr>
          <w:rFonts w:ascii="宋体" w:hAnsi="宋体"/>
          <w:sz w:val="22"/>
          <w:szCs w:val="22"/>
        </w:rPr>
        <w:t>；</w:t>
      </w:r>
    </w:p>
    <w:p>
      <w:pPr>
        <w:spacing w:line="360" w:lineRule="auto"/>
        <w:ind w:left="1075" w:leftChars="250" w:hanging="550" w:hangingChars="250"/>
        <w:rPr>
          <w:rFonts w:ascii="宋体" w:hAnsi="宋体"/>
          <w:sz w:val="22"/>
          <w:szCs w:val="22"/>
        </w:rPr>
      </w:pPr>
      <w:r>
        <w:rPr>
          <w:rFonts w:ascii="宋体" w:hAnsi="宋体"/>
          <w:sz w:val="22"/>
          <w:szCs w:val="22"/>
        </w:rPr>
        <w:t>（3）中标人在规定期限内未能根据本须知第36条规定签订合同；</w:t>
      </w:r>
    </w:p>
    <w:p>
      <w:pPr>
        <w:spacing w:line="360" w:lineRule="auto"/>
        <w:ind w:left="1075" w:leftChars="250" w:hanging="550" w:hangingChars="250"/>
        <w:rPr>
          <w:rFonts w:ascii="宋体" w:hAnsi="宋体"/>
          <w:bCs/>
          <w:sz w:val="22"/>
          <w:szCs w:val="22"/>
        </w:rPr>
      </w:pPr>
      <w:r>
        <w:rPr>
          <w:rFonts w:ascii="宋体" w:hAnsi="宋体"/>
          <w:bCs/>
          <w:sz w:val="22"/>
          <w:szCs w:val="22"/>
        </w:rPr>
        <w:t>（4）</w:t>
      </w:r>
      <w:r>
        <w:rPr>
          <w:rFonts w:hAnsi="宋体" w:cs="Arial"/>
          <w:sz w:val="22"/>
          <w:szCs w:val="22"/>
        </w:rPr>
        <w:t>提供虚假</w:t>
      </w:r>
      <w:r>
        <w:rPr>
          <w:rFonts w:hint="eastAsia" w:hAnsi="宋体" w:cs="Arial"/>
          <w:sz w:val="22"/>
          <w:szCs w:val="22"/>
        </w:rPr>
        <w:t>投标</w:t>
      </w:r>
      <w:r>
        <w:rPr>
          <w:rFonts w:hAnsi="宋体" w:cs="Arial"/>
          <w:sz w:val="22"/>
          <w:szCs w:val="22"/>
        </w:rPr>
        <w:t>文件或虚假补充文件的</w:t>
      </w:r>
      <w:r>
        <w:rPr>
          <w:rFonts w:hint="eastAsia" w:hAnsi="宋体" w:cs="Arial"/>
          <w:sz w:val="22"/>
          <w:szCs w:val="22"/>
        </w:rPr>
        <w:t>，或</w:t>
      </w:r>
      <w:r>
        <w:rPr>
          <w:rFonts w:hint="eastAsia" w:hAnsi="宋体"/>
          <w:sz w:val="22"/>
          <w:szCs w:val="22"/>
        </w:rPr>
        <w:t>违反《中华人民共和国招标投标法》等有关法律、法规、规章及招标投标相关规定的行为。</w:t>
      </w:r>
    </w:p>
    <w:p>
      <w:pPr>
        <w:pStyle w:val="46"/>
        <w:numPr>
          <w:ilvl w:val="0"/>
          <w:numId w:val="4"/>
        </w:numPr>
        <w:spacing w:line="360" w:lineRule="auto"/>
        <w:ind w:left="0" w:firstLine="0" w:firstLineChars="0"/>
        <w:outlineLvl w:val="2"/>
        <w:rPr>
          <w:rFonts w:ascii="宋体" w:hAnsi="宋体"/>
          <w:b/>
          <w:bCs/>
          <w:sz w:val="22"/>
          <w:szCs w:val="22"/>
        </w:rPr>
      </w:pPr>
      <w:bookmarkStart w:id="193" w:name="_Toc30031"/>
      <w:bookmarkStart w:id="194" w:name="_Toc30487"/>
      <w:bookmarkStart w:id="195" w:name="_Toc25331"/>
      <w:bookmarkStart w:id="196" w:name="_Toc441844072"/>
      <w:bookmarkStart w:id="197" w:name="_Toc11185"/>
      <w:bookmarkStart w:id="198" w:name="_Toc23822"/>
      <w:bookmarkStart w:id="199" w:name="_Toc46502761"/>
      <w:r>
        <w:rPr>
          <w:rFonts w:ascii="宋体" w:hAnsi="宋体"/>
          <w:b/>
          <w:bCs/>
          <w:sz w:val="22"/>
          <w:szCs w:val="22"/>
        </w:rPr>
        <w:t>投标有效期</w:t>
      </w:r>
      <w:bookmarkEnd w:id="193"/>
      <w:bookmarkEnd w:id="194"/>
      <w:bookmarkEnd w:id="195"/>
      <w:bookmarkEnd w:id="196"/>
      <w:bookmarkEnd w:id="197"/>
      <w:bookmarkEnd w:id="198"/>
      <w:bookmarkEnd w:id="199"/>
    </w:p>
    <w:p>
      <w:pPr>
        <w:pStyle w:val="47"/>
        <w:numPr>
          <w:ilvl w:val="0"/>
          <w:numId w:val="27"/>
        </w:numPr>
        <w:tabs>
          <w:tab w:val="left" w:pos="142"/>
        </w:tabs>
        <w:spacing w:line="360" w:lineRule="auto"/>
        <w:ind w:left="567" w:hanging="567" w:firstLineChars="0"/>
        <w:rPr>
          <w:rFonts w:ascii="宋体" w:eastAsia="宋体"/>
          <w:b/>
          <w:sz w:val="22"/>
          <w:szCs w:val="22"/>
        </w:rPr>
      </w:pPr>
      <w:r>
        <w:rPr>
          <w:rFonts w:ascii="宋体" w:eastAsia="宋体"/>
          <w:sz w:val="22"/>
          <w:szCs w:val="22"/>
        </w:rPr>
        <w:t>投标文件应根据投标人须知的规定在投标截止时间后的</w:t>
      </w:r>
      <w:r>
        <w:rPr>
          <w:rFonts w:hint="eastAsia" w:ascii="宋体" w:eastAsia="宋体"/>
          <w:sz w:val="22"/>
          <w:szCs w:val="22"/>
        </w:rPr>
        <w:t>120</w:t>
      </w:r>
      <w:r>
        <w:rPr>
          <w:rFonts w:ascii="宋体" w:eastAsia="宋体"/>
          <w:sz w:val="22"/>
          <w:szCs w:val="22"/>
        </w:rPr>
        <w:t>天内保持有效。</w:t>
      </w:r>
      <w:r>
        <w:rPr>
          <w:rFonts w:ascii="宋体" w:eastAsia="宋体"/>
          <w:b/>
          <w:sz w:val="22"/>
          <w:szCs w:val="22"/>
        </w:rPr>
        <w:t>投标有效期比规定期限短的将被视为非实质性响应标而予以拒绝。</w:t>
      </w:r>
    </w:p>
    <w:p>
      <w:pPr>
        <w:pStyle w:val="47"/>
        <w:numPr>
          <w:ilvl w:val="0"/>
          <w:numId w:val="27"/>
        </w:numPr>
        <w:tabs>
          <w:tab w:val="left" w:pos="142"/>
        </w:tabs>
        <w:spacing w:line="360" w:lineRule="auto"/>
        <w:ind w:left="567" w:hanging="567" w:firstLineChars="0"/>
        <w:rPr>
          <w:rFonts w:ascii="宋体"/>
          <w:bCs/>
          <w:sz w:val="22"/>
          <w:szCs w:val="22"/>
        </w:rPr>
      </w:pPr>
      <w:r>
        <w:rPr>
          <w:rFonts w:ascii="宋体" w:eastAsia="宋体"/>
          <w:sz w:val="22"/>
          <w:szCs w:val="22"/>
        </w:rPr>
        <w:t>特殊情况下，在原有投标有效期截止之前，</w:t>
      </w:r>
      <w:r>
        <w:rPr>
          <w:rFonts w:hint="eastAsia" w:ascii="宋体" w:eastAsia="宋体"/>
          <w:sz w:val="22"/>
          <w:szCs w:val="22"/>
        </w:rPr>
        <w:t>招标</w:t>
      </w:r>
      <w:r>
        <w:rPr>
          <w:rFonts w:ascii="宋体" w:eastAsia="宋体"/>
          <w:sz w:val="22"/>
          <w:szCs w:val="22"/>
        </w:rPr>
        <w:t>代理机构可要求投标人同意延长投标有效期。这种要求与答复均应以书面形式提交。投标人可拒绝</w:t>
      </w:r>
      <w:r>
        <w:rPr>
          <w:rFonts w:hint="eastAsia" w:ascii="宋体" w:eastAsia="宋体"/>
          <w:sz w:val="22"/>
          <w:szCs w:val="22"/>
        </w:rPr>
        <w:t>招标</w:t>
      </w:r>
      <w:r>
        <w:rPr>
          <w:rFonts w:ascii="宋体" w:eastAsia="宋体"/>
          <w:sz w:val="22"/>
          <w:szCs w:val="22"/>
        </w:rPr>
        <w:t>代理机构的这种要求，其投标保证金将不会被</w:t>
      </w:r>
      <w:r>
        <w:rPr>
          <w:rFonts w:hint="eastAsia" w:ascii="宋体" w:eastAsia="宋体"/>
          <w:sz w:val="22"/>
          <w:szCs w:val="22"/>
        </w:rPr>
        <w:t>不予退还</w:t>
      </w:r>
      <w:r>
        <w:rPr>
          <w:rFonts w:ascii="宋体" w:eastAsia="宋体"/>
          <w:sz w:val="22"/>
          <w:szCs w:val="22"/>
        </w:rPr>
        <w:t>。接受投标有效期延长的投标人将不会被要求和允许修正其投标文件，而只会被要求相应地延长其投标保证金的有效期。在这种情况下，根据投标人须知有关投标保证金的退还和</w:t>
      </w:r>
      <w:r>
        <w:rPr>
          <w:rFonts w:hint="eastAsia" w:ascii="宋体" w:eastAsia="宋体"/>
          <w:sz w:val="22"/>
          <w:szCs w:val="22"/>
        </w:rPr>
        <w:t>不予退还</w:t>
      </w:r>
      <w:r>
        <w:rPr>
          <w:rFonts w:ascii="宋体" w:eastAsia="宋体"/>
          <w:sz w:val="22"/>
          <w:szCs w:val="22"/>
        </w:rPr>
        <w:t>的规定将在延长了的有效期内继续有效。</w:t>
      </w:r>
    </w:p>
    <w:p>
      <w:pPr>
        <w:pStyle w:val="4"/>
        <w:tabs>
          <w:tab w:val="left" w:pos="142"/>
          <w:tab w:val="clear" w:pos="1440"/>
        </w:tabs>
        <w:ind w:left="0" w:firstLine="0"/>
        <w:rPr>
          <w:rFonts w:ascii="宋体" w:hAnsi="宋体" w:eastAsia="宋体"/>
          <w:sz w:val="22"/>
          <w:szCs w:val="22"/>
          <w:lang w:val="zh-CN"/>
        </w:rPr>
      </w:pPr>
      <w:bookmarkStart w:id="200" w:name="_Toc1327"/>
      <w:bookmarkStart w:id="201" w:name="_Toc441844073"/>
      <w:bookmarkStart w:id="202" w:name="_Toc46502762"/>
      <w:bookmarkStart w:id="203" w:name="_Toc24410"/>
      <w:bookmarkStart w:id="204" w:name="_Toc25857"/>
      <w:bookmarkStart w:id="205" w:name="_Toc611"/>
      <w:bookmarkStart w:id="206" w:name="_Toc12007"/>
      <w:bookmarkStart w:id="207" w:name="_Toc396137236"/>
      <w:bookmarkStart w:id="208" w:name="_Toc425348137"/>
      <w:r>
        <w:rPr>
          <w:rFonts w:ascii="宋体" w:hAnsi="宋体" w:eastAsia="宋体"/>
          <w:sz w:val="22"/>
          <w:szCs w:val="22"/>
          <w:lang w:val="zh-CN"/>
        </w:rPr>
        <w:t>（四）投标文件的递交</w:t>
      </w:r>
      <w:bookmarkEnd w:id="200"/>
      <w:bookmarkEnd w:id="201"/>
      <w:bookmarkEnd w:id="202"/>
      <w:bookmarkEnd w:id="203"/>
      <w:bookmarkEnd w:id="204"/>
      <w:bookmarkEnd w:id="205"/>
      <w:bookmarkEnd w:id="206"/>
      <w:bookmarkEnd w:id="207"/>
      <w:bookmarkEnd w:id="208"/>
    </w:p>
    <w:p>
      <w:pPr>
        <w:pStyle w:val="46"/>
        <w:numPr>
          <w:ilvl w:val="0"/>
          <w:numId w:val="4"/>
        </w:numPr>
        <w:spacing w:line="360" w:lineRule="auto"/>
        <w:ind w:left="0" w:firstLine="0" w:firstLineChars="0"/>
        <w:outlineLvl w:val="2"/>
        <w:rPr>
          <w:rFonts w:ascii="宋体" w:hAnsi="宋体"/>
          <w:b/>
          <w:bCs/>
          <w:sz w:val="22"/>
          <w:szCs w:val="22"/>
        </w:rPr>
      </w:pPr>
      <w:bookmarkStart w:id="209" w:name="_Toc46502763"/>
      <w:bookmarkStart w:id="210" w:name="_Toc2326"/>
      <w:bookmarkStart w:id="211" w:name="_Toc23393"/>
      <w:bookmarkStart w:id="212" w:name="_Toc13001"/>
      <w:bookmarkStart w:id="213" w:name="_Toc441844074"/>
      <w:bookmarkStart w:id="214" w:name="_Toc12945"/>
      <w:bookmarkStart w:id="215" w:name="_Toc4452"/>
      <w:r>
        <w:rPr>
          <w:rFonts w:ascii="宋体" w:hAnsi="宋体"/>
          <w:b/>
          <w:bCs/>
          <w:sz w:val="22"/>
          <w:szCs w:val="22"/>
        </w:rPr>
        <w:t>投标文件的装订、密封和标记</w:t>
      </w:r>
      <w:bookmarkEnd w:id="209"/>
      <w:bookmarkEnd w:id="210"/>
      <w:bookmarkEnd w:id="211"/>
      <w:bookmarkEnd w:id="212"/>
      <w:bookmarkEnd w:id="213"/>
      <w:bookmarkEnd w:id="214"/>
      <w:bookmarkEnd w:id="215"/>
    </w:p>
    <w:p>
      <w:pPr>
        <w:pStyle w:val="82"/>
        <w:numPr>
          <w:ilvl w:val="0"/>
          <w:numId w:val="28"/>
        </w:numPr>
        <w:spacing w:line="360" w:lineRule="auto"/>
        <w:ind w:left="567" w:hanging="567" w:firstLineChars="0"/>
        <w:rPr>
          <w:rFonts w:ascii="宋体" w:hAnsi="宋体"/>
          <w:b/>
          <w:sz w:val="22"/>
          <w:szCs w:val="22"/>
          <w:em w:val="dot"/>
        </w:rPr>
      </w:pPr>
      <w:r>
        <w:rPr>
          <w:rFonts w:hint="eastAsia" w:ascii="宋体" w:hAnsi="宋体"/>
          <w:b/>
          <w:sz w:val="22"/>
          <w:szCs w:val="22"/>
          <w:em w:val="dot"/>
        </w:rPr>
        <w:t>投标文件的装订要求。投标文件的商务技术文件装订方式统一要求采用无线胶装，不得采用打孔胶条装订、线装装订方式。无线胶装样式要求见招标文件无线胶装样式。投标文件中价格文件须单独装订，出现掉页或漏页的由投标人自己承担。</w:t>
      </w:r>
    </w:p>
    <w:p>
      <w:pPr>
        <w:pStyle w:val="82"/>
        <w:numPr>
          <w:ilvl w:val="0"/>
          <w:numId w:val="28"/>
        </w:numPr>
        <w:spacing w:line="360" w:lineRule="auto"/>
        <w:ind w:left="567" w:hanging="567" w:firstLineChars="0"/>
        <w:rPr>
          <w:rFonts w:ascii="宋体" w:hAnsi="宋体"/>
          <w:sz w:val="22"/>
          <w:szCs w:val="22"/>
        </w:rPr>
      </w:pPr>
      <w:r>
        <w:rPr>
          <w:rFonts w:ascii="宋体" w:hAnsi="宋体"/>
          <w:sz w:val="22"/>
          <w:szCs w:val="22"/>
        </w:rPr>
        <w:t>为方便开标唱标，</w:t>
      </w:r>
      <w:r>
        <w:rPr>
          <w:rFonts w:hint="eastAsia" w:ascii="宋体" w:hAnsi="宋体" w:cs="宋体"/>
          <w:b/>
          <w:sz w:val="22"/>
          <w:szCs w:val="22"/>
          <w:em w:val="dot"/>
        </w:rPr>
        <w:t>投标人应按以下要求准备投标文件（参投多个子包的投标人每个子包分别递交投标文件）：</w:t>
      </w:r>
    </w:p>
    <w:tbl>
      <w:tblPr>
        <w:tblStyle w:val="3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1"/>
        <w:gridCol w:w="1688"/>
        <w:gridCol w:w="2309"/>
        <w:gridCol w:w="4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52" w:type="pct"/>
            <w:vAlign w:val="center"/>
          </w:tcPr>
          <w:p>
            <w:pPr>
              <w:spacing w:line="360" w:lineRule="auto"/>
              <w:jc w:val="center"/>
              <w:rPr>
                <w:rFonts w:ascii="宋体" w:hAnsi="宋体" w:cs="宋体"/>
                <w:sz w:val="22"/>
                <w:szCs w:val="22"/>
              </w:rPr>
            </w:pPr>
            <w:r>
              <w:rPr>
                <w:rFonts w:hint="eastAsia" w:ascii="宋体" w:hAnsi="宋体" w:cs="宋体"/>
                <w:sz w:val="22"/>
                <w:szCs w:val="22"/>
              </w:rPr>
              <w:t>序号</w:t>
            </w:r>
          </w:p>
        </w:tc>
        <w:tc>
          <w:tcPr>
            <w:tcW w:w="899" w:type="pct"/>
            <w:vAlign w:val="center"/>
          </w:tcPr>
          <w:p>
            <w:pPr>
              <w:spacing w:line="360" w:lineRule="auto"/>
              <w:jc w:val="center"/>
              <w:rPr>
                <w:rFonts w:ascii="宋体" w:hAnsi="宋体" w:cs="宋体"/>
                <w:sz w:val="22"/>
                <w:szCs w:val="22"/>
              </w:rPr>
            </w:pPr>
            <w:r>
              <w:rPr>
                <w:rFonts w:hint="eastAsia" w:ascii="宋体" w:hAnsi="宋体" w:cs="宋体"/>
                <w:sz w:val="22"/>
                <w:szCs w:val="22"/>
              </w:rPr>
              <w:t>投标文件名称</w:t>
            </w:r>
          </w:p>
        </w:tc>
        <w:tc>
          <w:tcPr>
            <w:tcW w:w="1230" w:type="pct"/>
            <w:vAlign w:val="center"/>
          </w:tcPr>
          <w:p>
            <w:pPr>
              <w:spacing w:line="360" w:lineRule="auto"/>
              <w:jc w:val="center"/>
              <w:rPr>
                <w:rFonts w:ascii="宋体" w:hAnsi="宋体" w:cs="宋体"/>
                <w:sz w:val="22"/>
                <w:szCs w:val="22"/>
              </w:rPr>
            </w:pPr>
            <w:r>
              <w:rPr>
                <w:rFonts w:hint="eastAsia" w:ascii="宋体" w:hAnsi="宋体" w:cs="宋体"/>
                <w:sz w:val="22"/>
                <w:szCs w:val="22"/>
              </w:rPr>
              <w:t>装订</w:t>
            </w:r>
          </w:p>
        </w:tc>
        <w:tc>
          <w:tcPr>
            <w:tcW w:w="2441" w:type="pct"/>
            <w:vAlign w:val="center"/>
          </w:tcPr>
          <w:p>
            <w:pPr>
              <w:spacing w:line="360" w:lineRule="auto"/>
              <w:jc w:val="center"/>
              <w:rPr>
                <w:rFonts w:ascii="宋体" w:hAnsi="宋体" w:cs="宋体"/>
                <w:sz w:val="22"/>
                <w:szCs w:val="22"/>
              </w:rPr>
            </w:pPr>
            <w:r>
              <w:rPr>
                <w:rFonts w:hint="eastAsia" w:ascii="宋体" w:hAnsi="宋体" w:cs="宋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2" w:type="pct"/>
            <w:vMerge w:val="restart"/>
            <w:vAlign w:val="center"/>
          </w:tcPr>
          <w:p>
            <w:pPr>
              <w:jc w:val="center"/>
              <w:rPr>
                <w:rFonts w:ascii="宋体" w:hAnsi="宋体" w:cs="宋体"/>
                <w:sz w:val="22"/>
                <w:szCs w:val="22"/>
              </w:rPr>
            </w:pPr>
            <w:r>
              <w:rPr>
                <w:rFonts w:hint="eastAsia" w:ascii="宋体" w:hAnsi="宋体" w:cs="宋体"/>
                <w:sz w:val="22"/>
                <w:szCs w:val="22"/>
              </w:rPr>
              <w:t>1</w:t>
            </w:r>
          </w:p>
        </w:tc>
        <w:tc>
          <w:tcPr>
            <w:tcW w:w="899" w:type="pct"/>
            <w:vAlign w:val="center"/>
          </w:tcPr>
          <w:p>
            <w:pPr>
              <w:jc w:val="center"/>
              <w:rPr>
                <w:rFonts w:ascii="宋体" w:hAnsi="宋体" w:cs="宋体"/>
                <w:sz w:val="22"/>
                <w:szCs w:val="22"/>
              </w:rPr>
            </w:pPr>
            <w:r>
              <w:rPr>
                <w:rFonts w:hint="eastAsia" w:ascii="宋体" w:hAnsi="宋体" w:cs="宋体"/>
                <w:sz w:val="22"/>
                <w:szCs w:val="22"/>
              </w:rPr>
              <w:t>唱标信封</w:t>
            </w:r>
          </w:p>
        </w:tc>
        <w:tc>
          <w:tcPr>
            <w:tcW w:w="1230" w:type="pct"/>
            <w:vMerge w:val="restart"/>
            <w:vAlign w:val="center"/>
          </w:tcPr>
          <w:p>
            <w:pPr>
              <w:jc w:val="center"/>
              <w:rPr>
                <w:rFonts w:ascii="宋体" w:hAnsi="宋体" w:cs="宋体"/>
                <w:sz w:val="22"/>
                <w:szCs w:val="22"/>
              </w:rPr>
            </w:pPr>
            <w:r>
              <w:rPr>
                <w:rFonts w:hint="eastAsia" w:ascii="宋体" w:hAnsi="宋体" w:cs="宋体"/>
                <w:b/>
                <w:sz w:val="22"/>
                <w:szCs w:val="22"/>
              </w:rPr>
              <w:t>独立</w:t>
            </w:r>
            <w:r>
              <w:rPr>
                <w:rFonts w:hint="eastAsia" w:ascii="宋体" w:hAnsi="宋体" w:cs="宋体"/>
                <w:sz w:val="22"/>
                <w:szCs w:val="22"/>
              </w:rPr>
              <w:t>装订、合并密封</w:t>
            </w:r>
          </w:p>
        </w:tc>
        <w:tc>
          <w:tcPr>
            <w:tcW w:w="2441" w:type="pct"/>
            <w:vAlign w:val="center"/>
          </w:tcPr>
          <w:p>
            <w:pPr>
              <w:rPr>
                <w:rFonts w:ascii="宋体" w:hAnsi="宋体" w:cs="宋体"/>
                <w:sz w:val="22"/>
                <w:szCs w:val="22"/>
              </w:rPr>
            </w:pPr>
            <w:r>
              <w:rPr>
                <w:rFonts w:hint="eastAsia" w:ascii="宋体" w:hAnsi="宋体" w:cs="宋体"/>
                <w:sz w:val="22"/>
                <w:szCs w:val="22"/>
              </w:rPr>
              <w:t>含《投标报价一览表》、《投标保证金汇入情况说明》及投标保证金支付凭证（银行划款单复印件，加盖投标人公章）及法定代表人授权委托书原件及被授权代表身份证复印件加盖投标人公章（如法定代表人投标则附法定代表人身份证明书原件及法定代表人身份证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52" w:type="pct"/>
            <w:vMerge w:val="continue"/>
            <w:vAlign w:val="center"/>
          </w:tcPr>
          <w:p>
            <w:pPr>
              <w:jc w:val="center"/>
              <w:rPr>
                <w:rFonts w:ascii="宋体" w:hAnsi="宋体" w:cs="宋体"/>
                <w:sz w:val="22"/>
                <w:szCs w:val="22"/>
              </w:rPr>
            </w:pPr>
          </w:p>
        </w:tc>
        <w:tc>
          <w:tcPr>
            <w:tcW w:w="899" w:type="pct"/>
            <w:vAlign w:val="center"/>
          </w:tcPr>
          <w:p>
            <w:pPr>
              <w:jc w:val="center"/>
              <w:rPr>
                <w:rFonts w:ascii="宋体" w:hAnsi="宋体" w:cs="宋体"/>
                <w:sz w:val="22"/>
                <w:szCs w:val="22"/>
              </w:rPr>
            </w:pPr>
            <w:r>
              <w:rPr>
                <w:rFonts w:hint="eastAsia" w:ascii="宋体" w:hAnsi="宋体" w:cs="宋体"/>
                <w:sz w:val="22"/>
                <w:szCs w:val="22"/>
              </w:rPr>
              <w:t>电子文件</w:t>
            </w:r>
          </w:p>
        </w:tc>
        <w:tc>
          <w:tcPr>
            <w:tcW w:w="1230" w:type="pct"/>
            <w:vMerge w:val="continue"/>
            <w:vAlign w:val="center"/>
          </w:tcPr>
          <w:p>
            <w:pPr>
              <w:jc w:val="center"/>
              <w:rPr>
                <w:rFonts w:ascii="宋体" w:hAnsi="宋体" w:cs="宋体"/>
                <w:sz w:val="22"/>
                <w:szCs w:val="22"/>
              </w:rPr>
            </w:pPr>
          </w:p>
        </w:tc>
        <w:tc>
          <w:tcPr>
            <w:tcW w:w="2441" w:type="pct"/>
            <w:vAlign w:val="center"/>
          </w:tcPr>
          <w:p>
            <w:pPr>
              <w:rPr>
                <w:rFonts w:ascii="宋体" w:hAnsi="宋体" w:cs="宋体"/>
                <w:sz w:val="22"/>
                <w:szCs w:val="22"/>
              </w:rPr>
            </w:pPr>
            <w:r>
              <w:rPr>
                <w:rFonts w:hint="eastAsia" w:ascii="宋体" w:hAnsi="宋体" w:cs="宋体"/>
                <w:sz w:val="22"/>
                <w:szCs w:val="22"/>
              </w:rPr>
              <w:t>含价格文件、商务技术文件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52" w:type="pct"/>
            <w:vAlign w:val="center"/>
          </w:tcPr>
          <w:p>
            <w:pPr>
              <w:jc w:val="center"/>
              <w:rPr>
                <w:rFonts w:ascii="宋体" w:hAnsi="宋体" w:cs="宋体"/>
                <w:sz w:val="22"/>
                <w:szCs w:val="22"/>
              </w:rPr>
            </w:pPr>
            <w:r>
              <w:rPr>
                <w:rFonts w:hint="eastAsia" w:ascii="宋体" w:hAnsi="宋体" w:cs="宋体"/>
                <w:sz w:val="22"/>
                <w:szCs w:val="22"/>
              </w:rPr>
              <w:t>2</w:t>
            </w:r>
          </w:p>
        </w:tc>
        <w:tc>
          <w:tcPr>
            <w:tcW w:w="899" w:type="pct"/>
            <w:vAlign w:val="center"/>
          </w:tcPr>
          <w:p>
            <w:pPr>
              <w:jc w:val="center"/>
              <w:rPr>
                <w:rFonts w:ascii="宋体" w:hAnsi="宋体" w:cs="宋体"/>
                <w:sz w:val="22"/>
                <w:szCs w:val="22"/>
              </w:rPr>
            </w:pPr>
            <w:r>
              <w:rPr>
                <w:rFonts w:hint="eastAsia" w:ascii="宋体" w:hAnsi="宋体" w:cs="宋体"/>
                <w:sz w:val="22"/>
                <w:szCs w:val="22"/>
              </w:rPr>
              <w:t>价格文件</w:t>
            </w:r>
          </w:p>
        </w:tc>
        <w:tc>
          <w:tcPr>
            <w:tcW w:w="1230" w:type="pct"/>
            <w:vAlign w:val="center"/>
          </w:tcPr>
          <w:p>
            <w:pPr>
              <w:jc w:val="center"/>
              <w:rPr>
                <w:rFonts w:ascii="宋体" w:hAnsi="宋体" w:cs="宋体"/>
                <w:sz w:val="22"/>
                <w:szCs w:val="22"/>
              </w:rPr>
            </w:pPr>
            <w:r>
              <w:rPr>
                <w:rFonts w:hint="eastAsia" w:ascii="宋体" w:hAnsi="宋体" w:cs="宋体"/>
                <w:b/>
                <w:sz w:val="22"/>
                <w:szCs w:val="22"/>
              </w:rPr>
              <w:t>独立</w:t>
            </w:r>
            <w:r>
              <w:rPr>
                <w:rFonts w:hint="eastAsia" w:ascii="宋体" w:hAnsi="宋体" w:cs="宋体"/>
                <w:sz w:val="22"/>
                <w:szCs w:val="22"/>
              </w:rPr>
              <w:t>装订成册、独立密封</w:t>
            </w:r>
          </w:p>
        </w:tc>
        <w:tc>
          <w:tcPr>
            <w:tcW w:w="2441" w:type="pct"/>
            <w:vAlign w:val="center"/>
          </w:tcPr>
          <w:p>
            <w:pPr>
              <w:jc w:val="center"/>
              <w:rPr>
                <w:rFonts w:ascii="宋体" w:hAnsi="宋体" w:cs="宋体"/>
                <w:sz w:val="22"/>
                <w:szCs w:val="22"/>
              </w:rPr>
            </w:pPr>
            <w:r>
              <w:rPr>
                <w:rFonts w:hint="eastAsia" w:ascii="宋体" w:hAnsi="宋体" w:cs="宋体"/>
                <w:sz w:val="22"/>
                <w:szCs w:val="22"/>
              </w:rPr>
              <w:t>含正、副本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52" w:type="pct"/>
            <w:vAlign w:val="center"/>
          </w:tcPr>
          <w:p>
            <w:pPr>
              <w:jc w:val="center"/>
              <w:rPr>
                <w:rFonts w:ascii="宋体" w:hAnsi="宋体" w:cs="宋体"/>
                <w:sz w:val="22"/>
                <w:szCs w:val="22"/>
              </w:rPr>
            </w:pPr>
            <w:r>
              <w:rPr>
                <w:rFonts w:hint="eastAsia" w:ascii="宋体" w:hAnsi="宋体" w:cs="宋体"/>
                <w:sz w:val="22"/>
                <w:szCs w:val="22"/>
              </w:rPr>
              <w:t>3</w:t>
            </w:r>
          </w:p>
        </w:tc>
        <w:tc>
          <w:tcPr>
            <w:tcW w:w="899" w:type="pct"/>
            <w:vAlign w:val="center"/>
          </w:tcPr>
          <w:p>
            <w:pPr>
              <w:jc w:val="center"/>
              <w:rPr>
                <w:rFonts w:ascii="宋体" w:hAnsi="宋体" w:cs="宋体"/>
                <w:sz w:val="22"/>
                <w:szCs w:val="22"/>
              </w:rPr>
            </w:pPr>
            <w:r>
              <w:rPr>
                <w:rFonts w:hint="eastAsia" w:ascii="宋体" w:hAnsi="宋体" w:cs="宋体"/>
                <w:sz w:val="22"/>
                <w:szCs w:val="22"/>
              </w:rPr>
              <w:t>商务技术文件</w:t>
            </w:r>
          </w:p>
        </w:tc>
        <w:tc>
          <w:tcPr>
            <w:tcW w:w="1230" w:type="pct"/>
            <w:vAlign w:val="center"/>
          </w:tcPr>
          <w:p>
            <w:pPr>
              <w:jc w:val="center"/>
              <w:rPr>
                <w:rFonts w:ascii="宋体" w:hAnsi="宋体" w:cs="宋体"/>
                <w:sz w:val="22"/>
                <w:szCs w:val="22"/>
              </w:rPr>
            </w:pPr>
            <w:r>
              <w:rPr>
                <w:rFonts w:hint="eastAsia" w:ascii="宋体" w:hAnsi="宋体" w:cs="宋体"/>
                <w:sz w:val="22"/>
                <w:szCs w:val="22"/>
              </w:rPr>
              <w:t>商务与技术可装订成册也可分开装订、独立密封</w:t>
            </w:r>
          </w:p>
        </w:tc>
        <w:tc>
          <w:tcPr>
            <w:tcW w:w="2441" w:type="pct"/>
            <w:vAlign w:val="center"/>
          </w:tcPr>
          <w:p>
            <w:pPr>
              <w:jc w:val="center"/>
              <w:rPr>
                <w:rFonts w:ascii="宋体" w:hAnsi="宋体" w:cs="宋体"/>
                <w:sz w:val="22"/>
                <w:szCs w:val="22"/>
              </w:rPr>
            </w:pPr>
            <w:r>
              <w:rPr>
                <w:rFonts w:hint="eastAsia" w:ascii="宋体" w:hAnsi="宋体" w:cs="宋体"/>
                <w:sz w:val="22"/>
                <w:szCs w:val="22"/>
              </w:rPr>
              <w:t>含正、副本</w:t>
            </w:r>
          </w:p>
        </w:tc>
      </w:tr>
    </w:tbl>
    <w:p>
      <w:pPr>
        <w:pStyle w:val="82"/>
        <w:numPr>
          <w:ilvl w:val="0"/>
          <w:numId w:val="28"/>
        </w:numPr>
        <w:spacing w:line="360" w:lineRule="auto"/>
        <w:ind w:left="567" w:hanging="567" w:firstLineChars="0"/>
        <w:rPr>
          <w:rFonts w:ascii="宋体" w:hAnsi="宋体"/>
          <w:sz w:val="22"/>
          <w:szCs w:val="22"/>
        </w:rPr>
      </w:pPr>
      <w:r>
        <w:rPr>
          <w:rFonts w:ascii="宋体" w:hAnsi="宋体"/>
          <w:sz w:val="22"/>
          <w:szCs w:val="22"/>
        </w:rPr>
        <w:t>投标人应在密封袋上标明“</w:t>
      </w:r>
      <w:r>
        <w:rPr>
          <w:rFonts w:hint="eastAsia" w:ascii="宋体" w:hAnsi="宋体"/>
          <w:sz w:val="22"/>
          <w:szCs w:val="22"/>
        </w:rPr>
        <w:t>价格文件</w:t>
      </w:r>
      <w:r>
        <w:rPr>
          <w:rFonts w:ascii="宋体" w:hAnsi="宋体"/>
          <w:sz w:val="22"/>
          <w:szCs w:val="22"/>
        </w:rPr>
        <w:t>”、“</w:t>
      </w:r>
      <w:r>
        <w:rPr>
          <w:rFonts w:hint="eastAsia" w:ascii="宋体" w:hAnsi="宋体"/>
          <w:sz w:val="22"/>
          <w:szCs w:val="22"/>
        </w:rPr>
        <w:t>商务技术文件</w:t>
      </w:r>
      <w:r>
        <w:rPr>
          <w:rFonts w:ascii="宋体" w:hAnsi="宋体"/>
          <w:sz w:val="22"/>
          <w:szCs w:val="22"/>
        </w:rPr>
        <w:t>”、“唱标信封”等内容，并在密封袋的封口处加盖投标人公章。</w:t>
      </w:r>
    </w:p>
    <w:p>
      <w:pPr>
        <w:pStyle w:val="82"/>
        <w:numPr>
          <w:ilvl w:val="0"/>
          <w:numId w:val="28"/>
        </w:numPr>
        <w:spacing w:line="360" w:lineRule="auto"/>
        <w:ind w:left="567" w:hanging="567" w:firstLineChars="0"/>
        <w:rPr>
          <w:rFonts w:ascii="宋体" w:hAnsi="宋体" w:cs="宋体"/>
          <w:sz w:val="22"/>
          <w:szCs w:val="22"/>
        </w:rPr>
      </w:pPr>
      <w:r>
        <w:rPr>
          <w:rFonts w:hint="eastAsia" w:ascii="宋体" w:hAnsi="宋体" w:cs="宋体"/>
          <w:sz w:val="22"/>
          <w:szCs w:val="22"/>
        </w:rPr>
        <w:t>在投标文件密封袋上均应标明以下内容：</w:t>
      </w:r>
    </w:p>
    <w:p>
      <w:pPr>
        <w:spacing w:line="360" w:lineRule="auto"/>
        <w:ind w:left="1075" w:leftChars="250" w:hanging="550" w:hangingChars="250"/>
        <w:rPr>
          <w:rFonts w:ascii="宋体" w:hAnsi="宋体" w:cs="宋体"/>
          <w:sz w:val="22"/>
          <w:szCs w:val="22"/>
        </w:rPr>
      </w:pPr>
      <w:r>
        <w:rPr>
          <w:rFonts w:hint="eastAsia" w:ascii="宋体" w:hAnsi="宋体" w:cs="宋体"/>
          <w:sz w:val="22"/>
          <w:szCs w:val="22"/>
        </w:rPr>
        <w:t>（1）项目编号：</w:t>
      </w:r>
      <w:r>
        <w:rPr>
          <w:rFonts w:hint="eastAsia" w:ascii="宋体" w:hAnsi="宋体" w:cs="宋体"/>
          <w:sz w:val="22"/>
          <w:szCs w:val="22"/>
          <w:u w:val="single"/>
        </w:rPr>
        <w:t xml:space="preserve">               </w:t>
      </w:r>
      <w:r>
        <w:rPr>
          <w:rFonts w:hint="eastAsia" w:ascii="宋体" w:hAnsi="宋体" w:cs="宋体"/>
          <w:sz w:val="22"/>
          <w:szCs w:val="22"/>
        </w:rPr>
        <w:t>；</w:t>
      </w:r>
    </w:p>
    <w:p>
      <w:pPr>
        <w:spacing w:line="360" w:lineRule="auto"/>
        <w:ind w:left="1075" w:leftChars="250" w:hanging="550" w:hangingChars="250"/>
        <w:rPr>
          <w:rFonts w:ascii="宋体" w:hAnsi="宋体" w:cs="宋体"/>
          <w:sz w:val="22"/>
          <w:szCs w:val="22"/>
        </w:rPr>
      </w:pPr>
      <w:r>
        <w:rPr>
          <w:rFonts w:hint="eastAsia" w:ascii="宋体" w:hAnsi="宋体" w:cs="宋体"/>
          <w:sz w:val="22"/>
          <w:szCs w:val="22"/>
        </w:rPr>
        <w:t>（2）项目名称：</w:t>
      </w:r>
      <w:r>
        <w:rPr>
          <w:rFonts w:hint="eastAsia" w:ascii="宋体" w:hAnsi="宋体" w:cs="宋体"/>
          <w:sz w:val="22"/>
          <w:szCs w:val="22"/>
          <w:u w:val="single"/>
        </w:rPr>
        <w:t xml:space="preserve">               </w:t>
      </w:r>
      <w:r>
        <w:rPr>
          <w:rFonts w:hint="eastAsia" w:ascii="宋体" w:hAnsi="宋体" w:cs="宋体"/>
          <w:sz w:val="22"/>
          <w:szCs w:val="22"/>
        </w:rPr>
        <w:t>；</w:t>
      </w:r>
    </w:p>
    <w:p>
      <w:pPr>
        <w:spacing w:line="360" w:lineRule="auto"/>
        <w:ind w:left="1075" w:leftChars="250" w:hanging="550" w:hangingChars="250"/>
        <w:rPr>
          <w:rFonts w:ascii="宋体" w:hAnsi="宋体" w:cs="宋体"/>
          <w:sz w:val="22"/>
          <w:szCs w:val="22"/>
        </w:rPr>
      </w:pPr>
      <w:r>
        <w:rPr>
          <w:rFonts w:hint="eastAsia" w:ascii="宋体" w:hAnsi="宋体" w:cs="宋体"/>
          <w:sz w:val="22"/>
          <w:szCs w:val="22"/>
        </w:rPr>
        <w:t>（3）</w:t>
      </w:r>
      <w:r>
        <w:rPr>
          <w:rFonts w:hint="eastAsia" w:ascii="宋体" w:hAnsi="宋体" w:cs="宋体"/>
          <w:sz w:val="22"/>
          <w:szCs w:val="22"/>
          <w:u w:val="single"/>
        </w:rPr>
        <w:t xml:space="preserve">    </w:t>
      </w:r>
      <w:r>
        <w:rPr>
          <w:rFonts w:hint="eastAsia" w:ascii="宋体" w:hAnsi="宋体" w:cs="宋体"/>
          <w:sz w:val="22"/>
          <w:szCs w:val="22"/>
        </w:rPr>
        <w:t>年</w:t>
      </w:r>
      <w:r>
        <w:rPr>
          <w:rFonts w:hint="eastAsia" w:ascii="宋体" w:hAnsi="宋体" w:cs="宋体"/>
          <w:sz w:val="22"/>
          <w:szCs w:val="22"/>
          <w:u w:val="single"/>
        </w:rPr>
        <w:t xml:space="preserve">    </w:t>
      </w:r>
      <w:r>
        <w:rPr>
          <w:rFonts w:hint="eastAsia" w:ascii="宋体" w:hAnsi="宋体" w:cs="宋体"/>
          <w:sz w:val="22"/>
          <w:szCs w:val="22"/>
        </w:rPr>
        <w:t>月</w:t>
      </w:r>
      <w:r>
        <w:rPr>
          <w:rFonts w:hint="eastAsia" w:ascii="宋体" w:hAnsi="宋体" w:cs="宋体"/>
          <w:sz w:val="22"/>
          <w:szCs w:val="22"/>
          <w:u w:val="single"/>
        </w:rPr>
        <w:t xml:space="preserve">    </w:t>
      </w:r>
      <w:r>
        <w:rPr>
          <w:rFonts w:hint="eastAsia" w:ascii="宋体" w:hAnsi="宋体" w:cs="宋体"/>
          <w:sz w:val="22"/>
          <w:szCs w:val="22"/>
        </w:rPr>
        <w:t>日</w:t>
      </w:r>
      <w:r>
        <w:rPr>
          <w:rFonts w:hint="eastAsia" w:ascii="宋体" w:hAnsi="宋体" w:cs="宋体"/>
          <w:sz w:val="22"/>
          <w:szCs w:val="22"/>
          <w:u w:val="single"/>
        </w:rPr>
        <w:t xml:space="preserve">    </w:t>
      </w:r>
      <w:r>
        <w:rPr>
          <w:rFonts w:hint="eastAsia" w:ascii="宋体" w:hAnsi="宋体" w:cs="宋体"/>
          <w:sz w:val="22"/>
          <w:szCs w:val="22"/>
        </w:rPr>
        <w:t>时</w:t>
      </w:r>
      <w:r>
        <w:rPr>
          <w:rFonts w:hint="eastAsia" w:ascii="宋体" w:hAnsi="宋体" w:cs="宋体"/>
          <w:sz w:val="22"/>
          <w:szCs w:val="22"/>
          <w:u w:val="single"/>
        </w:rPr>
        <w:t xml:space="preserve">    </w:t>
      </w:r>
      <w:r>
        <w:rPr>
          <w:rFonts w:hint="eastAsia" w:ascii="宋体" w:hAnsi="宋体" w:cs="宋体"/>
          <w:sz w:val="22"/>
          <w:szCs w:val="22"/>
        </w:rPr>
        <w:t xml:space="preserve">分开标，此时间以前不得开封； </w:t>
      </w:r>
    </w:p>
    <w:p>
      <w:pPr>
        <w:spacing w:line="360" w:lineRule="auto"/>
        <w:ind w:left="1075" w:leftChars="250" w:hanging="550" w:hangingChars="250"/>
        <w:rPr>
          <w:rFonts w:ascii="宋体" w:hAnsi="宋体" w:cs="宋体"/>
          <w:sz w:val="22"/>
          <w:szCs w:val="22"/>
        </w:rPr>
      </w:pPr>
      <w:r>
        <w:rPr>
          <w:rFonts w:hint="eastAsia" w:ascii="宋体" w:hAnsi="宋体" w:cs="宋体"/>
          <w:sz w:val="22"/>
          <w:szCs w:val="22"/>
        </w:rPr>
        <w:t>（4）投标人名称：</w:t>
      </w:r>
      <w:r>
        <w:rPr>
          <w:rFonts w:hint="eastAsia" w:ascii="宋体" w:hAnsi="宋体" w:cs="宋体"/>
          <w:sz w:val="22"/>
          <w:szCs w:val="22"/>
          <w:u w:val="single"/>
        </w:rPr>
        <w:t xml:space="preserve">                 </w:t>
      </w:r>
      <w:r>
        <w:rPr>
          <w:rFonts w:hint="eastAsia" w:ascii="宋体" w:hAnsi="宋体" w:cs="宋体"/>
          <w:sz w:val="22"/>
          <w:szCs w:val="22"/>
        </w:rPr>
        <w:t>。</w:t>
      </w:r>
    </w:p>
    <w:p>
      <w:pPr>
        <w:pStyle w:val="82"/>
        <w:numPr>
          <w:ilvl w:val="0"/>
          <w:numId w:val="28"/>
        </w:numPr>
        <w:spacing w:line="360" w:lineRule="auto"/>
        <w:ind w:left="567" w:hanging="567" w:firstLineChars="0"/>
        <w:rPr>
          <w:rFonts w:ascii="宋体" w:hAnsi="宋体" w:cs="宋体"/>
          <w:sz w:val="22"/>
          <w:szCs w:val="22"/>
        </w:rPr>
      </w:pPr>
      <w:r>
        <w:rPr>
          <w:rFonts w:hint="eastAsia" w:ascii="宋体" w:hAnsi="宋体" w:cs="宋体"/>
          <w:sz w:val="22"/>
          <w:szCs w:val="22"/>
        </w:rPr>
        <w:t>如果投标文件未按本须知第18.1～18.4款的规定装订和加写标记及密封，招标代理机构将不承担投标文件提前开封的责任。对由此造成提前开封的投标文件将予以拒绝，并退还给投标人。</w:t>
      </w:r>
    </w:p>
    <w:p>
      <w:pPr>
        <w:pStyle w:val="46"/>
        <w:numPr>
          <w:ilvl w:val="0"/>
          <w:numId w:val="4"/>
        </w:numPr>
        <w:spacing w:line="360" w:lineRule="auto"/>
        <w:ind w:left="0" w:firstLine="0" w:firstLineChars="0"/>
        <w:outlineLvl w:val="2"/>
        <w:rPr>
          <w:rFonts w:ascii="宋体" w:hAnsi="宋体" w:cs="宋体"/>
          <w:b/>
          <w:bCs/>
          <w:sz w:val="22"/>
          <w:szCs w:val="22"/>
        </w:rPr>
      </w:pPr>
      <w:bookmarkStart w:id="216" w:name="_Toc441844075"/>
      <w:bookmarkStart w:id="217" w:name="_Toc280"/>
      <w:bookmarkStart w:id="218" w:name="_Toc29446"/>
      <w:bookmarkStart w:id="219" w:name="_Toc439325685"/>
      <w:bookmarkStart w:id="220" w:name="_Toc4983"/>
      <w:bookmarkStart w:id="221" w:name="_Toc46502764"/>
      <w:bookmarkStart w:id="222" w:name="_Toc16729"/>
      <w:bookmarkStart w:id="223" w:name="_Toc17111"/>
      <w:r>
        <w:rPr>
          <w:rFonts w:hint="eastAsia" w:ascii="宋体" w:hAnsi="宋体" w:cs="宋体"/>
          <w:b/>
          <w:bCs/>
          <w:sz w:val="22"/>
          <w:szCs w:val="22"/>
        </w:rPr>
        <w:t>投标截止时间</w:t>
      </w:r>
      <w:bookmarkEnd w:id="216"/>
      <w:bookmarkEnd w:id="217"/>
      <w:bookmarkEnd w:id="218"/>
      <w:bookmarkEnd w:id="219"/>
      <w:bookmarkEnd w:id="220"/>
      <w:bookmarkEnd w:id="221"/>
      <w:bookmarkEnd w:id="222"/>
      <w:bookmarkEnd w:id="223"/>
    </w:p>
    <w:p>
      <w:pPr>
        <w:pStyle w:val="82"/>
        <w:numPr>
          <w:ilvl w:val="0"/>
          <w:numId w:val="29"/>
        </w:numPr>
        <w:spacing w:line="360" w:lineRule="auto"/>
        <w:ind w:left="567" w:hanging="567" w:firstLineChars="0"/>
        <w:rPr>
          <w:rFonts w:ascii="宋体" w:hAnsi="宋体" w:cs="宋体"/>
          <w:sz w:val="22"/>
          <w:szCs w:val="22"/>
        </w:rPr>
      </w:pPr>
      <w:r>
        <w:rPr>
          <w:rFonts w:hint="eastAsia" w:ascii="宋体" w:hAnsi="宋体" w:cs="宋体"/>
          <w:sz w:val="22"/>
          <w:szCs w:val="22"/>
          <w:lang w:val="zh-CN"/>
        </w:rPr>
        <w:t>招标代理机构在本须知第22.1条规定的地址收到投标的时间不迟于第一章投标邀请函中所规定的时间。</w:t>
      </w:r>
    </w:p>
    <w:p>
      <w:pPr>
        <w:pStyle w:val="82"/>
        <w:numPr>
          <w:ilvl w:val="0"/>
          <w:numId w:val="29"/>
        </w:numPr>
        <w:spacing w:line="360" w:lineRule="auto"/>
        <w:ind w:left="567" w:hanging="567" w:firstLineChars="0"/>
        <w:rPr>
          <w:rFonts w:ascii="宋体" w:hAnsi="宋体" w:cs="宋体"/>
          <w:sz w:val="22"/>
          <w:szCs w:val="22"/>
        </w:rPr>
      </w:pPr>
      <w:r>
        <w:rPr>
          <w:rFonts w:hint="eastAsia" w:ascii="宋体" w:hAnsi="宋体" w:cs="宋体"/>
          <w:sz w:val="22"/>
          <w:szCs w:val="22"/>
        </w:rPr>
        <w:t>招标代理机构可以按本须知第9条规定，通过修改招标文件自行决定酌情延长投标截止时间。在此情况下，招标代理机构、招标人和投标人受投标截止时间制约的所有权利和义务均应延长至新的截止时间。</w:t>
      </w:r>
    </w:p>
    <w:p>
      <w:pPr>
        <w:pStyle w:val="82"/>
        <w:numPr>
          <w:ilvl w:val="0"/>
          <w:numId w:val="29"/>
        </w:numPr>
        <w:spacing w:line="360" w:lineRule="auto"/>
        <w:ind w:left="567" w:hanging="567" w:firstLineChars="0"/>
        <w:rPr>
          <w:rFonts w:ascii="宋体" w:hAnsi="宋体" w:cs="宋体"/>
          <w:sz w:val="22"/>
          <w:szCs w:val="22"/>
        </w:rPr>
      </w:pPr>
      <w:r>
        <w:rPr>
          <w:rFonts w:hint="eastAsia" w:ascii="宋体" w:hAnsi="宋体" w:cs="宋体"/>
          <w:sz w:val="22"/>
          <w:szCs w:val="22"/>
        </w:rPr>
        <w:t>招标代理机构于开标前</w:t>
      </w:r>
      <w:r>
        <w:rPr>
          <w:rFonts w:hint="eastAsia" w:ascii="宋体" w:hAnsi="宋体" w:cs="宋体"/>
          <w:b/>
          <w:sz w:val="22"/>
          <w:szCs w:val="22"/>
        </w:rPr>
        <w:t>（30）</w:t>
      </w:r>
      <w:r>
        <w:rPr>
          <w:rFonts w:hint="eastAsia" w:ascii="宋体" w:hAnsi="宋体" w:cs="宋体"/>
          <w:sz w:val="22"/>
          <w:szCs w:val="22"/>
        </w:rPr>
        <w:t>分钟开始接收投标文件。</w:t>
      </w:r>
    </w:p>
    <w:p>
      <w:pPr>
        <w:pStyle w:val="46"/>
        <w:numPr>
          <w:ilvl w:val="0"/>
          <w:numId w:val="4"/>
        </w:numPr>
        <w:spacing w:line="360" w:lineRule="auto"/>
        <w:ind w:left="0" w:firstLine="0" w:firstLineChars="0"/>
        <w:outlineLvl w:val="2"/>
        <w:rPr>
          <w:rFonts w:ascii="宋体" w:hAnsi="宋体" w:cs="宋体"/>
          <w:b/>
          <w:bCs/>
          <w:sz w:val="22"/>
          <w:szCs w:val="22"/>
        </w:rPr>
      </w:pPr>
      <w:bookmarkStart w:id="224" w:name="_Toc439325686"/>
      <w:bookmarkStart w:id="225" w:name="_Toc441844076"/>
      <w:bookmarkStart w:id="226" w:name="_Toc13924"/>
      <w:bookmarkStart w:id="227" w:name="_Toc16602"/>
      <w:bookmarkStart w:id="228" w:name="_Toc24179"/>
      <w:bookmarkStart w:id="229" w:name="_Toc25880"/>
      <w:bookmarkStart w:id="230" w:name="_Toc46502765"/>
      <w:bookmarkStart w:id="231" w:name="_Toc2020"/>
      <w:r>
        <w:rPr>
          <w:rFonts w:hint="eastAsia" w:ascii="宋体" w:hAnsi="宋体" w:cs="宋体"/>
          <w:b/>
          <w:bCs/>
          <w:sz w:val="22"/>
          <w:szCs w:val="22"/>
        </w:rPr>
        <w:t>迟交的投标文件</w:t>
      </w:r>
      <w:bookmarkEnd w:id="224"/>
      <w:bookmarkEnd w:id="225"/>
      <w:bookmarkEnd w:id="226"/>
      <w:bookmarkEnd w:id="227"/>
      <w:bookmarkEnd w:id="228"/>
      <w:bookmarkEnd w:id="229"/>
      <w:bookmarkEnd w:id="230"/>
      <w:bookmarkEnd w:id="231"/>
    </w:p>
    <w:p>
      <w:pPr>
        <w:pStyle w:val="82"/>
        <w:numPr>
          <w:ilvl w:val="0"/>
          <w:numId w:val="30"/>
        </w:numPr>
        <w:spacing w:line="360" w:lineRule="auto"/>
        <w:ind w:left="567" w:hanging="567" w:firstLineChars="0"/>
        <w:rPr>
          <w:rFonts w:ascii="宋体" w:hAnsi="宋体" w:cs="宋体"/>
          <w:sz w:val="22"/>
          <w:szCs w:val="22"/>
        </w:rPr>
      </w:pPr>
      <w:r>
        <w:rPr>
          <w:rFonts w:hint="eastAsia" w:ascii="宋体" w:hAnsi="宋体" w:cs="宋体"/>
          <w:sz w:val="22"/>
          <w:szCs w:val="22"/>
        </w:rPr>
        <w:t>招标代理机构将拒绝并原封退回在本须知第22.1条规定的截止时间后收到的任何投标文件。</w:t>
      </w:r>
    </w:p>
    <w:p>
      <w:pPr>
        <w:pStyle w:val="46"/>
        <w:numPr>
          <w:ilvl w:val="0"/>
          <w:numId w:val="4"/>
        </w:numPr>
        <w:spacing w:line="360" w:lineRule="auto"/>
        <w:ind w:left="0" w:firstLine="0" w:firstLineChars="0"/>
        <w:outlineLvl w:val="2"/>
        <w:rPr>
          <w:rFonts w:ascii="宋体" w:hAnsi="宋体" w:cs="宋体"/>
          <w:b/>
          <w:bCs/>
          <w:sz w:val="22"/>
          <w:szCs w:val="22"/>
        </w:rPr>
      </w:pPr>
      <w:bookmarkStart w:id="232" w:name="_Toc46502766"/>
      <w:bookmarkStart w:id="233" w:name="_Toc439325687"/>
      <w:bookmarkStart w:id="234" w:name="_Toc778"/>
      <w:bookmarkStart w:id="235" w:name="_Toc11907"/>
      <w:bookmarkStart w:id="236" w:name="_Toc441844077"/>
      <w:bookmarkStart w:id="237" w:name="_Toc22142"/>
      <w:bookmarkStart w:id="238" w:name="_Toc23840"/>
      <w:bookmarkStart w:id="239" w:name="_Toc26104"/>
      <w:r>
        <w:rPr>
          <w:rFonts w:hint="eastAsia" w:ascii="宋体" w:hAnsi="宋体" w:cs="宋体"/>
          <w:b/>
          <w:bCs/>
          <w:sz w:val="22"/>
          <w:szCs w:val="22"/>
        </w:rPr>
        <w:t>投标文件的修改与撤回</w:t>
      </w:r>
      <w:bookmarkEnd w:id="232"/>
      <w:bookmarkEnd w:id="233"/>
      <w:bookmarkEnd w:id="234"/>
      <w:bookmarkEnd w:id="235"/>
      <w:bookmarkEnd w:id="236"/>
      <w:bookmarkEnd w:id="237"/>
      <w:bookmarkEnd w:id="238"/>
      <w:bookmarkEnd w:id="239"/>
    </w:p>
    <w:p>
      <w:pPr>
        <w:pStyle w:val="82"/>
        <w:numPr>
          <w:ilvl w:val="0"/>
          <w:numId w:val="31"/>
        </w:numPr>
        <w:spacing w:line="360" w:lineRule="auto"/>
        <w:ind w:left="567" w:hanging="567" w:firstLineChars="0"/>
        <w:rPr>
          <w:rFonts w:ascii="宋体" w:hAnsi="宋体" w:cs="宋体"/>
          <w:sz w:val="22"/>
          <w:szCs w:val="22"/>
          <w:lang w:val="zh-CN"/>
        </w:rPr>
      </w:pPr>
      <w:r>
        <w:rPr>
          <w:rFonts w:hint="eastAsia" w:ascii="宋体" w:hAnsi="宋体" w:cs="宋体"/>
          <w:sz w:val="22"/>
          <w:szCs w:val="22"/>
          <w:lang w:val="zh-CN"/>
        </w:rPr>
        <w:t>投标人在递交投标文件后，可以修改或撤回其投标，但招标代理机构必须在第20条规定的投标截止时间之前，收到修改或撤回的书面通知。</w:t>
      </w:r>
    </w:p>
    <w:p>
      <w:pPr>
        <w:pStyle w:val="82"/>
        <w:numPr>
          <w:ilvl w:val="0"/>
          <w:numId w:val="31"/>
        </w:numPr>
        <w:spacing w:line="360" w:lineRule="auto"/>
        <w:ind w:left="567" w:hanging="567" w:firstLineChars="0"/>
        <w:rPr>
          <w:rFonts w:ascii="宋体" w:hAnsi="宋体" w:cs="宋体"/>
          <w:sz w:val="22"/>
          <w:szCs w:val="22"/>
        </w:rPr>
      </w:pPr>
      <w:r>
        <w:rPr>
          <w:rFonts w:hint="eastAsia" w:ascii="宋体" w:hAnsi="宋体" w:cs="宋体"/>
          <w:sz w:val="22"/>
          <w:szCs w:val="22"/>
        </w:rPr>
        <w:t>投标人的修改或撤回通知应按本须知第18条规定编制、密封、标记和发送。</w:t>
      </w:r>
    </w:p>
    <w:p>
      <w:pPr>
        <w:pStyle w:val="82"/>
        <w:numPr>
          <w:ilvl w:val="0"/>
          <w:numId w:val="31"/>
        </w:numPr>
        <w:spacing w:line="360" w:lineRule="auto"/>
        <w:ind w:left="567" w:hanging="567" w:firstLineChars="0"/>
        <w:rPr>
          <w:rFonts w:ascii="宋体" w:hAnsi="宋体" w:cs="宋体"/>
          <w:sz w:val="22"/>
          <w:szCs w:val="22"/>
        </w:rPr>
      </w:pPr>
      <w:r>
        <w:rPr>
          <w:rFonts w:hint="eastAsia" w:ascii="宋体" w:hAnsi="宋体" w:cs="宋体"/>
          <w:sz w:val="22"/>
          <w:szCs w:val="22"/>
        </w:rPr>
        <w:t>在投标截止时间之后，投标人不得对其投标做任何修改。</w:t>
      </w:r>
    </w:p>
    <w:p>
      <w:pPr>
        <w:pStyle w:val="82"/>
        <w:numPr>
          <w:ilvl w:val="0"/>
          <w:numId w:val="31"/>
        </w:numPr>
        <w:spacing w:line="360" w:lineRule="auto"/>
        <w:ind w:left="567" w:hanging="567" w:firstLineChars="0"/>
        <w:rPr>
          <w:rFonts w:ascii="宋体" w:hAnsi="宋体" w:cs="宋体"/>
          <w:sz w:val="22"/>
          <w:szCs w:val="22"/>
        </w:rPr>
      </w:pPr>
      <w:r>
        <w:rPr>
          <w:rFonts w:hint="eastAsia" w:ascii="宋体" w:hAnsi="宋体" w:cs="宋体"/>
          <w:sz w:val="22"/>
          <w:szCs w:val="22"/>
        </w:rPr>
        <w:t>从投标截止时间至投标人在投标书格式中确定的投标有效期之间的这段时间内，投标人不得撤回其投标，否则其投标保证金将按照本须知第16.8条的规定被不予退还。</w:t>
      </w:r>
    </w:p>
    <w:p>
      <w:pPr>
        <w:pStyle w:val="4"/>
        <w:tabs>
          <w:tab w:val="left" w:pos="142"/>
          <w:tab w:val="clear" w:pos="1440"/>
        </w:tabs>
        <w:ind w:left="0" w:firstLine="0"/>
        <w:rPr>
          <w:rFonts w:ascii="宋体" w:hAnsi="宋体" w:eastAsia="宋体" w:cs="宋体"/>
          <w:b w:val="0"/>
          <w:sz w:val="22"/>
          <w:szCs w:val="22"/>
          <w:lang w:val="zh-CN"/>
        </w:rPr>
      </w:pPr>
      <w:bookmarkStart w:id="240" w:name="_Toc10741"/>
      <w:bookmarkStart w:id="241" w:name="_Toc2155"/>
      <w:bookmarkStart w:id="242" w:name="_Toc26044"/>
      <w:bookmarkStart w:id="243" w:name="_Toc24866"/>
      <w:bookmarkStart w:id="244" w:name="_Toc46502767"/>
      <w:bookmarkStart w:id="245" w:name="_Toc441844078"/>
      <w:bookmarkStart w:id="246" w:name="_Toc23582"/>
      <w:r>
        <w:rPr>
          <w:rFonts w:hint="eastAsia" w:ascii="宋体" w:hAnsi="宋体" w:eastAsia="宋体" w:cs="宋体"/>
          <w:sz w:val="22"/>
          <w:szCs w:val="22"/>
          <w:lang w:val="zh-CN"/>
        </w:rPr>
        <w:t>（五）开标与评标</w:t>
      </w:r>
      <w:bookmarkEnd w:id="240"/>
      <w:bookmarkEnd w:id="241"/>
      <w:bookmarkEnd w:id="242"/>
      <w:bookmarkEnd w:id="243"/>
      <w:bookmarkEnd w:id="244"/>
      <w:bookmarkEnd w:id="245"/>
      <w:bookmarkEnd w:id="246"/>
    </w:p>
    <w:p>
      <w:pPr>
        <w:pStyle w:val="46"/>
        <w:numPr>
          <w:ilvl w:val="0"/>
          <w:numId w:val="4"/>
        </w:numPr>
        <w:spacing w:line="360" w:lineRule="auto"/>
        <w:ind w:left="0" w:firstLine="0" w:firstLineChars="0"/>
        <w:outlineLvl w:val="2"/>
        <w:rPr>
          <w:rFonts w:ascii="宋体" w:hAnsi="宋体" w:cs="宋体"/>
          <w:b/>
          <w:bCs/>
          <w:sz w:val="22"/>
          <w:szCs w:val="22"/>
        </w:rPr>
      </w:pPr>
      <w:bookmarkStart w:id="247" w:name="_Toc439325690"/>
      <w:bookmarkStart w:id="248" w:name="_Toc20762"/>
      <w:bookmarkStart w:id="249" w:name="_Toc441844079"/>
      <w:bookmarkStart w:id="250" w:name="_Toc32578"/>
      <w:bookmarkStart w:id="251" w:name="_Toc2528"/>
      <w:bookmarkStart w:id="252" w:name="_Toc46502768"/>
      <w:bookmarkStart w:id="253" w:name="_Toc7692"/>
      <w:bookmarkStart w:id="254" w:name="_Toc4614"/>
      <w:r>
        <w:rPr>
          <w:rFonts w:hint="eastAsia" w:ascii="宋体" w:hAnsi="宋体" w:cs="宋体"/>
          <w:b/>
          <w:bCs/>
          <w:sz w:val="22"/>
          <w:szCs w:val="22"/>
        </w:rPr>
        <w:t>开标</w:t>
      </w:r>
      <w:bookmarkEnd w:id="247"/>
      <w:bookmarkEnd w:id="248"/>
      <w:bookmarkEnd w:id="249"/>
      <w:bookmarkEnd w:id="250"/>
      <w:bookmarkEnd w:id="251"/>
      <w:bookmarkEnd w:id="252"/>
      <w:bookmarkEnd w:id="253"/>
      <w:bookmarkEnd w:id="254"/>
    </w:p>
    <w:p>
      <w:pPr>
        <w:pStyle w:val="82"/>
        <w:numPr>
          <w:ilvl w:val="0"/>
          <w:numId w:val="32"/>
        </w:numPr>
        <w:spacing w:line="360" w:lineRule="auto"/>
        <w:ind w:firstLineChars="0"/>
        <w:rPr>
          <w:rFonts w:ascii="宋体" w:hAnsi="宋体" w:cs="宋体"/>
          <w:sz w:val="22"/>
          <w:szCs w:val="22"/>
          <w:lang w:val="zh-CN"/>
        </w:rPr>
      </w:pPr>
      <w:r>
        <w:rPr>
          <w:rFonts w:hint="eastAsia" w:ascii="宋体" w:hAnsi="宋体" w:cs="宋体"/>
          <w:sz w:val="22"/>
          <w:szCs w:val="22"/>
          <w:lang w:val="zh-CN"/>
        </w:rPr>
        <w:t>招标人和招标代理机构在第一章投标邀请函中约定的时间和地点组织公开开标。</w:t>
      </w:r>
    </w:p>
    <w:p>
      <w:pPr>
        <w:pStyle w:val="82"/>
        <w:numPr>
          <w:ilvl w:val="0"/>
          <w:numId w:val="32"/>
        </w:numPr>
        <w:spacing w:line="360" w:lineRule="auto"/>
        <w:ind w:left="567" w:hanging="567" w:firstLineChars="0"/>
        <w:rPr>
          <w:rFonts w:ascii="宋体" w:hAnsi="宋体" w:cs="宋体"/>
          <w:bCs/>
          <w:kern w:val="28"/>
          <w:sz w:val="22"/>
          <w:szCs w:val="22"/>
        </w:rPr>
      </w:pPr>
      <w:r>
        <w:rPr>
          <w:rFonts w:hint="eastAsia" w:ascii="宋体" w:hAnsi="宋体" w:cs="宋体"/>
          <w:bCs/>
          <w:kern w:val="28"/>
          <w:sz w:val="22"/>
          <w:szCs w:val="22"/>
        </w:rPr>
        <w:t>开标程序</w:t>
      </w:r>
    </w:p>
    <w:p>
      <w:pPr>
        <w:pStyle w:val="82"/>
        <w:numPr>
          <w:ilvl w:val="0"/>
          <w:numId w:val="33"/>
        </w:numPr>
        <w:snapToGrid w:val="0"/>
        <w:spacing w:line="360" w:lineRule="auto"/>
        <w:ind w:left="709" w:hanging="709" w:firstLineChars="0"/>
        <w:rPr>
          <w:rFonts w:ascii="宋体" w:hAnsi="宋体"/>
          <w:bCs/>
          <w:kern w:val="28"/>
          <w:sz w:val="22"/>
          <w:szCs w:val="22"/>
        </w:rPr>
      </w:pPr>
      <w:r>
        <w:rPr>
          <w:rFonts w:hint="eastAsia" w:ascii="宋体" w:hAnsi="宋体" w:cs="宋体"/>
          <w:bCs/>
          <w:kern w:val="28"/>
          <w:sz w:val="22"/>
          <w:szCs w:val="22"/>
        </w:rPr>
        <w:t>开标会由招标代理机构主持，投标人的法定代表人或其授权代表务必携带有效身份证明准时参加开标会并签名报到，以证明其出席。</w:t>
      </w:r>
      <w:r>
        <w:rPr>
          <w:rFonts w:hint="eastAsia" w:ascii="宋体" w:hAnsi="宋体"/>
          <w:bCs/>
          <w:kern w:val="28"/>
          <w:sz w:val="22"/>
          <w:szCs w:val="22"/>
        </w:rPr>
        <w:t>投标人的法定代表人或其授权代表未参加开标会的，视同认可开标结果。</w:t>
      </w:r>
    </w:p>
    <w:p>
      <w:pPr>
        <w:pStyle w:val="82"/>
        <w:numPr>
          <w:ilvl w:val="0"/>
          <w:numId w:val="33"/>
        </w:numPr>
        <w:snapToGrid w:val="0"/>
        <w:spacing w:line="360" w:lineRule="auto"/>
        <w:ind w:left="709" w:hanging="709" w:firstLineChars="0"/>
        <w:rPr>
          <w:rFonts w:ascii="宋体" w:hAnsi="宋体"/>
          <w:bCs/>
          <w:kern w:val="28"/>
          <w:sz w:val="22"/>
          <w:szCs w:val="22"/>
        </w:rPr>
      </w:pPr>
      <w:r>
        <w:rPr>
          <w:rFonts w:ascii="宋体" w:hAnsi="宋体"/>
          <w:bCs/>
          <w:kern w:val="28"/>
          <w:sz w:val="22"/>
          <w:szCs w:val="22"/>
        </w:rPr>
        <w:t>投标文件的密封等情况由采购人代表或</w:t>
      </w:r>
      <w:r>
        <w:rPr>
          <w:rFonts w:hint="eastAsia" w:ascii="宋体" w:hAnsi="宋体"/>
          <w:bCs/>
          <w:kern w:val="28"/>
          <w:sz w:val="22"/>
          <w:szCs w:val="22"/>
        </w:rPr>
        <w:t>招标</w:t>
      </w:r>
      <w:r>
        <w:rPr>
          <w:rFonts w:ascii="宋体" w:hAnsi="宋体"/>
          <w:bCs/>
          <w:kern w:val="28"/>
          <w:sz w:val="22"/>
          <w:szCs w:val="22"/>
        </w:rPr>
        <w:t>代理机构委托的公证机构（人员）检查，或由</w:t>
      </w:r>
      <w:r>
        <w:rPr>
          <w:rFonts w:hint="eastAsia" w:ascii="宋体" w:hAnsi="宋体"/>
          <w:bCs/>
          <w:kern w:val="28"/>
          <w:sz w:val="22"/>
          <w:szCs w:val="22"/>
        </w:rPr>
        <w:t>招标</w:t>
      </w:r>
      <w:r>
        <w:rPr>
          <w:rFonts w:ascii="宋体" w:hAnsi="宋体"/>
          <w:bCs/>
          <w:kern w:val="28"/>
          <w:sz w:val="22"/>
          <w:szCs w:val="22"/>
        </w:rPr>
        <w:t>人代表及投标文件第一递交登记人或投标人推选的代表检查。</w:t>
      </w:r>
    </w:p>
    <w:p>
      <w:pPr>
        <w:pStyle w:val="82"/>
        <w:numPr>
          <w:ilvl w:val="0"/>
          <w:numId w:val="33"/>
        </w:numPr>
        <w:snapToGrid w:val="0"/>
        <w:spacing w:line="360" w:lineRule="auto"/>
        <w:ind w:left="709" w:hanging="709" w:firstLineChars="0"/>
        <w:rPr>
          <w:rFonts w:ascii="宋体" w:hAnsi="宋体"/>
          <w:bCs/>
          <w:kern w:val="28"/>
          <w:sz w:val="22"/>
          <w:szCs w:val="22"/>
        </w:rPr>
      </w:pPr>
      <w:r>
        <w:rPr>
          <w:rFonts w:ascii="宋体" w:hAnsi="宋体"/>
          <w:bCs/>
          <w:kern w:val="28"/>
          <w:sz w:val="22"/>
          <w:szCs w:val="22"/>
        </w:rPr>
        <w:t>投标文件经检查无误后，采购代理机构当众拆封《唱标信封》，宣读投标人名称、</w:t>
      </w:r>
      <w:r>
        <w:rPr>
          <w:rFonts w:hint="eastAsia" w:ascii="宋体" w:hAnsi="宋体" w:cs="宋体"/>
          <w:bCs/>
          <w:kern w:val="28"/>
          <w:sz w:val="22"/>
          <w:szCs w:val="22"/>
        </w:rPr>
        <w:t>投标价格、价格折扣</w:t>
      </w:r>
      <w:r>
        <w:rPr>
          <w:rFonts w:ascii="宋体" w:hAnsi="宋体"/>
          <w:bCs/>
          <w:kern w:val="28"/>
          <w:sz w:val="22"/>
          <w:szCs w:val="22"/>
        </w:rPr>
        <w:t>及投标</w:t>
      </w:r>
      <w:r>
        <w:rPr>
          <w:rFonts w:hint="eastAsia" w:ascii="宋体" w:hAnsi="宋体"/>
          <w:bCs/>
          <w:kern w:val="28"/>
          <w:sz w:val="22"/>
          <w:szCs w:val="22"/>
        </w:rPr>
        <w:t>报价一览表的</w:t>
      </w:r>
      <w:r>
        <w:rPr>
          <w:rFonts w:ascii="宋体" w:hAnsi="宋体"/>
          <w:bCs/>
          <w:kern w:val="28"/>
          <w:sz w:val="22"/>
          <w:szCs w:val="22"/>
        </w:rPr>
        <w:t>其他主要内容。</w:t>
      </w:r>
    </w:p>
    <w:p>
      <w:pPr>
        <w:pStyle w:val="82"/>
        <w:numPr>
          <w:ilvl w:val="0"/>
          <w:numId w:val="33"/>
        </w:numPr>
        <w:snapToGrid w:val="0"/>
        <w:spacing w:line="360" w:lineRule="auto"/>
        <w:ind w:left="709" w:hanging="709" w:firstLineChars="0"/>
        <w:rPr>
          <w:rFonts w:ascii="宋体" w:hAnsi="宋体"/>
          <w:bCs/>
          <w:kern w:val="28"/>
          <w:sz w:val="22"/>
          <w:szCs w:val="22"/>
        </w:rPr>
      </w:pPr>
      <w:r>
        <w:rPr>
          <w:rFonts w:ascii="宋体" w:hAnsi="宋体"/>
          <w:bCs/>
          <w:kern w:val="28"/>
          <w:sz w:val="22"/>
          <w:szCs w:val="22"/>
        </w:rPr>
        <w:t>若采购代理机构宣读的结果与《唱标信封》</w:t>
      </w:r>
      <w:r>
        <w:rPr>
          <w:rFonts w:hint="eastAsia" w:ascii="宋体" w:hAnsi="宋体"/>
          <w:bCs/>
          <w:kern w:val="28"/>
          <w:sz w:val="22"/>
          <w:szCs w:val="22"/>
        </w:rPr>
        <w:t>内容</w:t>
      </w:r>
      <w:r>
        <w:rPr>
          <w:rFonts w:ascii="宋体" w:hAnsi="宋体"/>
          <w:bCs/>
          <w:kern w:val="28"/>
          <w:sz w:val="22"/>
          <w:szCs w:val="22"/>
        </w:rPr>
        <w:t>不符，投标人有权当场提出异议，经采购人或采购代理机构委托的公证机构（人员），或采购人及采购代理机构当场核查确认有误的，可重新宣读其《唱标信封》情况。若投标人当场未提出异议，则视为投标人已确认采购代理机构人宣读的结果。</w:t>
      </w:r>
    </w:p>
    <w:p>
      <w:pPr>
        <w:pStyle w:val="82"/>
        <w:numPr>
          <w:ilvl w:val="0"/>
          <w:numId w:val="33"/>
        </w:numPr>
        <w:snapToGrid w:val="0"/>
        <w:spacing w:line="360" w:lineRule="auto"/>
        <w:ind w:left="709" w:hanging="709" w:firstLineChars="0"/>
        <w:rPr>
          <w:rFonts w:ascii="宋体" w:hAnsi="宋体" w:cs="宋体"/>
          <w:sz w:val="22"/>
          <w:szCs w:val="22"/>
        </w:rPr>
      </w:pPr>
      <w:r>
        <w:rPr>
          <w:rFonts w:hint="eastAsia" w:ascii="宋体" w:hAnsi="宋体" w:cs="宋体"/>
          <w:sz w:val="22"/>
          <w:szCs w:val="22"/>
        </w:rPr>
        <w:t>投标人对开标有异议的，应当在开标现场提出，采购代理机构应当当场作出答复，并制作记录。</w:t>
      </w:r>
    </w:p>
    <w:p>
      <w:pPr>
        <w:pStyle w:val="82"/>
        <w:numPr>
          <w:ilvl w:val="0"/>
          <w:numId w:val="33"/>
        </w:numPr>
        <w:snapToGrid w:val="0"/>
        <w:spacing w:line="360" w:lineRule="auto"/>
        <w:ind w:left="709" w:hanging="709" w:firstLineChars="0"/>
        <w:rPr>
          <w:rFonts w:ascii="宋体" w:hAnsi="宋体" w:cs="宋体"/>
          <w:sz w:val="22"/>
          <w:szCs w:val="22"/>
        </w:rPr>
      </w:pPr>
      <w:r>
        <w:rPr>
          <w:rFonts w:hint="eastAsia" w:ascii="宋体" w:hAnsi="宋体" w:cs="宋体"/>
          <w:sz w:val="22"/>
          <w:szCs w:val="22"/>
        </w:rPr>
        <w:t>采购代理机构将做开标记录，开标记录包括第22.2.5款发生的异议及答复、按第22.2.4款的规定在开标时宣读的全部内容。</w:t>
      </w:r>
    </w:p>
    <w:p>
      <w:pPr>
        <w:pStyle w:val="46"/>
        <w:numPr>
          <w:ilvl w:val="0"/>
          <w:numId w:val="4"/>
        </w:numPr>
        <w:spacing w:line="360" w:lineRule="auto"/>
        <w:ind w:left="0" w:firstLine="0" w:firstLineChars="0"/>
        <w:outlineLvl w:val="2"/>
        <w:rPr>
          <w:rFonts w:ascii="宋体" w:hAnsi="宋体" w:cs="宋体"/>
          <w:b/>
          <w:bCs/>
          <w:sz w:val="22"/>
          <w:szCs w:val="22"/>
        </w:rPr>
      </w:pPr>
      <w:bookmarkStart w:id="255" w:name="_Toc29518"/>
      <w:bookmarkStart w:id="256" w:name="_Toc5137"/>
      <w:bookmarkStart w:id="257" w:name="_Toc441844080"/>
      <w:bookmarkStart w:id="258" w:name="_Toc18075"/>
      <w:bookmarkStart w:id="259" w:name="_Toc6381"/>
      <w:bookmarkStart w:id="260" w:name="_Toc439325688"/>
      <w:bookmarkStart w:id="261" w:name="_Toc46502769"/>
      <w:bookmarkStart w:id="262" w:name="_Toc3697"/>
      <w:r>
        <w:rPr>
          <w:rFonts w:hint="eastAsia" w:ascii="宋体" w:hAnsi="宋体" w:cs="宋体"/>
          <w:b/>
          <w:bCs/>
          <w:sz w:val="22"/>
          <w:szCs w:val="22"/>
        </w:rPr>
        <w:t>评标委员会</w:t>
      </w:r>
      <w:bookmarkEnd w:id="255"/>
      <w:bookmarkEnd w:id="256"/>
      <w:bookmarkEnd w:id="257"/>
      <w:bookmarkEnd w:id="258"/>
      <w:bookmarkEnd w:id="259"/>
      <w:bookmarkEnd w:id="260"/>
      <w:bookmarkEnd w:id="261"/>
      <w:bookmarkEnd w:id="262"/>
    </w:p>
    <w:p>
      <w:pPr>
        <w:pStyle w:val="82"/>
        <w:numPr>
          <w:ilvl w:val="0"/>
          <w:numId w:val="34"/>
        </w:numPr>
        <w:spacing w:line="360" w:lineRule="auto"/>
        <w:ind w:left="567" w:hanging="567" w:firstLineChars="0"/>
        <w:rPr>
          <w:rFonts w:ascii="宋体" w:hAnsi="宋体" w:cs="宋体"/>
          <w:sz w:val="22"/>
          <w:szCs w:val="22"/>
          <w:lang w:val="zh-CN"/>
        </w:rPr>
      </w:pPr>
      <w:r>
        <w:rPr>
          <w:rFonts w:hint="eastAsia" w:ascii="宋体" w:hAnsi="宋体" w:cs="宋体"/>
          <w:sz w:val="22"/>
          <w:szCs w:val="22"/>
          <w:lang w:val="zh-CN"/>
        </w:rPr>
        <w:t>依法组成评标委员会，成员人数为</w:t>
      </w:r>
      <w:r>
        <w:rPr>
          <w:rFonts w:hint="eastAsia" w:ascii="宋体" w:hAnsi="宋体" w:cs="宋体"/>
          <w:sz w:val="22"/>
          <w:szCs w:val="22"/>
        </w:rPr>
        <w:t>7</w:t>
      </w:r>
      <w:r>
        <w:rPr>
          <w:rFonts w:hint="eastAsia" w:ascii="宋体" w:hAnsi="宋体" w:cs="宋体"/>
          <w:sz w:val="22"/>
          <w:szCs w:val="22"/>
          <w:lang w:val="zh-CN"/>
        </w:rPr>
        <w:t>人。</w:t>
      </w:r>
    </w:p>
    <w:p>
      <w:pPr>
        <w:pStyle w:val="82"/>
        <w:numPr>
          <w:ilvl w:val="0"/>
          <w:numId w:val="34"/>
        </w:numPr>
        <w:spacing w:line="360" w:lineRule="auto"/>
        <w:ind w:left="567" w:hanging="567" w:firstLineChars="0"/>
        <w:rPr>
          <w:rFonts w:ascii="宋体" w:hAnsi="宋体" w:cs="宋体"/>
          <w:sz w:val="22"/>
          <w:szCs w:val="22"/>
          <w:lang w:val="zh-CN"/>
        </w:rPr>
      </w:pPr>
      <w:r>
        <w:rPr>
          <w:rFonts w:hint="eastAsia" w:ascii="宋体" w:hAnsi="宋体" w:cs="宋体"/>
          <w:sz w:val="22"/>
          <w:szCs w:val="22"/>
          <w:lang w:val="zh-CN"/>
        </w:rPr>
        <w:t>评标委员会将只对确定为实质上响应招标文件要求的投标，即对资格、符合性审查合格的投标文件进行商务和技术评估，响应的依据是招标文件本身的内容，而不寻求其它证据。实质上响应的投标应该是与招标文件要求的全部主要条款、条件和规格相符，没有重大偏离的投标。</w:t>
      </w:r>
    </w:p>
    <w:p>
      <w:pPr>
        <w:pStyle w:val="82"/>
        <w:numPr>
          <w:ilvl w:val="0"/>
          <w:numId w:val="34"/>
        </w:numPr>
        <w:spacing w:line="360" w:lineRule="auto"/>
        <w:ind w:left="567" w:hanging="567" w:firstLineChars="0"/>
        <w:rPr>
          <w:rFonts w:ascii="宋体" w:hAnsi="宋体" w:cs="宋体"/>
          <w:sz w:val="22"/>
          <w:szCs w:val="22"/>
          <w:lang w:val="zh-CN"/>
        </w:rPr>
      </w:pPr>
      <w:r>
        <w:rPr>
          <w:rFonts w:hint="eastAsia" w:ascii="宋体" w:hAnsi="宋体" w:cs="宋体"/>
          <w:sz w:val="22"/>
          <w:szCs w:val="22"/>
          <w:lang w:val="zh-CN"/>
        </w:rPr>
        <w:t>评标委员会依法根据招标文件的规定，进行投标文件的评审、得出评审结果，评标委员会递交评标报告并依法向招标人推荐中标候选人。</w:t>
      </w:r>
    </w:p>
    <w:p>
      <w:pPr>
        <w:pStyle w:val="82"/>
        <w:numPr>
          <w:ilvl w:val="0"/>
          <w:numId w:val="34"/>
        </w:numPr>
        <w:spacing w:line="360" w:lineRule="auto"/>
        <w:ind w:left="567" w:hanging="567" w:firstLineChars="0"/>
        <w:rPr>
          <w:rFonts w:ascii="宋体" w:hAnsi="宋体" w:cs="宋体"/>
          <w:sz w:val="22"/>
          <w:szCs w:val="22"/>
          <w:lang w:val="zh-CN"/>
        </w:rPr>
      </w:pPr>
      <w:r>
        <w:rPr>
          <w:rFonts w:hint="eastAsia" w:ascii="宋体" w:hAnsi="宋体" w:cs="宋体"/>
          <w:sz w:val="22"/>
          <w:szCs w:val="22"/>
          <w:lang w:val="zh-CN"/>
        </w:rPr>
        <w:t>所有参加评标人员必须遵守国家、地方政府以及东莞市交通投资集团有限公司制定的有关招标采购的法则、规定，遵守有关招标采购的保密制度；如有违反者，给予行政处分；情节严重，构成犯罪的，由司法机关依法追究其刑事责任。</w:t>
      </w:r>
    </w:p>
    <w:p>
      <w:pPr>
        <w:pStyle w:val="82"/>
        <w:numPr>
          <w:ilvl w:val="0"/>
          <w:numId w:val="34"/>
        </w:numPr>
        <w:spacing w:line="360" w:lineRule="auto"/>
        <w:ind w:left="567" w:hanging="567" w:firstLineChars="0"/>
        <w:rPr>
          <w:rFonts w:ascii="宋体" w:hAnsi="宋体" w:cs="宋体"/>
          <w:sz w:val="22"/>
          <w:szCs w:val="22"/>
          <w:lang w:val="zh-CN"/>
        </w:rPr>
      </w:pPr>
      <w:r>
        <w:rPr>
          <w:rFonts w:hint="eastAsia" w:ascii="宋体" w:hAnsi="宋体" w:cs="宋体"/>
          <w:sz w:val="22"/>
          <w:szCs w:val="22"/>
          <w:lang w:val="zh-CN"/>
        </w:rPr>
        <w:t>全体参与评标人员：</w:t>
      </w:r>
    </w:p>
    <w:p>
      <w:pPr>
        <w:pStyle w:val="82"/>
        <w:numPr>
          <w:ilvl w:val="0"/>
          <w:numId w:val="35"/>
        </w:numPr>
        <w:spacing w:line="360" w:lineRule="auto"/>
        <w:ind w:firstLineChars="0"/>
        <w:rPr>
          <w:rFonts w:ascii="宋体" w:hAnsi="宋体" w:cs="宋体"/>
          <w:sz w:val="22"/>
          <w:szCs w:val="22"/>
          <w:lang w:val="zh-CN"/>
        </w:rPr>
      </w:pPr>
      <w:r>
        <w:rPr>
          <w:rFonts w:hint="eastAsia" w:ascii="宋体" w:hAnsi="宋体" w:cs="宋体"/>
          <w:sz w:val="22"/>
          <w:szCs w:val="22"/>
          <w:lang w:val="zh-CN"/>
        </w:rPr>
        <w:t>必须遵守评标纪律、不得泄密；</w:t>
      </w:r>
    </w:p>
    <w:p>
      <w:pPr>
        <w:pStyle w:val="82"/>
        <w:numPr>
          <w:ilvl w:val="0"/>
          <w:numId w:val="35"/>
        </w:numPr>
        <w:spacing w:line="360" w:lineRule="auto"/>
        <w:ind w:firstLineChars="0"/>
        <w:rPr>
          <w:rFonts w:ascii="宋体" w:hAnsi="宋体" w:cs="宋体"/>
          <w:sz w:val="22"/>
          <w:szCs w:val="22"/>
          <w:lang w:val="zh-CN"/>
        </w:rPr>
      </w:pPr>
      <w:r>
        <w:rPr>
          <w:rFonts w:hint="eastAsia" w:ascii="宋体" w:hAnsi="宋体" w:cs="宋体"/>
          <w:sz w:val="22"/>
          <w:szCs w:val="22"/>
          <w:lang w:val="zh-CN"/>
        </w:rPr>
        <w:t>必须公正、不得循私；</w:t>
      </w:r>
    </w:p>
    <w:p>
      <w:pPr>
        <w:pStyle w:val="82"/>
        <w:numPr>
          <w:ilvl w:val="0"/>
          <w:numId w:val="35"/>
        </w:numPr>
        <w:spacing w:line="360" w:lineRule="auto"/>
        <w:ind w:firstLineChars="0"/>
        <w:rPr>
          <w:rFonts w:ascii="宋体" w:hAnsi="宋体" w:cs="宋体"/>
          <w:sz w:val="22"/>
          <w:szCs w:val="22"/>
          <w:lang w:val="zh-CN"/>
        </w:rPr>
      </w:pPr>
      <w:r>
        <w:rPr>
          <w:rFonts w:hint="eastAsia" w:ascii="宋体" w:hAnsi="宋体" w:cs="宋体"/>
          <w:sz w:val="22"/>
          <w:szCs w:val="22"/>
          <w:lang w:val="zh-CN"/>
        </w:rPr>
        <w:t>必须科学、不得草率；</w:t>
      </w:r>
    </w:p>
    <w:p>
      <w:pPr>
        <w:pStyle w:val="82"/>
        <w:numPr>
          <w:ilvl w:val="0"/>
          <w:numId w:val="35"/>
        </w:numPr>
        <w:spacing w:line="360" w:lineRule="auto"/>
        <w:ind w:firstLineChars="0"/>
        <w:rPr>
          <w:rFonts w:ascii="宋体" w:hAnsi="宋体" w:cs="宋体"/>
          <w:sz w:val="22"/>
          <w:szCs w:val="22"/>
          <w:lang w:val="zh-CN"/>
        </w:rPr>
      </w:pPr>
      <w:r>
        <w:rPr>
          <w:rFonts w:hint="eastAsia" w:ascii="宋体" w:hAnsi="宋体" w:cs="宋体"/>
          <w:sz w:val="22"/>
          <w:szCs w:val="22"/>
          <w:lang w:val="zh-CN"/>
        </w:rPr>
        <w:t>必须客观、不得带有成见；</w:t>
      </w:r>
    </w:p>
    <w:p>
      <w:pPr>
        <w:pStyle w:val="82"/>
        <w:numPr>
          <w:ilvl w:val="0"/>
          <w:numId w:val="35"/>
        </w:numPr>
        <w:spacing w:line="360" w:lineRule="auto"/>
        <w:ind w:firstLineChars="0"/>
        <w:rPr>
          <w:rFonts w:ascii="宋体" w:hAnsi="宋体" w:cs="宋体"/>
          <w:sz w:val="22"/>
          <w:szCs w:val="22"/>
          <w:lang w:val="zh-CN"/>
        </w:rPr>
      </w:pPr>
      <w:r>
        <w:rPr>
          <w:rFonts w:hint="eastAsia" w:ascii="宋体" w:hAnsi="宋体" w:cs="宋体"/>
          <w:sz w:val="22"/>
          <w:szCs w:val="22"/>
          <w:lang w:val="zh-CN"/>
        </w:rPr>
        <w:t>必须平等、不得强加于人；</w:t>
      </w:r>
    </w:p>
    <w:p>
      <w:pPr>
        <w:pStyle w:val="82"/>
        <w:numPr>
          <w:ilvl w:val="0"/>
          <w:numId w:val="35"/>
        </w:numPr>
        <w:spacing w:line="360" w:lineRule="auto"/>
        <w:ind w:firstLineChars="0"/>
        <w:rPr>
          <w:rFonts w:ascii="宋体" w:hAnsi="宋体" w:cs="宋体"/>
          <w:sz w:val="22"/>
          <w:szCs w:val="22"/>
          <w:lang w:val="zh-CN"/>
        </w:rPr>
      </w:pPr>
      <w:r>
        <w:rPr>
          <w:rFonts w:hint="eastAsia" w:ascii="宋体" w:hAnsi="宋体" w:cs="宋体"/>
          <w:sz w:val="22"/>
          <w:szCs w:val="22"/>
          <w:lang w:val="zh-CN"/>
        </w:rPr>
        <w:t>必须严谨、不得随意马虎。</w:t>
      </w:r>
    </w:p>
    <w:p>
      <w:pPr>
        <w:pStyle w:val="46"/>
        <w:numPr>
          <w:ilvl w:val="0"/>
          <w:numId w:val="4"/>
        </w:numPr>
        <w:spacing w:line="360" w:lineRule="auto"/>
        <w:ind w:left="0" w:firstLine="0" w:firstLineChars="0"/>
        <w:outlineLvl w:val="2"/>
        <w:rPr>
          <w:rFonts w:ascii="宋体" w:hAnsi="宋体" w:cs="宋体"/>
          <w:b/>
          <w:bCs/>
          <w:sz w:val="22"/>
          <w:szCs w:val="22"/>
        </w:rPr>
      </w:pPr>
      <w:bookmarkStart w:id="263" w:name="_Toc23141"/>
      <w:bookmarkStart w:id="264" w:name="_Toc4897"/>
      <w:bookmarkStart w:id="265" w:name="_Toc86"/>
      <w:bookmarkStart w:id="266" w:name="_Toc441844081"/>
      <w:bookmarkStart w:id="267" w:name="_Toc11482"/>
      <w:bookmarkStart w:id="268" w:name="_Toc46502770"/>
      <w:bookmarkStart w:id="269" w:name="_Toc11722"/>
      <w:r>
        <w:rPr>
          <w:rFonts w:hint="eastAsia" w:ascii="宋体" w:hAnsi="宋体" w:cs="宋体"/>
          <w:b/>
          <w:bCs/>
          <w:sz w:val="22"/>
          <w:szCs w:val="22"/>
        </w:rPr>
        <w:t>评标过程的保密性</w:t>
      </w:r>
      <w:bookmarkEnd w:id="263"/>
      <w:bookmarkEnd w:id="264"/>
      <w:bookmarkEnd w:id="265"/>
      <w:bookmarkEnd w:id="266"/>
      <w:bookmarkEnd w:id="267"/>
      <w:bookmarkEnd w:id="268"/>
      <w:bookmarkEnd w:id="269"/>
    </w:p>
    <w:p>
      <w:pPr>
        <w:pStyle w:val="82"/>
        <w:numPr>
          <w:ilvl w:val="0"/>
          <w:numId w:val="36"/>
        </w:numPr>
        <w:tabs>
          <w:tab w:val="left" w:pos="567"/>
        </w:tabs>
        <w:spacing w:line="360" w:lineRule="auto"/>
        <w:ind w:left="567" w:right="18" w:hanging="567" w:firstLineChars="0"/>
        <w:rPr>
          <w:rFonts w:ascii="宋体" w:hAnsi="宋体" w:cs="宋体"/>
          <w:sz w:val="22"/>
          <w:szCs w:val="22"/>
          <w:lang w:val="zh-CN"/>
        </w:rPr>
      </w:pPr>
      <w:r>
        <w:rPr>
          <w:rFonts w:hint="eastAsia" w:ascii="宋体" w:hAnsi="宋体" w:cs="宋体"/>
          <w:sz w:val="22"/>
          <w:szCs w:val="22"/>
          <w:lang w:val="zh-CN"/>
        </w:rPr>
        <w:t>递交投标文件后，直至向中标人授予合同时止，凡与审查、澄清、评估和比较投标报价的有关资料以及授标意见等，参与评标工作的有关人员均不得向投标人及与评审无关的其他人透露，否则追究有关当事人的法律责任。</w:t>
      </w:r>
    </w:p>
    <w:p>
      <w:pPr>
        <w:pStyle w:val="82"/>
        <w:numPr>
          <w:ilvl w:val="0"/>
          <w:numId w:val="36"/>
        </w:numPr>
        <w:tabs>
          <w:tab w:val="left" w:pos="567"/>
        </w:tabs>
        <w:spacing w:line="360" w:lineRule="auto"/>
        <w:ind w:left="567" w:right="18" w:hanging="567" w:firstLineChars="0"/>
        <w:rPr>
          <w:rFonts w:ascii="宋体" w:hAnsi="宋体" w:cs="宋体"/>
          <w:sz w:val="22"/>
          <w:szCs w:val="22"/>
          <w:lang w:val="zh-CN"/>
        </w:rPr>
      </w:pPr>
      <w:r>
        <w:rPr>
          <w:rFonts w:hint="eastAsia" w:ascii="宋体" w:hAnsi="宋体" w:cs="宋体"/>
          <w:sz w:val="22"/>
          <w:szCs w:val="22"/>
          <w:lang w:val="zh-CN"/>
        </w:rPr>
        <w:t>在评标过程中，如果投标人试图在投标文件审查、澄清、比较及授予合同方面向招标代理机构和招标人施加任何影响，其投标文件将被拒绝。</w:t>
      </w:r>
    </w:p>
    <w:p>
      <w:pPr>
        <w:pStyle w:val="82"/>
        <w:numPr>
          <w:ilvl w:val="0"/>
          <w:numId w:val="36"/>
        </w:numPr>
        <w:tabs>
          <w:tab w:val="left" w:pos="567"/>
        </w:tabs>
        <w:spacing w:line="360" w:lineRule="auto"/>
        <w:ind w:left="567" w:right="18" w:hanging="567" w:firstLineChars="0"/>
        <w:rPr>
          <w:rFonts w:ascii="宋体" w:hAnsi="宋体" w:cs="宋体"/>
          <w:sz w:val="22"/>
          <w:szCs w:val="22"/>
        </w:rPr>
      </w:pPr>
      <w:r>
        <w:rPr>
          <w:rFonts w:hint="eastAsia" w:ascii="宋体" w:hAnsi="宋体" w:cs="宋体"/>
          <w:sz w:val="22"/>
          <w:szCs w:val="22"/>
        </w:rPr>
        <w:t>凡参与评标工作的有关人员均应自觉接受招标人或招标人主管部门或相关招标主管部门的监督，不得向他人透露已获得招标文件的潜在投标人的名称、数量以及可能影响公平竞争的有关投标报价的其他情况。</w:t>
      </w:r>
    </w:p>
    <w:p>
      <w:pPr>
        <w:pStyle w:val="46"/>
        <w:numPr>
          <w:ilvl w:val="0"/>
          <w:numId w:val="4"/>
        </w:numPr>
        <w:spacing w:line="360" w:lineRule="auto"/>
        <w:ind w:left="0" w:firstLine="0" w:firstLineChars="0"/>
        <w:outlineLvl w:val="2"/>
        <w:rPr>
          <w:rFonts w:ascii="宋体" w:hAnsi="宋体" w:cs="宋体"/>
          <w:b/>
          <w:bCs/>
          <w:sz w:val="22"/>
          <w:szCs w:val="22"/>
        </w:rPr>
      </w:pPr>
      <w:bookmarkStart w:id="270" w:name="_Toc441844082"/>
      <w:bookmarkStart w:id="271" w:name="_Toc19483"/>
      <w:bookmarkStart w:id="272" w:name="_Toc46502771"/>
      <w:bookmarkStart w:id="273" w:name="_Toc1282"/>
      <w:bookmarkStart w:id="274" w:name="_Toc32232"/>
      <w:bookmarkStart w:id="275" w:name="_Toc17986"/>
      <w:bookmarkStart w:id="276" w:name="_Toc10020"/>
      <w:r>
        <w:rPr>
          <w:rFonts w:hint="eastAsia" w:ascii="宋体" w:hAnsi="宋体" w:cs="宋体"/>
          <w:b/>
          <w:bCs/>
          <w:sz w:val="22"/>
          <w:szCs w:val="22"/>
        </w:rPr>
        <w:t>投标文件</w:t>
      </w:r>
      <w:bookmarkEnd w:id="270"/>
      <w:r>
        <w:rPr>
          <w:rFonts w:hint="eastAsia" w:ascii="宋体" w:hAnsi="宋体" w:cs="宋体"/>
          <w:b/>
          <w:bCs/>
          <w:sz w:val="22"/>
          <w:szCs w:val="22"/>
        </w:rPr>
        <w:t>评审</w:t>
      </w:r>
      <w:bookmarkEnd w:id="271"/>
      <w:bookmarkEnd w:id="272"/>
      <w:bookmarkEnd w:id="273"/>
      <w:bookmarkEnd w:id="274"/>
      <w:bookmarkEnd w:id="275"/>
      <w:bookmarkEnd w:id="276"/>
    </w:p>
    <w:p>
      <w:pPr>
        <w:pStyle w:val="82"/>
        <w:numPr>
          <w:ilvl w:val="0"/>
          <w:numId w:val="37"/>
        </w:numPr>
        <w:spacing w:line="360" w:lineRule="auto"/>
        <w:ind w:firstLineChars="0"/>
        <w:rPr>
          <w:rFonts w:ascii="宋体" w:hAnsi="宋体" w:cs="宋体"/>
          <w:sz w:val="22"/>
          <w:szCs w:val="22"/>
          <w:lang w:val="zh-CN"/>
        </w:rPr>
      </w:pPr>
      <w:r>
        <w:rPr>
          <w:rFonts w:hint="eastAsia" w:ascii="宋体" w:hAnsi="宋体" w:cs="宋体"/>
          <w:sz w:val="22"/>
          <w:szCs w:val="22"/>
          <w:lang w:val="zh-CN"/>
        </w:rPr>
        <w:t>评标委员会应当对投标人的投标文件进行资格、符合性审查，以确定其是否满足招标文件的实质性要求（详见第三章评标办法）。</w:t>
      </w:r>
    </w:p>
    <w:p>
      <w:pPr>
        <w:pStyle w:val="82"/>
        <w:numPr>
          <w:ilvl w:val="0"/>
          <w:numId w:val="37"/>
        </w:numPr>
        <w:spacing w:line="360" w:lineRule="auto"/>
        <w:ind w:firstLineChars="0"/>
        <w:rPr>
          <w:rFonts w:ascii="宋体" w:hAnsi="宋体" w:cs="宋体"/>
          <w:sz w:val="22"/>
          <w:szCs w:val="22"/>
        </w:rPr>
      </w:pPr>
      <w:bookmarkStart w:id="277" w:name="_Toc46502772"/>
      <w:bookmarkEnd w:id="277"/>
      <w:bookmarkStart w:id="278" w:name="_Toc27315"/>
      <w:bookmarkStart w:id="279" w:name="_Toc32216"/>
      <w:bookmarkStart w:id="280" w:name="_Toc46502773"/>
      <w:bookmarkStart w:id="281" w:name="_Toc441844083"/>
      <w:bookmarkStart w:id="282" w:name="_Toc16453"/>
      <w:r>
        <w:rPr>
          <w:rFonts w:hint="eastAsia" w:ascii="宋体" w:hAnsi="宋体" w:cs="宋体"/>
          <w:sz w:val="22"/>
          <w:szCs w:val="22"/>
        </w:rPr>
        <w:t>投标截止后投标人不足3家或者通过资格、符合性审查的投标人不足3家的，招标代理机构将依法重新招标；如果招标文件存在不合理条款或者招标程序不符合规定的，招标人、招标代理机构改正后依法重新招标。</w:t>
      </w:r>
    </w:p>
    <w:p>
      <w:pPr>
        <w:pStyle w:val="46"/>
        <w:numPr>
          <w:ilvl w:val="0"/>
          <w:numId w:val="4"/>
        </w:numPr>
        <w:spacing w:line="360" w:lineRule="auto"/>
        <w:ind w:left="0" w:firstLine="0" w:firstLineChars="0"/>
        <w:outlineLvl w:val="2"/>
        <w:rPr>
          <w:rFonts w:ascii="宋体" w:hAnsi="宋体" w:cs="宋体"/>
          <w:b/>
          <w:bCs/>
          <w:sz w:val="22"/>
          <w:szCs w:val="22"/>
        </w:rPr>
      </w:pPr>
      <w:bookmarkStart w:id="283" w:name="_Toc27977"/>
      <w:bookmarkStart w:id="284" w:name="_Toc17371"/>
      <w:r>
        <w:rPr>
          <w:rFonts w:hint="eastAsia" w:ascii="宋体" w:hAnsi="宋体" w:cs="宋体"/>
          <w:b/>
          <w:bCs/>
          <w:sz w:val="22"/>
          <w:szCs w:val="22"/>
        </w:rPr>
        <w:t>投标文件的澄清</w:t>
      </w:r>
      <w:bookmarkEnd w:id="278"/>
      <w:bookmarkEnd w:id="279"/>
      <w:bookmarkEnd w:id="280"/>
      <w:bookmarkEnd w:id="281"/>
      <w:bookmarkEnd w:id="282"/>
      <w:bookmarkEnd w:id="283"/>
      <w:bookmarkEnd w:id="284"/>
    </w:p>
    <w:p>
      <w:pPr>
        <w:pStyle w:val="82"/>
        <w:numPr>
          <w:ilvl w:val="0"/>
          <w:numId w:val="38"/>
        </w:numPr>
        <w:spacing w:line="360" w:lineRule="auto"/>
        <w:ind w:right="18" w:firstLineChars="0"/>
        <w:rPr>
          <w:rFonts w:ascii="宋体" w:hAnsi="宋体" w:cs="宋体"/>
          <w:sz w:val="22"/>
          <w:szCs w:val="22"/>
          <w:lang w:val="zh-CN"/>
        </w:rPr>
      </w:pPr>
      <w:r>
        <w:rPr>
          <w:rFonts w:hint="eastAsia" w:ascii="宋体" w:hAnsi="宋体" w:cs="宋体"/>
          <w:sz w:val="22"/>
          <w:szCs w:val="22"/>
          <w:lang w:val="zh-CN"/>
        </w:rPr>
        <w:t>对投标文件中含义不明确、同类问题表述不一致或者有明显文字和计算错误的内容，评标委员会认为需要投标人作出必要澄清、说明的，应当书面通知该投标人。投标人的澄清、说明或者补正应当采用书面形式，并不得超出投标文件的范围或者改变投标文件的实质性内容。</w:t>
      </w:r>
    </w:p>
    <w:p>
      <w:pPr>
        <w:pStyle w:val="82"/>
        <w:numPr>
          <w:ilvl w:val="0"/>
          <w:numId w:val="38"/>
        </w:numPr>
        <w:spacing w:line="360" w:lineRule="auto"/>
        <w:ind w:right="18" w:firstLineChars="0"/>
        <w:rPr>
          <w:rFonts w:ascii="宋体" w:hAnsi="宋体" w:cs="宋体"/>
          <w:sz w:val="22"/>
          <w:szCs w:val="22"/>
          <w:lang w:val="zh-CN"/>
        </w:rPr>
      </w:pPr>
      <w:r>
        <w:rPr>
          <w:rFonts w:hint="eastAsia" w:ascii="宋体" w:hAnsi="宋体" w:cs="宋体"/>
          <w:sz w:val="22"/>
          <w:szCs w:val="22"/>
          <w:lang w:val="zh-CN"/>
        </w:rPr>
        <w:t>除评标委员会主动要求澄清、说明或者纠正外，评标定标期间，任何投标人均不得就与其投标相关的任何问题与评标委员会联系。</w:t>
      </w:r>
    </w:p>
    <w:p>
      <w:pPr>
        <w:pStyle w:val="82"/>
        <w:numPr>
          <w:ilvl w:val="0"/>
          <w:numId w:val="38"/>
        </w:numPr>
        <w:spacing w:line="360" w:lineRule="auto"/>
        <w:ind w:right="18" w:firstLineChars="0"/>
        <w:rPr>
          <w:rFonts w:ascii="宋体" w:hAnsi="宋体" w:cs="宋体"/>
          <w:sz w:val="22"/>
          <w:szCs w:val="22"/>
          <w:lang w:val="zh-CN"/>
        </w:rPr>
      </w:pPr>
      <w:r>
        <w:rPr>
          <w:rFonts w:hint="eastAsia" w:ascii="宋体" w:hAnsi="宋体" w:cs="宋体"/>
          <w:sz w:val="22"/>
          <w:szCs w:val="22"/>
          <w:lang w:val="zh-CN"/>
        </w:rPr>
        <w:t>评标委员会成员均应当阅读投标人的澄清，但应独立参考澄清对投标文件进行评审。整个澄清的过程不得存在排斥潜在投标人的现象。</w:t>
      </w:r>
    </w:p>
    <w:p>
      <w:pPr>
        <w:pStyle w:val="82"/>
        <w:numPr>
          <w:ilvl w:val="0"/>
          <w:numId w:val="38"/>
        </w:numPr>
        <w:spacing w:line="360" w:lineRule="auto"/>
        <w:ind w:right="18" w:firstLineChars="0"/>
        <w:rPr>
          <w:rFonts w:ascii="宋体" w:hAnsi="宋体" w:cs="宋体"/>
          <w:sz w:val="22"/>
          <w:szCs w:val="22"/>
          <w:lang w:val="zh-CN"/>
        </w:rPr>
      </w:pPr>
      <w:r>
        <w:rPr>
          <w:rFonts w:hint="eastAsia" w:ascii="宋体" w:hAnsi="宋体" w:cs="宋体"/>
          <w:sz w:val="22"/>
          <w:szCs w:val="22"/>
          <w:lang w:val="zh-CN"/>
        </w:rPr>
        <w:t>如果投标文件实质上不响应招标文件的各项要求，评标委员会将按照资格、符合性审查标准予以拒绝，不接受投标人通过修改或撤销其不符合要求的差异或保留，使之成为具有响应性的投标。</w:t>
      </w:r>
    </w:p>
    <w:p>
      <w:pPr>
        <w:pStyle w:val="46"/>
        <w:numPr>
          <w:ilvl w:val="0"/>
          <w:numId w:val="4"/>
        </w:numPr>
        <w:spacing w:line="360" w:lineRule="auto"/>
        <w:ind w:left="0" w:firstLine="0" w:firstLineChars="0"/>
        <w:outlineLvl w:val="2"/>
        <w:rPr>
          <w:rFonts w:ascii="宋体" w:hAnsi="宋体" w:cs="宋体"/>
          <w:b/>
          <w:bCs/>
          <w:sz w:val="22"/>
          <w:szCs w:val="22"/>
        </w:rPr>
      </w:pPr>
      <w:bookmarkStart w:id="285" w:name="_Toc26568"/>
      <w:bookmarkStart w:id="286" w:name="_Toc30332"/>
      <w:bookmarkStart w:id="287" w:name="_Toc46502774"/>
      <w:bookmarkStart w:id="288" w:name="_Toc5746"/>
      <w:bookmarkStart w:id="289" w:name="_Toc13055"/>
      <w:bookmarkStart w:id="290" w:name="_Toc26997"/>
      <w:r>
        <w:rPr>
          <w:rFonts w:hint="eastAsia" w:ascii="宋体" w:hAnsi="宋体" w:cs="宋体"/>
          <w:b/>
          <w:bCs/>
          <w:sz w:val="22"/>
          <w:szCs w:val="22"/>
        </w:rPr>
        <w:t>对投标文件的比较和评价</w:t>
      </w:r>
      <w:bookmarkEnd w:id="285"/>
      <w:bookmarkEnd w:id="286"/>
      <w:bookmarkEnd w:id="287"/>
      <w:bookmarkEnd w:id="288"/>
      <w:bookmarkEnd w:id="289"/>
      <w:bookmarkEnd w:id="290"/>
    </w:p>
    <w:p>
      <w:pPr>
        <w:pStyle w:val="82"/>
        <w:numPr>
          <w:ilvl w:val="0"/>
          <w:numId w:val="39"/>
        </w:numPr>
        <w:spacing w:line="360" w:lineRule="auto"/>
        <w:ind w:right="18" w:firstLineChars="0"/>
        <w:rPr>
          <w:rFonts w:ascii="宋体" w:hAnsi="宋体" w:cs="宋体"/>
          <w:sz w:val="22"/>
          <w:szCs w:val="22"/>
          <w:lang w:val="zh-CN"/>
        </w:rPr>
      </w:pPr>
      <w:r>
        <w:rPr>
          <w:rFonts w:hint="eastAsia" w:ascii="宋体" w:hAnsi="宋体" w:cs="宋体"/>
          <w:sz w:val="22"/>
          <w:szCs w:val="22"/>
          <w:lang w:val="zh-CN"/>
        </w:rPr>
        <w:t>评标委员会将对资格、符合性审查合格的投标文件进行比较和评价，包括技术、商务的详细评审，详见第三章《评标办法》。</w:t>
      </w:r>
    </w:p>
    <w:p>
      <w:pPr>
        <w:pStyle w:val="46"/>
        <w:numPr>
          <w:ilvl w:val="0"/>
          <w:numId w:val="4"/>
        </w:numPr>
        <w:spacing w:line="360" w:lineRule="auto"/>
        <w:ind w:left="0" w:firstLine="0" w:firstLineChars="0"/>
        <w:outlineLvl w:val="2"/>
        <w:rPr>
          <w:rFonts w:ascii="宋体" w:hAnsi="宋体" w:cs="宋体"/>
          <w:b/>
          <w:bCs/>
          <w:sz w:val="22"/>
          <w:szCs w:val="22"/>
        </w:rPr>
      </w:pPr>
      <w:bookmarkStart w:id="291" w:name="_Toc441844084"/>
      <w:bookmarkStart w:id="292" w:name="_Toc3010"/>
      <w:bookmarkStart w:id="293" w:name="_Toc5268"/>
      <w:bookmarkStart w:id="294" w:name="_Toc46502775"/>
      <w:bookmarkStart w:id="295" w:name="_Toc4261"/>
      <w:bookmarkStart w:id="296" w:name="_Toc9265"/>
      <w:bookmarkStart w:id="297" w:name="_Toc13281"/>
      <w:r>
        <w:rPr>
          <w:rFonts w:hint="eastAsia" w:ascii="宋体" w:hAnsi="宋体" w:cs="宋体"/>
          <w:b/>
          <w:bCs/>
          <w:sz w:val="22"/>
          <w:szCs w:val="22"/>
        </w:rPr>
        <w:t>评标原则及方法</w:t>
      </w:r>
      <w:bookmarkEnd w:id="291"/>
      <w:bookmarkEnd w:id="292"/>
      <w:bookmarkEnd w:id="293"/>
      <w:bookmarkEnd w:id="294"/>
      <w:bookmarkEnd w:id="295"/>
      <w:bookmarkEnd w:id="296"/>
      <w:bookmarkEnd w:id="297"/>
    </w:p>
    <w:p>
      <w:pPr>
        <w:pStyle w:val="82"/>
        <w:numPr>
          <w:ilvl w:val="0"/>
          <w:numId w:val="40"/>
        </w:numPr>
        <w:tabs>
          <w:tab w:val="left" w:pos="360"/>
        </w:tabs>
        <w:spacing w:line="360" w:lineRule="auto"/>
        <w:ind w:left="567" w:right="51" w:hanging="567" w:firstLineChars="0"/>
        <w:rPr>
          <w:rFonts w:ascii="宋体" w:hAnsi="宋体" w:cs="宋体"/>
          <w:sz w:val="22"/>
          <w:szCs w:val="22"/>
          <w:lang w:val="zh-CN"/>
        </w:rPr>
      </w:pPr>
      <w:r>
        <w:rPr>
          <w:rFonts w:hint="eastAsia" w:ascii="宋体" w:hAnsi="宋体" w:cs="宋体"/>
          <w:sz w:val="22"/>
          <w:szCs w:val="22"/>
          <w:lang w:val="zh-CN"/>
        </w:rPr>
        <w:t>坚持“公开、公平、公正、科学、择优”的评标原则，严格评审。</w:t>
      </w:r>
    </w:p>
    <w:p>
      <w:pPr>
        <w:pStyle w:val="82"/>
        <w:numPr>
          <w:ilvl w:val="0"/>
          <w:numId w:val="40"/>
        </w:numPr>
        <w:tabs>
          <w:tab w:val="left" w:pos="360"/>
        </w:tabs>
        <w:spacing w:line="360" w:lineRule="auto"/>
        <w:ind w:left="567" w:right="51" w:hanging="567" w:firstLineChars="0"/>
        <w:rPr>
          <w:rFonts w:ascii="宋体" w:hAnsi="宋体" w:cs="宋体"/>
          <w:sz w:val="22"/>
          <w:szCs w:val="22"/>
          <w:lang w:val="zh-CN"/>
        </w:rPr>
      </w:pPr>
      <w:r>
        <w:rPr>
          <w:rFonts w:hint="eastAsia" w:ascii="宋体" w:hAnsi="宋体" w:cs="宋体"/>
          <w:sz w:val="22"/>
          <w:szCs w:val="22"/>
          <w:lang w:val="zh-CN"/>
        </w:rPr>
        <w:t>确定中标人的评标准则是：能够最大限度满足招标文件中规定的各项综合评价标准。</w:t>
      </w:r>
    </w:p>
    <w:p>
      <w:pPr>
        <w:pStyle w:val="82"/>
        <w:numPr>
          <w:ilvl w:val="0"/>
          <w:numId w:val="40"/>
        </w:numPr>
        <w:tabs>
          <w:tab w:val="left" w:pos="360"/>
        </w:tabs>
        <w:spacing w:line="360" w:lineRule="auto"/>
        <w:ind w:left="567" w:right="51" w:hanging="567" w:firstLineChars="0"/>
        <w:rPr>
          <w:rFonts w:ascii="宋体" w:hAnsi="宋体" w:cs="宋体"/>
          <w:sz w:val="22"/>
          <w:szCs w:val="22"/>
          <w:lang w:val="zh-CN"/>
        </w:rPr>
      </w:pPr>
      <w:r>
        <w:rPr>
          <w:rFonts w:hint="eastAsia" w:ascii="宋体" w:hAnsi="宋体" w:cs="宋体"/>
          <w:sz w:val="22"/>
          <w:szCs w:val="22"/>
          <w:lang w:val="zh-CN"/>
        </w:rPr>
        <w:t>具体评标方法</w:t>
      </w:r>
      <w:r>
        <w:rPr>
          <w:rFonts w:hint="eastAsia" w:ascii="宋体" w:hAnsi="宋体" w:cs="宋体"/>
          <w:b/>
          <w:sz w:val="22"/>
          <w:szCs w:val="22"/>
        </w:rPr>
        <w:t>详见第三章《评标办法》</w:t>
      </w:r>
      <w:r>
        <w:rPr>
          <w:rFonts w:hint="eastAsia" w:ascii="宋体" w:hAnsi="宋体" w:cs="宋体"/>
          <w:sz w:val="22"/>
          <w:szCs w:val="22"/>
        </w:rPr>
        <w:t>。</w:t>
      </w:r>
    </w:p>
    <w:p>
      <w:pPr>
        <w:pStyle w:val="46"/>
        <w:numPr>
          <w:ilvl w:val="0"/>
          <w:numId w:val="4"/>
        </w:numPr>
        <w:spacing w:line="360" w:lineRule="auto"/>
        <w:ind w:left="0" w:firstLine="0" w:firstLineChars="0"/>
        <w:outlineLvl w:val="2"/>
        <w:rPr>
          <w:rFonts w:ascii="宋体" w:hAnsi="宋体" w:cs="宋体"/>
          <w:b/>
          <w:bCs/>
          <w:sz w:val="22"/>
          <w:szCs w:val="22"/>
        </w:rPr>
      </w:pPr>
      <w:bookmarkStart w:id="298" w:name="_Toc441844085"/>
      <w:bookmarkStart w:id="299" w:name="_Toc30237"/>
      <w:bookmarkStart w:id="300" w:name="_Toc13912"/>
      <w:bookmarkStart w:id="301" w:name="_Toc11229"/>
      <w:bookmarkStart w:id="302" w:name="_Toc15222"/>
      <w:bookmarkStart w:id="303" w:name="_Toc46502776"/>
      <w:bookmarkStart w:id="304" w:name="_Toc3645"/>
      <w:r>
        <w:rPr>
          <w:rFonts w:hint="eastAsia" w:ascii="宋体" w:hAnsi="宋体" w:cs="宋体"/>
          <w:b/>
          <w:bCs/>
          <w:sz w:val="22"/>
          <w:szCs w:val="22"/>
        </w:rPr>
        <w:t>评标结果公示</w:t>
      </w:r>
      <w:bookmarkEnd w:id="298"/>
      <w:r>
        <w:rPr>
          <w:rFonts w:hint="eastAsia" w:ascii="宋体" w:hAnsi="宋体" w:cs="宋体"/>
          <w:b/>
          <w:bCs/>
          <w:sz w:val="22"/>
          <w:szCs w:val="22"/>
        </w:rPr>
        <w:t>及异议、投诉</w:t>
      </w:r>
      <w:bookmarkEnd w:id="299"/>
      <w:bookmarkEnd w:id="300"/>
      <w:bookmarkEnd w:id="301"/>
      <w:bookmarkEnd w:id="302"/>
      <w:bookmarkEnd w:id="303"/>
      <w:bookmarkEnd w:id="304"/>
    </w:p>
    <w:p>
      <w:pPr>
        <w:pStyle w:val="82"/>
        <w:numPr>
          <w:ilvl w:val="0"/>
          <w:numId w:val="41"/>
        </w:numPr>
        <w:spacing w:line="360" w:lineRule="auto"/>
        <w:ind w:firstLineChars="0"/>
        <w:rPr>
          <w:rFonts w:hAnsi="宋体"/>
          <w:sz w:val="22"/>
          <w:szCs w:val="22"/>
          <w:lang w:val="zh-CN"/>
        </w:rPr>
      </w:pPr>
      <w:r>
        <w:rPr>
          <w:rFonts w:hint="eastAsia" w:ascii="宋体" w:hAnsi="宋体" w:cs="宋体"/>
          <w:sz w:val="22"/>
          <w:szCs w:val="22"/>
          <w:lang w:val="zh-CN"/>
        </w:rPr>
        <w:t>招标代理机构在招标公告发布媒体公示中标候选人，公示期为3日。投标人或者其他利害关系人对评标结果有异议的，应当在中标候选人公示期间向招标代理机构以书面的形式提出，并将完整的异议书面材料原件送达招标代理机构，逾期则视为对评标结果无异议。超</w:t>
      </w:r>
      <w:r>
        <w:rPr>
          <w:rFonts w:hint="eastAsia" w:hAnsi="宋体"/>
          <w:sz w:val="22"/>
          <w:szCs w:val="22"/>
          <w:lang w:val="zh-CN"/>
        </w:rPr>
        <w:t>出提交异议截止时间而提出的任何疑问，招标代理机构可不予答复。</w:t>
      </w:r>
    </w:p>
    <w:p>
      <w:pPr>
        <w:spacing w:line="360" w:lineRule="auto"/>
        <w:ind w:left="424" w:leftChars="202" w:firstLine="440" w:firstLineChars="200"/>
        <w:rPr>
          <w:rFonts w:hAnsi="宋体"/>
          <w:sz w:val="22"/>
          <w:szCs w:val="22"/>
          <w:lang w:val="zh-CN"/>
        </w:rPr>
      </w:pPr>
      <w:r>
        <w:rPr>
          <w:rFonts w:hint="eastAsia" w:hAnsi="宋体"/>
          <w:sz w:val="22"/>
          <w:szCs w:val="22"/>
          <w:lang w:val="zh-CN"/>
        </w:rPr>
        <w:t>招标代理机构将拒收未能提供完整异议书面材料的异议，完整的异议书面材料必须同时包含：异议书（加盖法人公章，注明联系人、联系电话、联系地址）、授权提交异议的法定代表人授权书原件、反映异议人主体资格的营业执照复印件（加盖法人公章）、以及合法来源的证据证明材料。</w:t>
      </w:r>
    </w:p>
    <w:p>
      <w:pPr>
        <w:pStyle w:val="82"/>
        <w:numPr>
          <w:ilvl w:val="0"/>
          <w:numId w:val="41"/>
        </w:numPr>
        <w:spacing w:line="360" w:lineRule="auto"/>
        <w:ind w:firstLineChars="0"/>
        <w:rPr>
          <w:rFonts w:hAnsi="宋体"/>
          <w:sz w:val="22"/>
          <w:szCs w:val="22"/>
          <w:lang w:val="zh-CN"/>
        </w:rPr>
      </w:pPr>
      <w:r>
        <w:rPr>
          <w:rFonts w:hint="eastAsia" w:hAnsi="宋体"/>
          <w:sz w:val="22"/>
          <w:szCs w:val="22"/>
          <w:lang w:val="zh-CN"/>
        </w:rPr>
        <w:t>结果公示后，中标候选人有义务在结果公示之日起3日内提交投标文件中所提供的资格证明文件、业绩证明文件、对招标文件实质性条款响应文件、履约能力证明文件的原件供招标人核查，招标人如发现投标人提供虚假证明文件、虚假响应文件等弄虚作假行为骗取中标的，招标人有权取消其中标资格，不予退还其投标保证金。涉嫌违法犯罪的，将</w:t>
      </w:r>
      <w:r>
        <w:rPr>
          <w:rFonts w:hAnsi="宋体"/>
          <w:sz w:val="22"/>
          <w:szCs w:val="22"/>
          <w:lang w:val="zh-CN"/>
        </w:rPr>
        <w:t>移交司法机关处理</w:t>
      </w:r>
      <w:r>
        <w:rPr>
          <w:rFonts w:hint="eastAsia" w:hAnsi="宋体"/>
          <w:sz w:val="22"/>
          <w:szCs w:val="22"/>
          <w:lang w:val="zh-CN"/>
        </w:rPr>
        <w:t>。</w:t>
      </w:r>
    </w:p>
    <w:p>
      <w:pPr>
        <w:spacing w:line="360" w:lineRule="auto"/>
        <w:ind w:left="525" w:leftChars="250" w:firstLine="440" w:firstLineChars="200"/>
        <w:rPr>
          <w:rFonts w:hAnsi="宋体"/>
          <w:sz w:val="22"/>
          <w:szCs w:val="22"/>
          <w:lang w:val="zh-CN"/>
        </w:rPr>
      </w:pPr>
      <w:r>
        <w:rPr>
          <w:rFonts w:hint="eastAsia" w:hAnsi="宋体"/>
          <w:sz w:val="22"/>
          <w:szCs w:val="22"/>
          <w:lang w:val="zh-CN"/>
        </w:rPr>
        <w:t>必要时，当招标人（或其委托的招标代理机构）向中标候选人发出提供上述证明资料原件进行核查的书面通知后，公示期满之日起三个工作日内中标候选人仍未能提供原件进行核查的，视为其无法提供真实的资料，招标人有权</w:t>
      </w:r>
      <w:r>
        <w:rPr>
          <w:rFonts w:hAnsi="宋体"/>
          <w:sz w:val="22"/>
          <w:szCs w:val="22"/>
          <w:lang w:val="zh-CN"/>
        </w:rPr>
        <w:t>按照评标委员会提出的中标候选人名单排序依次确定其他中标候选人为中标人或重新招标</w:t>
      </w:r>
      <w:r>
        <w:rPr>
          <w:rFonts w:hint="eastAsia" w:hAnsi="宋体"/>
          <w:sz w:val="22"/>
          <w:szCs w:val="22"/>
          <w:lang w:val="zh-CN"/>
        </w:rPr>
        <w:t>。</w:t>
      </w:r>
    </w:p>
    <w:p>
      <w:pPr>
        <w:pStyle w:val="82"/>
        <w:numPr>
          <w:ilvl w:val="0"/>
          <w:numId w:val="41"/>
        </w:numPr>
        <w:spacing w:line="360" w:lineRule="auto"/>
        <w:ind w:firstLineChars="0"/>
        <w:rPr>
          <w:rFonts w:hAnsi="宋体"/>
          <w:sz w:val="22"/>
          <w:szCs w:val="22"/>
          <w:lang w:val="zh-CN"/>
        </w:rPr>
      </w:pPr>
      <w:r>
        <w:rPr>
          <w:rFonts w:hint="eastAsia" w:hAnsi="宋体"/>
          <w:sz w:val="22"/>
          <w:szCs w:val="22"/>
          <w:lang w:val="zh-CN"/>
        </w:rPr>
        <w:t>投标人或者其他利害关系人认为招标投标活动不符合法律、行政法规规定的，可以自知道或者应当知道之日起</w:t>
      </w:r>
      <w:r>
        <w:rPr>
          <w:rFonts w:hint="eastAsia" w:ascii="宋体" w:hAnsi="宋体"/>
          <w:sz w:val="22"/>
          <w:szCs w:val="22"/>
          <w:lang w:val="zh-CN"/>
        </w:rPr>
        <w:t>10</w:t>
      </w:r>
      <w:r>
        <w:rPr>
          <w:rFonts w:hint="eastAsia" w:hAnsi="宋体"/>
          <w:sz w:val="22"/>
          <w:szCs w:val="22"/>
          <w:lang w:val="zh-CN"/>
        </w:rPr>
        <w:t>日内，按程序向招标人招标活动的</w:t>
      </w:r>
      <w:r>
        <w:rPr>
          <w:rFonts w:hAnsi="宋体"/>
          <w:sz w:val="22"/>
          <w:szCs w:val="22"/>
          <w:lang w:val="zh-CN"/>
        </w:rPr>
        <w:t>监督</w:t>
      </w:r>
      <w:r>
        <w:rPr>
          <w:rFonts w:hint="eastAsia" w:hAnsi="宋体"/>
          <w:sz w:val="22"/>
          <w:szCs w:val="22"/>
          <w:lang w:val="zh-CN"/>
        </w:rPr>
        <w:t>部门</w:t>
      </w:r>
      <w:r>
        <w:rPr>
          <w:rFonts w:hAnsi="宋体"/>
          <w:sz w:val="22"/>
          <w:szCs w:val="22"/>
          <w:lang w:val="zh-CN"/>
        </w:rPr>
        <w:t>投诉。</w:t>
      </w:r>
      <w:r>
        <w:rPr>
          <w:rFonts w:hint="eastAsia" w:hAnsi="宋体"/>
          <w:sz w:val="22"/>
          <w:szCs w:val="22"/>
          <w:lang w:val="zh-CN"/>
        </w:rPr>
        <w:t>投诉应当有明确的请求和必要的证明材料。</w:t>
      </w:r>
    </w:p>
    <w:p>
      <w:pPr>
        <w:snapToGrid w:val="0"/>
        <w:spacing w:line="360" w:lineRule="auto"/>
        <w:ind w:left="525" w:leftChars="250"/>
        <w:rPr>
          <w:rFonts w:ascii="宋体" w:hAnsi="宋体"/>
          <w:sz w:val="22"/>
          <w:szCs w:val="22"/>
          <w:lang w:val="zh-CN"/>
        </w:rPr>
      </w:pPr>
      <w:r>
        <w:rPr>
          <w:rFonts w:hint="eastAsia" w:ascii="宋体" w:hAnsi="宋体"/>
          <w:sz w:val="22"/>
          <w:szCs w:val="22"/>
          <w:lang w:val="zh-CN"/>
        </w:rPr>
        <w:t>投诉部门：</w:t>
      </w:r>
      <w:r>
        <w:rPr>
          <w:rFonts w:hint="eastAsia" w:ascii="宋体" w:hAnsi="宋体"/>
          <w:sz w:val="22"/>
          <w:szCs w:val="22"/>
        </w:rPr>
        <w:t>东莞市交通</w:t>
      </w:r>
      <w:r>
        <w:rPr>
          <w:rFonts w:ascii="宋体" w:hAnsi="宋体"/>
          <w:sz w:val="22"/>
          <w:szCs w:val="22"/>
        </w:rPr>
        <w:t>投资集团</w:t>
      </w:r>
      <w:r>
        <w:rPr>
          <w:rFonts w:hint="eastAsia" w:ascii="宋体" w:hAnsi="宋体"/>
          <w:sz w:val="22"/>
          <w:szCs w:val="22"/>
        </w:rPr>
        <w:t>有限公司</w:t>
      </w:r>
      <w:r>
        <w:rPr>
          <w:rFonts w:hint="eastAsia" w:ascii="宋体" w:hAnsi="宋体"/>
          <w:sz w:val="22"/>
          <w:szCs w:val="22"/>
          <w:lang w:val="zh-CN"/>
        </w:rPr>
        <w:t>纪检监察部，联系人：李</w:t>
      </w:r>
      <w:r>
        <w:rPr>
          <w:rFonts w:hint="eastAsia" w:ascii="宋体" w:hAnsi="宋体"/>
          <w:sz w:val="22"/>
          <w:szCs w:val="22"/>
        </w:rPr>
        <w:t>小姐</w:t>
      </w:r>
      <w:r>
        <w:rPr>
          <w:rFonts w:hint="eastAsia" w:ascii="宋体" w:hAnsi="宋体"/>
          <w:sz w:val="22"/>
          <w:szCs w:val="22"/>
          <w:lang w:val="zh-CN"/>
        </w:rPr>
        <w:t>，联系电话：0</w:t>
      </w:r>
      <w:r>
        <w:rPr>
          <w:rFonts w:ascii="宋体" w:hAnsi="宋体"/>
          <w:sz w:val="22"/>
          <w:szCs w:val="22"/>
          <w:lang w:val="zh-CN"/>
        </w:rPr>
        <w:t>769-22083256</w:t>
      </w:r>
      <w:r>
        <w:rPr>
          <w:rFonts w:hint="eastAsia" w:ascii="宋体" w:hAnsi="宋体"/>
          <w:sz w:val="22"/>
          <w:szCs w:val="22"/>
          <w:lang w:val="zh-CN"/>
        </w:rPr>
        <w:t>。</w:t>
      </w:r>
    </w:p>
    <w:p>
      <w:pPr>
        <w:pStyle w:val="46"/>
        <w:numPr>
          <w:ilvl w:val="0"/>
          <w:numId w:val="4"/>
        </w:numPr>
        <w:spacing w:line="360" w:lineRule="auto"/>
        <w:ind w:left="0" w:firstLine="0" w:firstLineChars="0"/>
        <w:outlineLvl w:val="2"/>
        <w:rPr>
          <w:rFonts w:ascii="宋体" w:hAnsi="宋体"/>
          <w:b/>
          <w:bCs/>
          <w:sz w:val="22"/>
          <w:szCs w:val="22"/>
        </w:rPr>
      </w:pPr>
      <w:bookmarkStart w:id="305" w:name="_Toc16882"/>
      <w:bookmarkStart w:id="306" w:name="_Toc2509"/>
      <w:bookmarkStart w:id="307" w:name="_Toc46502777"/>
      <w:bookmarkStart w:id="308" w:name="_Toc7851"/>
      <w:bookmarkStart w:id="309" w:name="_Toc7301"/>
      <w:bookmarkStart w:id="310" w:name="_Toc695"/>
      <w:bookmarkStart w:id="311" w:name="_Hlk3198297"/>
      <w:r>
        <w:rPr>
          <w:rFonts w:hint="eastAsia" w:ascii="宋体" w:hAnsi="宋体"/>
          <w:b/>
          <w:bCs/>
          <w:sz w:val="22"/>
          <w:szCs w:val="22"/>
        </w:rPr>
        <w:t>真实性审查</w:t>
      </w:r>
      <w:bookmarkEnd w:id="305"/>
      <w:bookmarkEnd w:id="306"/>
      <w:bookmarkEnd w:id="307"/>
      <w:bookmarkEnd w:id="308"/>
      <w:bookmarkEnd w:id="309"/>
      <w:bookmarkEnd w:id="310"/>
    </w:p>
    <w:bookmarkEnd w:id="311"/>
    <w:p>
      <w:pPr>
        <w:pStyle w:val="82"/>
        <w:numPr>
          <w:ilvl w:val="0"/>
          <w:numId w:val="42"/>
        </w:numPr>
        <w:spacing w:after="60" w:line="360" w:lineRule="auto"/>
        <w:ind w:left="567" w:hanging="567" w:firstLineChars="0"/>
        <w:rPr>
          <w:rFonts w:ascii="宋体" w:hAnsi="宋体"/>
          <w:sz w:val="22"/>
          <w:szCs w:val="22"/>
        </w:rPr>
      </w:pPr>
      <w:r>
        <w:rPr>
          <w:rFonts w:hint="eastAsia" w:hAnsi="宋体"/>
          <w:sz w:val="22"/>
          <w:szCs w:val="22"/>
        </w:rPr>
        <w:t>在授予合同前，招标人（或其委托的招标代理机构）有权组织对投标文件的真实性审查。包括对投标人的资格证明文件、业绩证明文件、对招标文件实质性条款响应文件、履约能力证明文件的真实性进行核查，若发现其提供虚假证明文件、虚假响应文件等弄虚作假行为的，或经审查确认其经营、财务状况发生较大变化（或者存在违法行为）导致无法按照投标文件的承诺履约的，或其明确表示不按照投标文件承诺履约的，等影响中标结果的行为，招标人有权取消其投标或中标候选人资格。</w:t>
      </w:r>
    </w:p>
    <w:p>
      <w:pPr>
        <w:pStyle w:val="82"/>
        <w:numPr>
          <w:ilvl w:val="0"/>
          <w:numId w:val="42"/>
        </w:numPr>
        <w:spacing w:after="60" w:line="360" w:lineRule="auto"/>
        <w:ind w:left="567" w:hanging="567" w:firstLineChars="0"/>
        <w:rPr>
          <w:rFonts w:ascii="宋体" w:hAnsi="宋体"/>
          <w:b/>
          <w:bCs/>
          <w:sz w:val="22"/>
          <w:szCs w:val="22"/>
        </w:rPr>
      </w:pPr>
      <w:r>
        <w:rPr>
          <w:rFonts w:hint="eastAsia" w:hAnsi="宋体"/>
          <w:sz w:val="22"/>
          <w:szCs w:val="22"/>
        </w:rPr>
        <w:t>投标人在招标人（或其委托的招标代理机构）通知其提供上述证明资料原件进行核查的要求后，未能在约定的时间内提供原件进行核查的，视为投标人无法提供真实的资料，招标人有权</w:t>
      </w:r>
      <w:r>
        <w:rPr>
          <w:rFonts w:hAnsi="宋体"/>
          <w:sz w:val="22"/>
          <w:szCs w:val="22"/>
        </w:rPr>
        <w:t>按照评标委员会提出的中标候选人名单排序依次确定其他中标候选人为中标人或重新招标</w:t>
      </w:r>
      <w:r>
        <w:rPr>
          <w:rFonts w:hint="eastAsia" w:hAnsi="宋体"/>
          <w:sz w:val="22"/>
          <w:szCs w:val="22"/>
        </w:rPr>
        <w:t>。</w:t>
      </w:r>
    </w:p>
    <w:p>
      <w:pPr>
        <w:pStyle w:val="46"/>
        <w:numPr>
          <w:ilvl w:val="0"/>
          <w:numId w:val="4"/>
        </w:numPr>
        <w:spacing w:line="360" w:lineRule="auto"/>
        <w:ind w:left="0" w:firstLine="0" w:firstLineChars="0"/>
        <w:outlineLvl w:val="2"/>
        <w:rPr>
          <w:rFonts w:ascii="宋体" w:hAnsi="宋体"/>
          <w:b/>
          <w:bCs/>
          <w:sz w:val="22"/>
          <w:szCs w:val="22"/>
        </w:rPr>
      </w:pPr>
      <w:bookmarkStart w:id="312" w:name="_Toc31690"/>
      <w:bookmarkStart w:id="313" w:name="_Toc46502778"/>
      <w:bookmarkStart w:id="314" w:name="_Toc29128"/>
      <w:bookmarkStart w:id="315" w:name="_Toc4461"/>
      <w:bookmarkStart w:id="316" w:name="_Toc15278"/>
      <w:bookmarkStart w:id="317" w:name="_Toc441844087"/>
      <w:bookmarkStart w:id="318" w:name="_Toc14740"/>
      <w:r>
        <w:rPr>
          <w:rFonts w:ascii="宋体" w:hAnsi="宋体"/>
          <w:b/>
          <w:bCs/>
          <w:sz w:val="22"/>
          <w:szCs w:val="22"/>
        </w:rPr>
        <w:t>中标通知书</w:t>
      </w:r>
      <w:bookmarkEnd w:id="312"/>
      <w:bookmarkEnd w:id="313"/>
      <w:bookmarkEnd w:id="314"/>
      <w:bookmarkEnd w:id="315"/>
      <w:bookmarkEnd w:id="316"/>
      <w:bookmarkEnd w:id="317"/>
      <w:bookmarkEnd w:id="318"/>
    </w:p>
    <w:p>
      <w:pPr>
        <w:pStyle w:val="82"/>
        <w:numPr>
          <w:ilvl w:val="0"/>
          <w:numId w:val="43"/>
        </w:numPr>
        <w:spacing w:line="360" w:lineRule="auto"/>
        <w:ind w:left="567" w:hanging="567" w:firstLineChars="0"/>
        <w:rPr>
          <w:rFonts w:ascii="宋体" w:hAnsi="宋体"/>
          <w:sz w:val="22"/>
          <w:szCs w:val="22"/>
        </w:rPr>
      </w:pPr>
      <w:r>
        <w:rPr>
          <w:rFonts w:hint="eastAsia" w:ascii="宋体" w:hAnsi="宋体"/>
          <w:sz w:val="22"/>
          <w:szCs w:val="22"/>
        </w:rPr>
        <w:t>中标人确定后，招标代理机构将向中标人发出中标通知书。</w:t>
      </w:r>
    </w:p>
    <w:p>
      <w:pPr>
        <w:pStyle w:val="82"/>
        <w:numPr>
          <w:ilvl w:val="0"/>
          <w:numId w:val="43"/>
        </w:numPr>
        <w:spacing w:line="360" w:lineRule="auto"/>
        <w:ind w:left="567" w:hanging="567" w:firstLineChars="0"/>
        <w:rPr>
          <w:rFonts w:ascii="宋体" w:hAnsi="宋体"/>
          <w:sz w:val="22"/>
          <w:szCs w:val="22"/>
        </w:rPr>
      </w:pPr>
      <w:r>
        <w:rPr>
          <w:rFonts w:ascii="宋体" w:hAnsi="宋体"/>
          <w:sz w:val="22"/>
          <w:szCs w:val="22"/>
        </w:rPr>
        <w:t>中标通知书是合同的一个组成部分。对招标人和中标人具有法律效力。中标通知书发出后，招标人改变中标结果的，或者中标人放弃中标项目的，应当依法承担法律责任。</w:t>
      </w:r>
    </w:p>
    <w:p>
      <w:pPr>
        <w:pStyle w:val="4"/>
        <w:tabs>
          <w:tab w:val="left" w:pos="142"/>
          <w:tab w:val="clear" w:pos="1440"/>
        </w:tabs>
        <w:ind w:left="0" w:firstLine="0"/>
        <w:rPr>
          <w:rFonts w:ascii="宋体" w:hAnsi="宋体" w:eastAsia="宋体" w:cs="宋体"/>
          <w:sz w:val="22"/>
          <w:szCs w:val="22"/>
          <w:lang w:val="zh-CN"/>
        </w:rPr>
      </w:pPr>
      <w:bookmarkStart w:id="319" w:name="_Toc46502779"/>
      <w:bookmarkStart w:id="320" w:name="_Toc427232330"/>
      <w:bookmarkStart w:id="321" w:name="_Toc2991"/>
      <w:bookmarkStart w:id="322" w:name="_Toc441844088"/>
      <w:bookmarkStart w:id="323" w:name="_Toc14185"/>
      <w:bookmarkStart w:id="324" w:name="_Toc14954"/>
      <w:bookmarkStart w:id="325" w:name="_Toc7584"/>
      <w:bookmarkStart w:id="326" w:name="_Toc17791"/>
      <w:r>
        <w:rPr>
          <w:rFonts w:hint="eastAsia" w:ascii="宋体" w:hAnsi="宋体" w:eastAsia="宋体" w:cs="宋体"/>
          <w:sz w:val="22"/>
          <w:szCs w:val="22"/>
          <w:lang w:val="zh-CN"/>
        </w:rPr>
        <w:t>（六）合同的授予</w:t>
      </w:r>
      <w:bookmarkEnd w:id="319"/>
      <w:bookmarkEnd w:id="320"/>
      <w:bookmarkEnd w:id="321"/>
      <w:bookmarkEnd w:id="322"/>
      <w:bookmarkEnd w:id="323"/>
      <w:bookmarkEnd w:id="324"/>
      <w:bookmarkEnd w:id="325"/>
      <w:bookmarkEnd w:id="326"/>
    </w:p>
    <w:p>
      <w:pPr>
        <w:pStyle w:val="46"/>
        <w:numPr>
          <w:ilvl w:val="0"/>
          <w:numId w:val="4"/>
        </w:numPr>
        <w:spacing w:line="360" w:lineRule="auto"/>
        <w:ind w:left="0" w:firstLine="0" w:firstLineChars="0"/>
        <w:outlineLvl w:val="2"/>
        <w:rPr>
          <w:rFonts w:ascii="宋体" w:hAnsi="宋体" w:cs="宋体"/>
          <w:b/>
          <w:bCs/>
          <w:sz w:val="22"/>
          <w:szCs w:val="22"/>
        </w:rPr>
      </w:pPr>
      <w:bookmarkStart w:id="327" w:name="_Toc13806"/>
      <w:bookmarkStart w:id="328" w:name="_Toc5542"/>
      <w:bookmarkStart w:id="329" w:name="_Toc441844089"/>
      <w:bookmarkStart w:id="330" w:name="_Toc28874"/>
      <w:bookmarkStart w:id="331" w:name="_Toc427232331"/>
      <w:bookmarkStart w:id="332" w:name="_Toc30144"/>
      <w:bookmarkStart w:id="333" w:name="_Toc46502780"/>
      <w:bookmarkStart w:id="334" w:name="_Toc18178"/>
      <w:r>
        <w:rPr>
          <w:rFonts w:hint="eastAsia" w:ascii="宋体" w:hAnsi="宋体" w:cs="宋体"/>
          <w:b/>
          <w:bCs/>
          <w:sz w:val="22"/>
          <w:szCs w:val="22"/>
        </w:rPr>
        <w:t>合同授予标准</w:t>
      </w:r>
      <w:bookmarkEnd w:id="327"/>
      <w:bookmarkEnd w:id="328"/>
      <w:bookmarkEnd w:id="329"/>
      <w:bookmarkEnd w:id="330"/>
      <w:bookmarkEnd w:id="331"/>
      <w:bookmarkEnd w:id="332"/>
      <w:bookmarkEnd w:id="333"/>
      <w:bookmarkEnd w:id="334"/>
    </w:p>
    <w:p>
      <w:pPr>
        <w:pStyle w:val="47"/>
        <w:numPr>
          <w:ilvl w:val="0"/>
          <w:numId w:val="44"/>
        </w:numPr>
        <w:tabs>
          <w:tab w:val="left" w:pos="709"/>
        </w:tabs>
        <w:spacing w:line="360" w:lineRule="auto"/>
        <w:ind w:firstLineChars="0"/>
        <w:rPr>
          <w:rFonts w:ascii="宋体" w:eastAsia="宋体" w:cs="宋体"/>
          <w:kern w:val="0"/>
          <w:sz w:val="22"/>
          <w:szCs w:val="22"/>
          <w:lang w:val="zh-CN"/>
        </w:rPr>
      </w:pPr>
      <w:r>
        <w:rPr>
          <w:rFonts w:hint="eastAsia" w:ascii="宋体" w:eastAsia="宋体" w:cs="宋体"/>
          <w:kern w:val="0"/>
          <w:sz w:val="22"/>
          <w:szCs w:val="22"/>
          <w:lang w:val="zh-CN"/>
        </w:rPr>
        <w:t>招标人按评标委员会得出的评标结果，在评标委员会推荐的中标候选人依法确定中标人，并将合同授予之。</w:t>
      </w:r>
    </w:p>
    <w:p>
      <w:pPr>
        <w:pStyle w:val="46"/>
        <w:numPr>
          <w:ilvl w:val="0"/>
          <w:numId w:val="4"/>
        </w:numPr>
        <w:spacing w:line="360" w:lineRule="auto"/>
        <w:ind w:left="0" w:firstLine="0" w:firstLineChars="0"/>
        <w:outlineLvl w:val="2"/>
        <w:rPr>
          <w:rFonts w:ascii="宋体" w:hAnsi="宋体" w:cs="宋体"/>
          <w:b/>
          <w:bCs/>
          <w:sz w:val="22"/>
          <w:szCs w:val="22"/>
        </w:rPr>
      </w:pPr>
      <w:bookmarkStart w:id="335" w:name="_Toc29877"/>
      <w:bookmarkStart w:id="336" w:name="_Toc14478"/>
      <w:bookmarkStart w:id="337" w:name="_Toc441844090"/>
      <w:bookmarkStart w:id="338" w:name="_Toc18653"/>
      <w:bookmarkStart w:id="339" w:name="_Toc46502781"/>
      <w:bookmarkStart w:id="340" w:name="_Toc6036"/>
      <w:bookmarkStart w:id="341" w:name="_Toc31687"/>
      <w:bookmarkStart w:id="342" w:name="_Toc326689490"/>
      <w:bookmarkStart w:id="343" w:name="_Toc427232334"/>
      <w:bookmarkStart w:id="344" w:name="_Toc321917131"/>
      <w:bookmarkStart w:id="345" w:name="_Toc326689400"/>
      <w:bookmarkStart w:id="346" w:name="_Toc321994755"/>
      <w:bookmarkStart w:id="347" w:name="_Toc401738073"/>
      <w:bookmarkStart w:id="348" w:name="_Toc395863102"/>
      <w:r>
        <w:rPr>
          <w:rFonts w:hint="eastAsia" w:ascii="宋体" w:hAnsi="宋体" w:cs="宋体"/>
          <w:b/>
          <w:bCs/>
          <w:sz w:val="22"/>
          <w:szCs w:val="22"/>
        </w:rPr>
        <w:t>接受和拒绝任何或所有投标的权利</w:t>
      </w:r>
      <w:bookmarkEnd w:id="335"/>
      <w:bookmarkEnd w:id="336"/>
      <w:bookmarkEnd w:id="337"/>
      <w:bookmarkEnd w:id="338"/>
      <w:bookmarkEnd w:id="339"/>
      <w:bookmarkEnd w:id="340"/>
      <w:bookmarkEnd w:id="341"/>
    </w:p>
    <w:p>
      <w:pPr>
        <w:pStyle w:val="47"/>
        <w:numPr>
          <w:ilvl w:val="0"/>
          <w:numId w:val="45"/>
        </w:numPr>
        <w:spacing w:line="360" w:lineRule="auto"/>
        <w:ind w:left="567" w:hanging="567" w:firstLineChars="0"/>
        <w:rPr>
          <w:rFonts w:ascii="宋体" w:eastAsia="宋体" w:cs="宋体"/>
          <w:kern w:val="0"/>
          <w:sz w:val="22"/>
          <w:szCs w:val="22"/>
          <w:lang w:val="zh-CN"/>
        </w:rPr>
      </w:pPr>
      <w:bookmarkStart w:id="349" w:name="_Toc321917130"/>
      <w:bookmarkStart w:id="350" w:name="_Toc321994754"/>
      <w:bookmarkStart w:id="351" w:name="_Toc401738072"/>
      <w:bookmarkStart w:id="352" w:name="_Toc427232333"/>
      <w:bookmarkStart w:id="353" w:name="_Toc326689489"/>
      <w:bookmarkStart w:id="354" w:name="_Toc395863101"/>
      <w:bookmarkStart w:id="355" w:name="_Toc326689399"/>
      <w:bookmarkStart w:id="356" w:name="_Toc441844091"/>
      <w:r>
        <w:rPr>
          <w:rFonts w:hint="eastAsia" w:ascii="宋体" w:eastAsia="宋体" w:cs="宋体"/>
          <w:kern w:val="0"/>
          <w:sz w:val="22"/>
          <w:szCs w:val="22"/>
          <w:lang w:val="zh-CN"/>
        </w:rPr>
        <w:t>招标人在确定中标人之前，有权依据评标委员</w:t>
      </w:r>
      <w:bookmarkEnd w:id="349"/>
      <w:bookmarkEnd w:id="350"/>
      <w:bookmarkEnd w:id="351"/>
      <w:bookmarkEnd w:id="352"/>
      <w:bookmarkEnd w:id="353"/>
      <w:bookmarkEnd w:id="354"/>
      <w:bookmarkEnd w:id="355"/>
      <w:r>
        <w:rPr>
          <w:rFonts w:hint="eastAsia" w:ascii="宋体" w:eastAsia="宋体" w:cs="宋体"/>
          <w:kern w:val="0"/>
          <w:sz w:val="22"/>
          <w:szCs w:val="22"/>
          <w:lang w:val="zh-CN"/>
        </w:rPr>
        <w:t>会的评标报告拒绝不合格的投标。</w:t>
      </w:r>
      <w:bookmarkEnd w:id="356"/>
    </w:p>
    <w:p>
      <w:pPr>
        <w:pStyle w:val="47"/>
        <w:numPr>
          <w:ilvl w:val="0"/>
          <w:numId w:val="45"/>
        </w:numPr>
        <w:spacing w:line="360" w:lineRule="auto"/>
        <w:ind w:left="567" w:hanging="567" w:firstLineChars="0"/>
        <w:rPr>
          <w:rFonts w:ascii="宋体" w:eastAsia="宋体" w:cs="宋体"/>
          <w:sz w:val="22"/>
          <w:szCs w:val="22"/>
        </w:rPr>
      </w:pPr>
      <w:r>
        <w:rPr>
          <w:rFonts w:hint="eastAsia" w:ascii="宋体" w:eastAsia="宋体" w:cs="宋体"/>
          <w:sz w:val="22"/>
          <w:szCs w:val="22"/>
        </w:rPr>
        <w:t>招标代理机构和招标人保留在授标之前任何时候接受或拒绝任何投标，以及宣布招标程序无效或拒绝所有投标的权利，对受影响的投标人不承担任何责任。</w:t>
      </w:r>
      <w:bookmarkEnd w:id="342"/>
      <w:bookmarkEnd w:id="343"/>
      <w:bookmarkEnd w:id="344"/>
      <w:bookmarkEnd w:id="345"/>
      <w:bookmarkEnd w:id="346"/>
      <w:bookmarkEnd w:id="347"/>
      <w:bookmarkEnd w:id="348"/>
    </w:p>
    <w:p>
      <w:pPr>
        <w:pStyle w:val="47"/>
        <w:numPr>
          <w:ilvl w:val="0"/>
          <w:numId w:val="45"/>
        </w:numPr>
        <w:spacing w:line="360" w:lineRule="auto"/>
        <w:ind w:left="567" w:hanging="567" w:firstLineChars="0"/>
        <w:rPr>
          <w:rFonts w:ascii="宋体" w:eastAsia="宋体" w:cs="宋体"/>
          <w:sz w:val="22"/>
          <w:szCs w:val="22"/>
        </w:rPr>
      </w:pPr>
      <w:r>
        <w:rPr>
          <w:rFonts w:hint="eastAsia" w:ascii="宋体" w:eastAsia="宋体" w:cs="宋体"/>
          <w:sz w:val="22"/>
          <w:szCs w:val="22"/>
        </w:rPr>
        <w:t>因不可抗力或自身原因不能履行合同的、不按要求与招标人签订合同、中标人放弃中标、中标资格被依法确认无效的，招标人可以按照评标委员会提出的中标候选人名单排序依次确定其他中标候选人为中标人或重新招标。</w:t>
      </w:r>
    </w:p>
    <w:p>
      <w:pPr>
        <w:pStyle w:val="46"/>
        <w:numPr>
          <w:ilvl w:val="0"/>
          <w:numId w:val="4"/>
        </w:numPr>
        <w:spacing w:line="360" w:lineRule="auto"/>
        <w:ind w:left="0" w:firstLine="0" w:firstLineChars="0"/>
        <w:outlineLvl w:val="2"/>
        <w:rPr>
          <w:rFonts w:ascii="宋体" w:hAnsi="宋体" w:cs="宋体"/>
          <w:b/>
          <w:bCs/>
          <w:sz w:val="22"/>
          <w:szCs w:val="22"/>
        </w:rPr>
      </w:pPr>
      <w:bookmarkStart w:id="357" w:name="_Toc427232335"/>
      <w:bookmarkStart w:id="358" w:name="_Toc26034"/>
      <w:bookmarkStart w:id="359" w:name="_Toc46502782"/>
      <w:bookmarkStart w:id="360" w:name="_Toc14527"/>
      <w:bookmarkStart w:id="361" w:name="_Toc19566"/>
      <w:bookmarkStart w:id="362" w:name="_Toc6447"/>
      <w:bookmarkStart w:id="363" w:name="_Toc11972"/>
      <w:bookmarkStart w:id="364" w:name="_Toc441844092"/>
      <w:r>
        <w:rPr>
          <w:rFonts w:hint="eastAsia" w:ascii="宋体" w:hAnsi="宋体" w:cs="宋体"/>
          <w:b/>
          <w:bCs/>
          <w:sz w:val="22"/>
          <w:szCs w:val="22"/>
        </w:rPr>
        <w:t>授标时更改采购数量的权利</w:t>
      </w:r>
      <w:bookmarkEnd w:id="357"/>
      <w:bookmarkEnd w:id="358"/>
      <w:bookmarkEnd w:id="359"/>
      <w:bookmarkEnd w:id="360"/>
      <w:bookmarkEnd w:id="361"/>
      <w:bookmarkEnd w:id="362"/>
      <w:bookmarkEnd w:id="363"/>
      <w:bookmarkEnd w:id="364"/>
    </w:p>
    <w:p>
      <w:pPr>
        <w:spacing w:after="60" w:line="360" w:lineRule="auto"/>
        <w:ind w:left="422" w:leftChars="199" w:hanging="4" w:hangingChars="2"/>
        <w:rPr>
          <w:rFonts w:ascii="宋体" w:hAnsi="宋体" w:cs="宋体"/>
          <w:sz w:val="22"/>
          <w:szCs w:val="22"/>
        </w:rPr>
      </w:pPr>
      <w:r>
        <w:rPr>
          <w:rFonts w:hint="eastAsia" w:ascii="宋体" w:hAnsi="宋体" w:cs="宋体"/>
          <w:sz w:val="22"/>
          <w:szCs w:val="22"/>
        </w:rPr>
        <w:t>招标人在授予合同时有权在（数量增减变更：中标价的±10%）幅度内对“用户需求书”中规定的货物或服物范围予以增加或减少，但不得对单价或其它的条款和条件做任何改变。</w:t>
      </w:r>
    </w:p>
    <w:p>
      <w:pPr>
        <w:pStyle w:val="46"/>
        <w:numPr>
          <w:ilvl w:val="0"/>
          <w:numId w:val="4"/>
        </w:numPr>
        <w:spacing w:line="360" w:lineRule="auto"/>
        <w:ind w:left="0" w:firstLine="0" w:firstLineChars="0"/>
        <w:outlineLvl w:val="2"/>
        <w:rPr>
          <w:rFonts w:ascii="宋体" w:hAnsi="宋体" w:cs="宋体"/>
          <w:b/>
          <w:bCs/>
          <w:sz w:val="22"/>
          <w:szCs w:val="22"/>
        </w:rPr>
      </w:pPr>
      <w:bookmarkStart w:id="365" w:name="_Toc427232337"/>
      <w:bookmarkStart w:id="366" w:name="_Toc441844093"/>
      <w:bookmarkStart w:id="367" w:name="_Toc12045"/>
      <w:bookmarkStart w:id="368" w:name="_Toc13588"/>
      <w:bookmarkStart w:id="369" w:name="_Toc31446"/>
      <w:bookmarkStart w:id="370" w:name="_Toc46502783"/>
      <w:bookmarkStart w:id="371" w:name="_Toc6622"/>
      <w:bookmarkStart w:id="372" w:name="_Toc14074"/>
      <w:r>
        <w:rPr>
          <w:rFonts w:hint="eastAsia" w:ascii="宋体" w:hAnsi="宋体" w:cs="宋体"/>
          <w:b/>
          <w:bCs/>
          <w:sz w:val="22"/>
          <w:szCs w:val="22"/>
        </w:rPr>
        <w:t>履约</w:t>
      </w:r>
      <w:bookmarkEnd w:id="365"/>
      <w:bookmarkEnd w:id="366"/>
      <w:r>
        <w:rPr>
          <w:rFonts w:hint="eastAsia" w:ascii="宋体" w:hAnsi="宋体" w:cs="宋体"/>
          <w:b/>
          <w:bCs/>
          <w:sz w:val="22"/>
          <w:szCs w:val="22"/>
        </w:rPr>
        <w:t>担保</w:t>
      </w:r>
      <w:bookmarkEnd w:id="367"/>
      <w:bookmarkEnd w:id="368"/>
      <w:bookmarkEnd w:id="369"/>
      <w:bookmarkEnd w:id="370"/>
      <w:bookmarkEnd w:id="371"/>
      <w:bookmarkEnd w:id="372"/>
    </w:p>
    <w:p>
      <w:pPr>
        <w:spacing w:line="360" w:lineRule="auto"/>
        <w:ind w:left="1075" w:leftChars="250" w:hanging="550" w:hangingChars="250"/>
        <w:rPr>
          <w:rFonts w:ascii="宋体" w:hAnsi="宋体"/>
          <w:sz w:val="22"/>
          <w:szCs w:val="22"/>
        </w:rPr>
      </w:pPr>
      <w:r>
        <w:rPr>
          <w:rFonts w:hint="eastAsia" w:ascii="宋体" w:hAnsi="宋体" w:cs="宋体"/>
          <w:sz w:val="22"/>
          <w:szCs w:val="22"/>
        </w:rPr>
        <w:t>本项目不收取履约保证金及履约保函。</w:t>
      </w:r>
    </w:p>
    <w:p>
      <w:pPr>
        <w:pStyle w:val="46"/>
        <w:numPr>
          <w:ilvl w:val="0"/>
          <w:numId w:val="4"/>
        </w:numPr>
        <w:spacing w:line="360" w:lineRule="auto"/>
        <w:ind w:left="0" w:firstLine="0" w:firstLineChars="0"/>
        <w:outlineLvl w:val="2"/>
        <w:rPr>
          <w:rFonts w:ascii="宋体" w:hAnsi="宋体" w:cs="宋体"/>
          <w:b/>
          <w:bCs/>
          <w:sz w:val="22"/>
          <w:szCs w:val="22"/>
        </w:rPr>
      </w:pPr>
      <w:bookmarkStart w:id="373" w:name="_Toc13760"/>
      <w:bookmarkStart w:id="374" w:name="_Toc7160"/>
      <w:bookmarkStart w:id="375" w:name="_Toc46502784"/>
      <w:bookmarkStart w:id="376" w:name="_Toc19167"/>
      <w:bookmarkStart w:id="377" w:name="_Toc427232338"/>
      <w:bookmarkStart w:id="378" w:name="_Toc441844094"/>
      <w:bookmarkStart w:id="379" w:name="_Toc26535"/>
      <w:bookmarkStart w:id="380" w:name="_Toc28924"/>
      <w:r>
        <w:rPr>
          <w:rFonts w:hint="eastAsia" w:ascii="宋体" w:hAnsi="宋体" w:cs="宋体"/>
          <w:b/>
          <w:bCs/>
          <w:sz w:val="22"/>
          <w:szCs w:val="22"/>
        </w:rPr>
        <w:t>合同协议书的签订</w:t>
      </w:r>
      <w:bookmarkEnd w:id="373"/>
      <w:bookmarkEnd w:id="374"/>
      <w:bookmarkEnd w:id="375"/>
      <w:bookmarkEnd w:id="376"/>
      <w:bookmarkEnd w:id="377"/>
      <w:bookmarkEnd w:id="378"/>
      <w:bookmarkEnd w:id="379"/>
      <w:bookmarkEnd w:id="380"/>
    </w:p>
    <w:p>
      <w:pPr>
        <w:pStyle w:val="47"/>
        <w:numPr>
          <w:ilvl w:val="0"/>
          <w:numId w:val="46"/>
        </w:numPr>
        <w:spacing w:line="360" w:lineRule="auto"/>
        <w:ind w:left="567" w:hanging="567" w:firstLineChars="0"/>
        <w:rPr>
          <w:rFonts w:ascii="宋体" w:eastAsia="宋体" w:cs="宋体"/>
          <w:kern w:val="0"/>
          <w:sz w:val="22"/>
          <w:szCs w:val="22"/>
          <w:lang w:val="zh-CN"/>
        </w:rPr>
      </w:pPr>
      <w:r>
        <w:rPr>
          <w:rFonts w:hint="eastAsia" w:ascii="宋体" w:eastAsia="宋体" w:cs="宋体"/>
          <w:kern w:val="0"/>
          <w:sz w:val="22"/>
          <w:szCs w:val="22"/>
          <w:lang w:val="zh-CN"/>
        </w:rPr>
        <w:t>招标人与中标人必须在中标通知书发出之日起三十日内，按照招标文件和中标人的投标文件及其澄清文件等订立书面合同，招标人和中标人不得再行订立背离合同实质性内容的其他协议。合同签订之日起七个工作日内，中标人须将所签订的合同副本交给招标代理机构。</w:t>
      </w:r>
    </w:p>
    <w:p>
      <w:pPr>
        <w:pStyle w:val="47"/>
        <w:numPr>
          <w:ilvl w:val="0"/>
          <w:numId w:val="46"/>
        </w:numPr>
        <w:spacing w:line="360" w:lineRule="auto"/>
        <w:ind w:left="567" w:hanging="567" w:firstLineChars="0"/>
        <w:rPr>
          <w:rFonts w:ascii="宋体" w:eastAsia="宋体" w:cs="宋体"/>
          <w:sz w:val="22"/>
          <w:szCs w:val="22"/>
        </w:rPr>
      </w:pPr>
      <w:r>
        <w:rPr>
          <w:rFonts w:hint="eastAsia" w:ascii="宋体" w:eastAsia="宋体" w:cs="宋体"/>
          <w:sz w:val="22"/>
          <w:szCs w:val="22"/>
        </w:rPr>
        <w:t>“招标文件”、中标人的“投标文件”及其澄清文件等，均为签订经济合同的依据。</w:t>
      </w:r>
    </w:p>
    <w:p>
      <w:pPr>
        <w:pStyle w:val="47"/>
        <w:numPr>
          <w:ilvl w:val="0"/>
          <w:numId w:val="46"/>
        </w:numPr>
        <w:spacing w:line="360" w:lineRule="auto"/>
        <w:ind w:left="567" w:hanging="567" w:firstLineChars="0"/>
        <w:rPr>
          <w:rFonts w:ascii="宋体" w:eastAsia="宋体" w:cs="宋体"/>
          <w:sz w:val="22"/>
          <w:szCs w:val="22"/>
        </w:rPr>
      </w:pPr>
      <w:r>
        <w:rPr>
          <w:rFonts w:hint="eastAsia" w:ascii="宋体" w:eastAsia="宋体" w:cs="宋体"/>
          <w:sz w:val="22"/>
          <w:szCs w:val="22"/>
        </w:rPr>
        <w:t>中标人如不按本投标须知第32.1款的规定与招标人订立合同，则招标人将废除授标，履约担保不予退还，给招标人造成的损失超过履约担保数额的，还应当对超过部分予以赔偿，同时依法承担相应法律责任。</w:t>
      </w:r>
    </w:p>
    <w:p>
      <w:pPr>
        <w:pStyle w:val="46"/>
        <w:numPr>
          <w:ilvl w:val="0"/>
          <w:numId w:val="4"/>
        </w:numPr>
        <w:spacing w:line="360" w:lineRule="auto"/>
        <w:ind w:left="0" w:firstLine="0" w:firstLineChars="0"/>
        <w:outlineLvl w:val="2"/>
        <w:rPr>
          <w:rFonts w:ascii="宋体" w:hAnsi="宋体" w:cs="宋体"/>
          <w:b/>
          <w:bCs/>
          <w:sz w:val="22"/>
          <w:szCs w:val="22"/>
        </w:rPr>
      </w:pPr>
      <w:bookmarkStart w:id="381" w:name="_Toc20055"/>
      <w:bookmarkStart w:id="382" w:name="_Toc441844095"/>
      <w:bookmarkStart w:id="383" w:name="_Toc20846"/>
      <w:bookmarkStart w:id="384" w:name="_Toc46502785"/>
      <w:bookmarkStart w:id="385" w:name="_Toc25389"/>
      <w:bookmarkStart w:id="386" w:name="_Toc31928"/>
      <w:bookmarkStart w:id="387" w:name="_Toc14797"/>
      <w:bookmarkStart w:id="388" w:name="_Toc427232339"/>
      <w:r>
        <w:rPr>
          <w:rFonts w:hint="eastAsia" w:ascii="宋体" w:hAnsi="宋体" w:cs="宋体"/>
          <w:b/>
          <w:bCs/>
          <w:sz w:val="22"/>
          <w:szCs w:val="22"/>
        </w:rPr>
        <w:t>其他</w:t>
      </w:r>
      <w:bookmarkEnd w:id="381"/>
      <w:bookmarkEnd w:id="382"/>
      <w:bookmarkEnd w:id="383"/>
      <w:bookmarkEnd w:id="384"/>
      <w:bookmarkEnd w:id="385"/>
      <w:bookmarkEnd w:id="386"/>
      <w:bookmarkEnd w:id="387"/>
      <w:bookmarkEnd w:id="388"/>
    </w:p>
    <w:p>
      <w:pPr>
        <w:pStyle w:val="47"/>
        <w:numPr>
          <w:ilvl w:val="0"/>
          <w:numId w:val="47"/>
        </w:numPr>
        <w:spacing w:line="360" w:lineRule="auto"/>
        <w:ind w:left="567" w:hanging="567" w:firstLineChars="0"/>
        <w:rPr>
          <w:rFonts w:ascii="宋体" w:eastAsia="宋体" w:cs="宋体"/>
          <w:kern w:val="0"/>
          <w:sz w:val="22"/>
          <w:szCs w:val="22"/>
          <w:lang w:val="zh-CN"/>
        </w:rPr>
      </w:pPr>
      <w:r>
        <w:rPr>
          <w:rFonts w:hint="eastAsia" w:ascii="宋体" w:eastAsia="宋体" w:cs="宋体"/>
          <w:kern w:val="0"/>
          <w:sz w:val="22"/>
          <w:szCs w:val="22"/>
          <w:lang w:val="zh-CN"/>
        </w:rPr>
        <w:t>如投标人提供虚假材料谋取中标的，或者采取不正当手段诋毁、排挤其他投标人的，以及与其他的投标人恶意串通的，我公司将严肃处理，并保留追究其责任的权利。</w:t>
      </w:r>
    </w:p>
    <w:p>
      <w:pPr>
        <w:pStyle w:val="46"/>
        <w:numPr>
          <w:ilvl w:val="0"/>
          <w:numId w:val="4"/>
        </w:numPr>
        <w:spacing w:line="360" w:lineRule="auto"/>
        <w:ind w:left="0" w:firstLine="0" w:firstLineChars="0"/>
        <w:outlineLvl w:val="2"/>
        <w:rPr>
          <w:rFonts w:ascii="宋体" w:hAnsi="宋体" w:cs="宋体"/>
          <w:b/>
          <w:bCs/>
          <w:sz w:val="22"/>
          <w:szCs w:val="22"/>
        </w:rPr>
      </w:pPr>
      <w:bookmarkStart w:id="389" w:name="_Toc427232340"/>
      <w:bookmarkStart w:id="390" w:name="_Toc1233"/>
      <w:bookmarkStart w:id="391" w:name="_Toc1328"/>
      <w:bookmarkStart w:id="392" w:name="_Toc16269"/>
      <w:bookmarkStart w:id="393" w:name="_Toc46502786"/>
      <w:bookmarkStart w:id="394" w:name="_Toc30286"/>
      <w:bookmarkStart w:id="395" w:name="_Toc21090"/>
      <w:bookmarkStart w:id="396" w:name="_Toc441844096"/>
      <w:r>
        <w:rPr>
          <w:rFonts w:hint="eastAsia" w:ascii="宋体" w:hAnsi="宋体" w:cs="宋体"/>
          <w:b/>
          <w:bCs/>
          <w:sz w:val="22"/>
          <w:szCs w:val="22"/>
        </w:rPr>
        <w:t>招标文件的解释权</w:t>
      </w:r>
      <w:bookmarkEnd w:id="389"/>
      <w:bookmarkEnd w:id="390"/>
      <w:bookmarkEnd w:id="391"/>
      <w:bookmarkEnd w:id="392"/>
      <w:bookmarkEnd w:id="393"/>
      <w:bookmarkEnd w:id="394"/>
      <w:bookmarkEnd w:id="395"/>
      <w:bookmarkEnd w:id="396"/>
    </w:p>
    <w:p>
      <w:pPr>
        <w:pStyle w:val="47"/>
        <w:spacing w:line="360" w:lineRule="auto"/>
        <w:ind w:firstLine="0" w:firstLineChars="0"/>
        <w:rPr>
          <w:rFonts w:ascii="宋体" w:eastAsia="宋体" w:cs="宋体"/>
          <w:sz w:val="22"/>
          <w:szCs w:val="22"/>
        </w:rPr>
      </w:pPr>
      <w:r>
        <w:rPr>
          <w:rFonts w:hint="eastAsia" w:ascii="宋体" w:eastAsia="宋体" w:cs="宋体"/>
          <w:sz w:val="22"/>
          <w:szCs w:val="22"/>
        </w:rPr>
        <w:t>38.1本招标文件的解释权属招标人和招标代理机构。</w:t>
      </w:r>
    </w:p>
    <w:p>
      <w:pPr>
        <w:rPr>
          <w:rFonts w:ascii="宋体" w:hAnsi="宋体"/>
          <w:bCs/>
          <w:kern w:val="44"/>
          <w:lang w:val="zh-CN"/>
        </w:rPr>
      </w:pPr>
      <w:bookmarkStart w:id="397" w:name="_Toc46502787"/>
      <w:r>
        <w:rPr>
          <w:rFonts w:hint="eastAsia" w:ascii="宋体" w:hAnsi="宋体"/>
          <w:bCs/>
          <w:kern w:val="44"/>
          <w:lang w:val="zh-CN"/>
        </w:rPr>
        <w:br w:type="page"/>
      </w:r>
    </w:p>
    <w:bookmarkEnd w:id="397"/>
    <w:p>
      <w:pPr>
        <w:ind w:left="632" w:hanging="632"/>
        <w:rPr>
          <w:rFonts w:ascii="宋体" w:hAnsi="宋体" w:cs="宋体"/>
        </w:rPr>
      </w:pPr>
    </w:p>
    <w:p>
      <w:pPr>
        <w:ind w:left="632" w:hanging="632"/>
        <w:rPr>
          <w:rFonts w:ascii="宋体" w:hAnsi="宋体" w:cs="宋体"/>
        </w:rPr>
      </w:pPr>
    </w:p>
    <w:p>
      <w:pPr>
        <w:ind w:left="632" w:hanging="632"/>
        <w:rPr>
          <w:rFonts w:ascii="宋体" w:hAnsi="宋体" w:cs="宋体"/>
        </w:rPr>
      </w:pPr>
    </w:p>
    <w:p>
      <w:pPr>
        <w:ind w:left="632" w:hanging="632"/>
        <w:rPr>
          <w:rFonts w:ascii="宋体" w:hAnsi="宋体" w:cs="宋体"/>
        </w:rPr>
      </w:pPr>
    </w:p>
    <w:p>
      <w:pPr>
        <w:ind w:left="632" w:hanging="632"/>
        <w:rPr>
          <w:rFonts w:ascii="宋体" w:hAnsi="宋体" w:cs="宋体"/>
        </w:rPr>
      </w:pPr>
    </w:p>
    <w:p>
      <w:pPr>
        <w:ind w:left="632" w:hanging="632"/>
        <w:rPr>
          <w:rFonts w:ascii="宋体" w:hAnsi="宋体" w:cs="宋体"/>
        </w:rPr>
      </w:pPr>
    </w:p>
    <w:p>
      <w:pPr>
        <w:ind w:left="632" w:hanging="632"/>
        <w:rPr>
          <w:rFonts w:ascii="宋体" w:hAnsi="宋体" w:cs="宋体"/>
        </w:rPr>
      </w:pPr>
    </w:p>
    <w:p>
      <w:pPr>
        <w:ind w:left="632" w:hanging="632"/>
        <w:rPr>
          <w:rFonts w:ascii="宋体" w:hAnsi="宋体" w:cs="宋体"/>
        </w:rPr>
      </w:pPr>
    </w:p>
    <w:p>
      <w:pPr>
        <w:ind w:left="632" w:hanging="632"/>
        <w:rPr>
          <w:rFonts w:ascii="宋体" w:hAnsi="宋体" w:cs="宋体"/>
        </w:rPr>
      </w:pPr>
    </w:p>
    <w:p>
      <w:pPr>
        <w:ind w:left="632" w:hanging="632"/>
        <w:rPr>
          <w:rFonts w:ascii="宋体" w:hAnsi="宋体" w:cs="宋体"/>
        </w:rPr>
      </w:pPr>
    </w:p>
    <w:p>
      <w:pPr>
        <w:ind w:left="632" w:hanging="632"/>
        <w:rPr>
          <w:rFonts w:ascii="宋体" w:hAnsi="宋体" w:cs="宋体"/>
        </w:rPr>
      </w:pPr>
    </w:p>
    <w:p>
      <w:pPr>
        <w:ind w:left="632" w:hanging="632"/>
        <w:rPr>
          <w:rFonts w:ascii="宋体" w:hAnsi="宋体" w:cs="宋体"/>
        </w:rPr>
      </w:pPr>
    </w:p>
    <w:p>
      <w:pPr>
        <w:ind w:left="632" w:hanging="632"/>
        <w:rPr>
          <w:rFonts w:ascii="宋体" w:hAnsi="宋体" w:cs="宋体"/>
        </w:rPr>
      </w:pPr>
    </w:p>
    <w:p>
      <w:pPr>
        <w:ind w:left="632" w:hanging="632"/>
        <w:rPr>
          <w:rFonts w:ascii="宋体" w:hAnsi="宋体" w:cs="宋体"/>
        </w:rPr>
      </w:pPr>
    </w:p>
    <w:p>
      <w:pPr>
        <w:rPr>
          <w:rFonts w:ascii="宋体" w:hAnsi="宋体" w:cs="宋体"/>
        </w:rPr>
      </w:pPr>
    </w:p>
    <w:p>
      <w:pPr>
        <w:pStyle w:val="3"/>
        <w:jc w:val="center"/>
        <w:rPr>
          <w:rFonts w:ascii="宋体" w:hAnsi="宋体"/>
        </w:rPr>
      </w:pPr>
      <w:bookmarkStart w:id="398" w:name="_Toc5810"/>
      <w:bookmarkStart w:id="399" w:name="_Toc11519"/>
      <w:bookmarkStart w:id="400" w:name="_Toc20364"/>
      <w:bookmarkStart w:id="401" w:name="_Toc441844097"/>
      <w:bookmarkStart w:id="402" w:name="_Toc10147"/>
      <w:bookmarkStart w:id="403" w:name="_Toc18092"/>
      <w:bookmarkStart w:id="404" w:name="_Toc32361"/>
      <w:r>
        <w:rPr>
          <w:rFonts w:hint="eastAsia" w:ascii="宋体" w:hAnsi="宋体"/>
        </w:rPr>
        <w:t>第三章 评标办法</w:t>
      </w:r>
      <w:bookmarkEnd w:id="398"/>
      <w:bookmarkEnd w:id="399"/>
      <w:bookmarkEnd w:id="400"/>
      <w:bookmarkEnd w:id="401"/>
      <w:bookmarkEnd w:id="402"/>
      <w:bookmarkEnd w:id="403"/>
      <w:bookmarkEnd w:id="404"/>
    </w:p>
    <w:p>
      <w:pPr>
        <w:jc w:val="center"/>
      </w:pPr>
    </w:p>
    <w:p>
      <w:pPr>
        <w:rPr>
          <w:rFonts w:ascii="宋体" w:hAnsi="宋体"/>
        </w:rPr>
      </w:pPr>
    </w:p>
    <w:p>
      <w:pPr>
        <w:rPr>
          <w:rFonts w:ascii="宋体" w:hAnsi="宋体"/>
        </w:rPr>
      </w:pPr>
    </w:p>
    <w:p>
      <w:pPr>
        <w:rPr>
          <w:rFonts w:ascii="宋体" w:hAnsi="宋体"/>
        </w:rPr>
      </w:pPr>
    </w:p>
    <w:p/>
    <w:p/>
    <w:p/>
    <w:p/>
    <w:p/>
    <w:p/>
    <w:p/>
    <w:p/>
    <w:p/>
    <w:p/>
    <w:p/>
    <w:p>
      <w:pPr>
        <w:widowControl/>
        <w:jc w:val="left"/>
        <w:rPr>
          <w:rFonts w:ascii="Times New Roman" w:hAnsi="Times New Roman" w:eastAsia="黑体"/>
          <w:b/>
          <w:kern w:val="0"/>
          <w:sz w:val="22"/>
          <w:szCs w:val="22"/>
        </w:rPr>
      </w:pPr>
      <w:bookmarkStart w:id="405" w:name="_Toc495974273"/>
      <w:r>
        <w:rPr>
          <w:rFonts w:ascii="Times New Roman" w:hAnsi="Times New Roman"/>
          <w:sz w:val="22"/>
          <w:szCs w:val="22"/>
        </w:rPr>
        <w:br w:type="page"/>
      </w:r>
    </w:p>
    <w:bookmarkEnd w:id="405"/>
    <w:p>
      <w:pPr>
        <w:pStyle w:val="4"/>
        <w:tabs>
          <w:tab w:val="left" w:pos="0"/>
          <w:tab w:val="clear" w:pos="1440"/>
        </w:tabs>
        <w:ind w:left="0" w:firstLine="0"/>
        <w:rPr>
          <w:rFonts w:ascii="宋体" w:hAnsi="宋体" w:eastAsia="宋体" w:cs="宋体"/>
          <w:sz w:val="22"/>
          <w:szCs w:val="22"/>
        </w:rPr>
      </w:pPr>
      <w:bookmarkStart w:id="406" w:name="_Toc46502791"/>
      <w:bookmarkStart w:id="407" w:name="_Toc21593"/>
      <w:bookmarkStart w:id="408" w:name="_Toc29940"/>
      <w:bookmarkStart w:id="409" w:name="_Toc10126"/>
      <w:bookmarkStart w:id="410" w:name="_Toc18210"/>
      <w:bookmarkStart w:id="411" w:name="_Toc8789"/>
      <w:bookmarkStart w:id="412" w:name="_Toc495974275"/>
      <w:r>
        <w:rPr>
          <w:rFonts w:hint="eastAsia" w:ascii="宋体" w:hAnsi="宋体" w:eastAsia="宋体" w:cs="宋体"/>
          <w:sz w:val="22"/>
          <w:szCs w:val="22"/>
        </w:rPr>
        <w:t>一、评标原则和目的</w:t>
      </w:r>
      <w:bookmarkEnd w:id="406"/>
      <w:bookmarkEnd w:id="407"/>
      <w:bookmarkEnd w:id="408"/>
      <w:bookmarkEnd w:id="409"/>
      <w:bookmarkEnd w:id="410"/>
      <w:bookmarkEnd w:id="411"/>
    </w:p>
    <w:p>
      <w:pPr>
        <w:pStyle w:val="82"/>
        <w:spacing w:line="360" w:lineRule="auto"/>
        <w:ind w:left="420" w:hanging="420" w:firstLineChars="0"/>
        <w:rPr>
          <w:rFonts w:ascii="宋体" w:hAnsi="宋体" w:cs="宋体"/>
          <w:sz w:val="22"/>
          <w:szCs w:val="22"/>
          <w:lang w:val="zh-CN"/>
        </w:rPr>
      </w:pPr>
      <w:r>
        <w:rPr>
          <w:rFonts w:hint="eastAsia" w:ascii="宋体" w:hAnsi="宋体" w:cs="宋体"/>
          <w:sz w:val="22"/>
          <w:szCs w:val="22"/>
          <w:lang w:val="zh-CN"/>
        </w:rPr>
        <w:t>1.1  本项目的招标参照《中华人民共和国招标投标法》及实施条例、东莞市交通投资集团有限公司等有关招标的相关文件规定执行。评标必须遵循公开、公平、公正、诚实信用的原则。评标按照招标文件规定的内容进行，采取综合评分法，避免纯技术或纯经济的倾向。</w:t>
      </w:r>
    </w:p>
    <w:p>
      <w:pPr>
        <w:pStyle w:val="82"/>
        <w:spacing w:line="360" w:lineRule="auto"/>
        <w:ind w:left="420" w:hanging="420" w:firstLineChars="0"/>
        <w:rPr>
          <w:rFonts w:ascii="宋体" w:hAnsi="宋体" w:cs="宋体"/>
          <w:sz w:val="22"/>
          <w:szCs w:val="22"/>
          <w:lang w:val="zh-CN"/>
        </w:rPr>
      </w:pPr>
      <w:r>
        <w:rPr>
          <w:rFonts w:hint="eastAsia" w:ascii="宋体" w:hAnsi="宋体" w:cs="宋体"/>
          <w:sz w:val="22"/>
          <w:szCs w:val="22"/>
          <w:lang w:val="zh-CN"/>
        </w:rPr>
        <w:t>1.2  本办法的评标对象是指投标人按照招标文件要求提供的有效投标文件，包括投标人应评标委员会要求对原投标文件作出的正式书面澄清文件。</w:t>
      </w:r>
    </w:p>
    <w:p>
      <w:pPr>
        <w:pStyle w:val="82"/>
        <w:spacing w:line="360" w:lineRule="auto"/>
        <w:ind w:left="420" w:hanging="420" w:firstLineChars="0"/>
        <w:rPr>
          <w:rFonts w:ascii="宋体" w:hAnsi="宋体" w:cs="宋体"/>
          <w:sz w:val="22"/>
          <w:szCs w:val="22"/>
          <w:lang w:val="zh-CN"/>
        </w:rPr>
      </w:pPr>
      <w:r>
        <w:rPr>
          <w:rFonts w:hint="eastAsia" w:ascii="宋体" w:hAnsi="宋体" w:cs="宋体"/>
          <w:sz w:val="22"/>
          <w:szCs w:val="22"/>
          <w:lang w:val="zh-CN"/>
        </w:rPr>
        <w:t>1.3评标委员会成员对需要共同认定的事项存在争议的，应当按照少数服从多数的原则作出结论。持不同意见的评标委员会成员应当在评标报告上签署不同意见及理由，否则视为同意评标报告。</w:t>
      </w:r>
    </w:p>
    <w:p>
      <w:pPr>
        <w:pStyle w:val="4"/>
        <w:tabs>
          <w:tab w:val="left" w:pos="0"/>
          <w:tab w:val="clear" w:pos="1440"/>
        </w:tabs>
        <w:ind w:left="0" w:firstLine="0"/>
        <w:rPr>
          <w:rFonts w:ascii="宋体" w:hAnsi="宋体" w:eastAsia="宋体" w:cs="宋体"/>
          <w:sz w:val="22"/>
          <w:szCs w:val="22"/>
        </w:rPr>
      </w:pPr>
      <w:bookmarkStart w:id="413" w:name="_Toc27716"/>
      <w:bookmarkStart w:id="414" w:name="_Toc46502792"/>
      <w:bookmarkStart w:id="415" w:name="_Toc396137264"/>
      <w:bookmarkStart w:id="416" w:name="_Toc17449"/>
      <w:bookmarkStart w:id="417" w:name="_Toc2695"/>
      <w:bookmarkStart w:id="418" w:name="_Toc441844099"/>
      <w:bookmarkStart w:id="419" w:name="_Toc30515"/>
      <w:bookmarkStart w:id="420" w:name="_Toc425348172"/>
      <w:bookmarkStart w:id="421" w:name="_Toc2471"/>
      <w:r>
        <w:rPr>
          <w:rFonts w:hint="eastAsia" w:ascii="宋体" w:hAnsi="宋体" w:eastAsia="宋体" w:cs="宋体"/>
          <w:sz w:val="22"/>
          <w:szCs w:val="22"/>
        </w:rPr>
        <w:t>二、评标程序</w:t>
      </w:r>
      <w:bookmarkEnd w:id="413"/>
      <w:bookmarkEnd w:id="414"/>
      <w:bookmarkEnd w:id="415"/>
      <w:bookmarkEnd w:id="416"/>
      <w:bookmarkEnd w:id="417"/>
      <w:bookmarkEnd w:id="418"/>
      <w:bookmarkEnd w:id="419"/>
      <w:bookmarkEnd w:id="420"/>
      <w:bookmarkEnd w:id="421"/>
    </w:p>
    <w:p>
      <w:pPr>
        <w:spacing w:line="360" w:lineRule="auto"/>
        <w:ind w:left="420" w:leftChars="200"/>
        <w:rPr>
          <w:rFonts w:ascii="宋体" w:hAnsi="宋体" w:cs="宋体"/>
          <w:b/>
          <w:sz w:val="22"/>
          <w:szCs w:val="22"/>
        </w:rPr>
      </w:pPr>
      <w:bookmarkStart w:id="422" w:name="_Toc441844100"/>
      <w:r>
        <w:rPr>
          <w:rFonts w:hint="eastAsia" w:ascii="宋体" w:hAnsi="宋体" w:cs="宋体"/>
          <w:sz w:val="22"/>
          <w:szCs w:val="22"/>
        </w:rPr>
        <w:t>评标步骤：先进行资格、符合性审查，再进行商务和技术评审。按照评标程序的规定和依据评分标准，各评委就每个投标人的商务状况、技术状况及其对招标文件要求的响应情况进行评议和比较，评出其商务评分和技术评分。各评委的评分的算术平均值即为该投标人的商务评分和技术评分。然后，评出价格得分。将商务评分、技术评分和价格评分相加得出综合得分（保留小数点后两位数）。</w:t>
      </w:r>
      <w:bookmarkEnd w:id="422"/>
    </w:p>
    <w:p>
      <w:pPr>
        <w:pStyle w:val="82"/>
        <w:numPr>
          <w:ilvl w:val="0"/>
          <w:numId w:val="48"/>
        </w:numPr>
        <w:spacing w:line="360" w:lineRule="auto"/>
        <w:ind w:left="426" w:hanging="426" w:firstLineChars="0"/>
        <w:rPr>
          <w:rFonts w:ascii="宋体" w:hAnsi="宋体" w:cs="宋体"/>
          <w:b/>
          <w:sz w:val="22"/>
          <w:szCs w:val="22"/>
        </w:rPr>
      </w:pPr>
      <w:r>
        <w:rPr>
          <w:rFonts w:hint="eastAsia" w:ascii="宋体" w:hAnsi="宋体" w:cs="宋体"/>
          <w:b/>
          <w:sz w:val="22"/>
          <w:szCs w:val="22"/>
        </w:rPr>
        <w:t>资格、符合性审查</w:t>
      </w:r>
    </w:p>
    <w:p>
      <w:pPr>
        <w:spacing w:line="360" w:lineRule="auto"/>
        <w:ind w:left="420" w:leftChars="200"/>
        <w:rPr>
          <w:rFonts w:ascii="宋体" w:hAnsi="宋体" w:cs="宋体"/>
          <w:sz w:val="22"/>
          <w:szCs w:val="22"/>
        </w:rPr>
      </w:pPr>
      <w:r>
        <w:rPr>
          <w:rFonts w:hint="eastAsia" w:ascii="宋体" w:hAnsi="宋体" w:cs="宋体"/>
          <w:sz w:val="22"/>
          <w:szCs w:val="22"/>
        </w:rPr>
        <w:t>1、资格性审查是指评标委员会依据法律法规和招标文件的规定，对投标文件中的资格要求证明、投标保证金、投标人（含其不具有独立法人资格的分支机构）信用等进行审查，以确定投标人是否具备投标资格。</w:t>
      </w:r>
    </w:p>
    <w:p>
      <w:pPr>
        <w:spacing w:line="360" w:lineRule="auto"/>
        <w:ind w:left="420" w:leftChars="200"/>
        <w:rPr>
          <w:rFonts w:ascii="宋体" w:hAnsi="宋体" w:cs="宋体"/>
          <w:b/>
          <w:sz w:val="22"/>
          <w:szCs w:val="22"/>
        </w:rPr>
      </w:pPr>
      <w:r>
        <w:rPr>
          <w:rFonts w:hint="eastAsia" w:ascii="宋体" w:hAnsi="宋体" w:cs="宋体"/>
          <w:b/>
          <w:sz w:val="22"/>
          <w:szCs w:val="22"/>
        </w:rPr>
        <w:t>2、符合性审查时，投标人存在下列情况之一的，投标无效：</w:t>
      </w:r>
    </w:p>
    <w:p>
      <w:pPr>
        <w:spacing w:line="360" w:lineRule="auto"/>
        <w:ind w:left="420" w:leftChars="200"/>
        <w:rPr>
          <w:rFonts w:ascii="宋体" w:hAnsi="宋体" w:cs="宋体"/>
          <w:b/>
          <w:sz w:val="22"/>
          <w:szCs w:val="22"/>
        </w:rPr>
      </w:pPr>
      <w:r>
        <w:rPr>
          <w:rFonts w:hint="eastAsia" w:ascii="宋体" w:hAnsi="宋体" w:cs="宋体"/>
          <w:b/>
          <w:sz w:val="22"/>
          <w:szCs w:val="22"/>
        </w:rPr>
        <w:t>1)投标文件未按招标文件要求签署、盖章的；</w:t>
      </w:r>
    </w:p>
    <w:p>
      <w:pPr>
        <w:spacing w:line="360" w:lineRule="auto"/>
        <w:ind w:left="420" w:leftChars="200"/>
        <w:rPr>
          <w:rFonts w:ascii="宋体" w:hAnsi="宋体" w:cs="宋体"/>
          <w:sz w:val="22"/>
          <w:szCs w:val="22"/>
        </w:rPr>
      </w:pPr>
      <w:r>
        <w:rPr>
          <w:rFonts w:hint="eastAsia" w:ascii="宋体" w:hAnsi="宋体" w:cs="宋体"/>
          <w:sz w:val="22"/>
          <w:szCs w:val="22"/>
        </w:rPr>
        <w:t>包括但不限于：</w:t>
      </w:r>
    </w:p>
    <w:p>
      <w:pPr>
        <w:spacing w:line="360" w:lineRule="auto"/>
        <w:ind w:left="420"/>
        <w:rPr>
          <w:rFonts w:ascii="宋体" w:hAnsi="宋体" w:cs="宋体"/>
          <w:sz w:val="22"/>
          <w:szCs w:val="22"/>
        </w:rPr>
      </w:pPr>
      <w:r>
        <w:rPr>
          <w:rFonts w:hint="eastAsia" w:ascii="宋体" w:hAnsi="宋体" w:cs="宋体"/>
          <w:sz w:val="22"/>
          <w:szCs w:val="22"/>
        </w:rPr>
        <w:t>①投标文件无法定代表人或其授权代表签字，或签字人无法定代表人有效授权的；</w:t>
      </w:r>
    </w:p>
    <w:p>
      <w:pPr>
        <w:spacing w:line="360" w:lineRule="auto"/>
        <w:ind w:left="420" w:leftChars="200"/>
        <w:rPr>
          <w:rFonts w:ascii="宋体" w:hAnsi="宋体" w:cs="宋体"/>
          <w:sz w:val="22"/>
          <w:szCs w:val="22"/>
        </w:rPr>
      </w:pPr>
      <w:r>
        <w:rPr>
          <w:rFonts w:hint="eastAsia" w:ascii="宋体" w:hAnsi="宋体" w:cs="宋体"/>
          <w:sz w:val="22"/>
          <w:szCs w:val="22"/>
        </w:rPr>
        <w:t>②投标文件签字、盖章不符合招标文件要求的；</w:t>
      </w:r>
    </w:p>
    <w:p>
      <w:pPr>
        <w:spacing w:line="360" w:lineRule="auto"/>
        <w:ind w:left="420" w:leftChars="200"/>
        <w:rPr>
          <w:rFonts w:ascii="宋体" w:hAnsi="宋体" w:cs="宋体"/>
          <w:sz w:val="22"/>
          <w:szCs w:val="22"/>
        </w:rPr>
      </w:pPr>
      <w:r>
        <w:rPr>
          <w:rFonts w:hint="eastAsia" w:ascii="宋体" w:hAnsi="宋体" w:cs="宋体"/>
          <w:sz w:val="22"/>
          <w:szCs w:val="22"/>
        </w:rPr>
        <w:t>③投标文件的关键内容字迹模糊、无法辨认的。</w:t>
      </w:r>
    </w:p>
    <w:p>
      <w:pPr>
        <w:spacing w:line="360" w:lineRule="auto"/>
        <w:ind w:left="420" w:leftChars="200"/>
        <w:rPr>
          <w:rFonts w:ascii="宋体" w:hAnsi="宋体" w:cs="宋体"/>
          <w:b/>
          <w:sz w:val="22"/>
          <w:szCs w:val="22"/>
        </w:rPr>
      </w:pPr>
      <w:r>
        <w:rPr>
          <w:rFonts w:hint="eastAsia" w:ascii="宋体" w:hAnsi="宋体" w:cs="宋体"/>
          <w:b/>
          <w:sz w:val="22"/>
          <w:szCs w:val="22"/>
        </w:rPr>
        <w:t>2)报价超过招标文件中规定的预算金额或者最高限价的；</w:t>
      </w:r>
    </w:p>
    <w:p>
      <w:pPr>
        <w:spacing w:line="360" w:lineRule="auto"/>
        <w:ind w:left="420" w:leftChars="200"/>
        <w:rPr>
          <w:rFonts w:ascii="宋体" w:hAnsi="宋体" w:cs="宋体"/>
          <w:b/>
          <w:sz w:val="22"/>
          <w:szCs w:val="22"/>
        </w:rPr>
      </w:pPr>
      <w:r>
        <w:rPr>
          <w:rFonts w:hint="eastAsia" w:ascii="宋体" w:hAnsi="宋体" w:cs="宋体"/>
          <w:b/>
          <w:sz w:val="22"/>
          <w:szCs w:val="22"/>
        </w:rPr>
        <w:t>3)投标文件含有招标人不能接受的附加条件的；</w:t>
      </w:r>
    </w:p>
    <w:p>
      <w:pPr>
        <w:spacing w:line="360" w:lineRule="auto"/>
        <w:ind w:left="420" w:leftChars="200"/>
        <w:rPr>
          <w:rFonts w:ascii="宋体" w:hAnsi="宋体" w:cs="宋体"/>
          <w:b/>
          <w:sz w:val="22"/>
          <w:szCs w:val="22"/>
        </w:rPr>
      </w:pPr>
      <w:r>
        <w:rPr>
          <w:rFonts w:hint="eastAsia" w:ascii="宋体" w:hAnsi="宋体" w:cs="宋体"/>
          <w:b/>
          <w:sz w:val="22"/>
          <w:szCs w:val="22"/>
        </w:rPr>
        <w:t>4)投标文件未满足招标文件的实质性要求的；</w:t>
      </w:r>
    </w:p>
    <w:p>
      <w:pPr>
        <w:spacing w:line="360" w:lineRule="auto"/>
        <w:ind w:left="420" w:leftChars="200"/>
        <w:rPr>
          <w:rFonts w:ascii="宋体" w:hAnsi="宋体" w:cs="宋体"/>
          <w:sz w:val="22"/>
          <w:szCs w:val="22"/>
        </w:rPr>
      </w:pPr>
      <w:r>
        <w:rPr>
          <w:rFonts w:hint="eastAsia" w:ascii="宋体" w:hAnsi="宋体" w:cs="宋体"/>
          <w:sz w:val="22"/>
          <w:szCs w:val="22"/>
        </w:rPr>
        <w:t>包括但不限于：</w:t>
      </w:r>
    </w:p>
    <w:p>
      <w:pPr>
        <w:spacing w:line="360" w:lineRule="auto"/>
        <w:ind w:left="420" w:leftChars="200"/>
        <w:rPr>
          <w:rFonts w:ascii="宋体" w:hAnsi="宋体" w:cs="宋体"/>
          <w:sz w:val="22"/>
          <w:szCs w:val="22"/>
        </w:rPr>
      </w:pPr>
      <w:r>
        <w:rPr>
          <w:rFonts w:hint="eastAsia" w:ascii="宋体" w:hAnsi="宋体" w:cs="宋体"/>
          <w:sz w:val="22"/>
          <w:szCs w:val="22"/>
        </w:rPr>
        <w:t>①投标文件不满足招标文件中加注星号（★）的重要条款要求的；</w:t>
      </w:r>
    </w:p>
    <w:p>
      <w:pPr>
        <w:spacing w:line="360" w:lineRule="auto"/>
        <w:ind w:left="420" w:leftChars="200"/>
        <w:rPr>
          <w:rFonts w:ascii="宋体" w:hAnsi="宋体" w:cs="宋体"/>
          <w:sz w:val="22"/>
          <w:szCs w:val="22"/>
        </w:rPr>
      </w:pPr>
      <w:r>
        <w:rPr>
          <w:rFonts w:hint="eastAsia" w:ascii="宋体" w:hAnsi="宋体" w:cs="宋体"/>
          <w:sz w:val="22"/>
          <w:szCs w:val="22"/>
        </w:rPr>
        <w:t>②投标有效期未满足招标文件要求的；</w:t>
      </w:r>
    </w:p>
    <w:p>
      <w:pPr>
        <w:spacing w:line="360" w:lineRule="auto"/>
        <w:ind w:left="420" w:leftChars="200"/>
        <w:rPr>
          <w:rFonts w:ascii="宋体" w:hAnsi="宋体" w:cs="宋体"/>
          <w:sz w:val="22"/>
          <w:szCs w:val="22"/>
        </w:rPr>
      </w:pPr>
      <w:r>
        <w:rPr>
          <w:rFonts w:hint="eastAsia" w:ascii="宋体" w:hAnsi="宋体" w:cs="宋体"/>
          <w:sz w:val="22"/>
          <w:szCs w:val="22"/>
        </w:rPr>
        <w:t>③投标文件商务和技术响应与事实不符或虚假投标的；</w:t>
      </w:r>
    </w:p>
    <w:p>
      <w:pPr>
        <w:spacing w:line="360" w:lineRule="auto"/>
        <w:ind w:left="420" w:leftChars="200"/>
        <w:rPr>
          <w:rFonts w:ascii="宋体" w:hAnsi="宋体" w:cs="宋体"/>
          <w:sz w:val="22"/>
          <w:szCs w:val="22"/>
        </w:rPr>
      </w:pPr>
      <w:r>
        <w:rPr>
          <w:rFonts w:hint="eastAsia" w:ascii="宋体" w:hAnsi="宋体" w:cs="宋体"/>
          <w:sz w:val="22"/>
          <w:szCs w:val="22"/>
        </w:rPr>
        <w:t>④将一个包中的内容拆开投标的；</w:t>
      </w:r>
    </w:p>
    <w:p>
      <w:pPr>
        <w:spacing w:line="360" w:lineRule="auto"/>
        <w:ind w:left="420" w:leftChars="200"/>
        <w:rPr>
          <w:rFonts w:ascii="宋体" w:hAnsi="宋体" w:cs="宋体"/>
          <w:sz w:val="22"/>
          <w:szCs w:val="22"/>
        </w:rPr>
      </w:pPr>
      <w:r>
        <w:rPr>
          <w:rFonts w:hint="eastAsia" w:ascii="宋体" w:hAnsi="宋体" w:cs="宋体"/>
          <w:sz w:val="22"/>
          <w:szCs w:val="22"/>
        </w:rPr>
        <w:t>⑤投标人对同一服务投标时，同时提供两套或两套以上的投标方案的；</w:t>
      </w:r>
    </w:p>
    <w:p>
      <w:pPr>
        <w:spacing w:line="360" w:lineRule="auto"/>
        <w:ind w:left="420" w:leftChars="200"/>
        <w:rPr>
          <w:rFonts w:ascii="宋体" w:hAnsi="宋体" w:cs="宋体"/>
          <w:sz w:val="22"/>
          <w:szCs w:val="22"/>
        </w:rPr>
      </w:pPr>
      <w:r>
        <w:rPr>
          <w:rFonts w:hint="eastAsia" w:ascii="宋体" w:hAnsi="宋体" w:cs="宋体"/>
          <w:sz w:val="22"/>
          <w:szCs w:val="22"/>
        </w:rPr>
        <w:t>⑥投标文件份数不满足招标文件要求的；</w:t>
      </w:r>
    </w:p>
    <w:p>
      <w:pPr>
        <w:spacing w:line="360" w:lineRule="auto"/>
        <w:ind w:left="420" w:leftChars="200"/>
        <w:rPr>
          <w:rFonts w:ascii="宋体" w:hAnsi="宋体" w:cs="宋体"/>
          <w:sz w:val="22"/>
          <w:szCs w:val="22"/>
        </w:rPr>
      </w:pPr>
      <w:r>
        <w:rPr>
          <w:rFonts w:hint="eastAsia" w:ascii="宋体" w:hAnsi="宋体" w:cs="宋体"/>
          <w:sz w:val="22"/>
          <w:szCs w:val="22"/>
        </w:rPr>
        <w:fldChar w:fldCharType="begin"/>
      </w:r>
      <w:r>
        <w:rPr>
          <w:rFonts w:hint="eastAsia" w:ascii="宋体" w:hAnsi="宋体" w:cs="宋体"/>
          <w:sz w:val="22"/>
          <w:szCs w:val="22"/>
        </w:rPr>
        <w:instrText xml:space="preserve"> = 7 \* GB3 </w:instrText>
      </w:r>
      <w:r>
        <w:rPr>
          <w:rFonts w:hint="eastAsia" w:ascii="宋体" w:hAnsi="宋体" w:cs="宋体"/>
          <w:sz w:val="22"/>
          <w:szCs w:val="22"/>
        </w:rPr>
        <w:fldChar w:fldCharType="separate"/>
      </w:r>
      <w:r>
        <w:rPr>
          <w:rFonts w:hint="eastAsia" w:ascii="宋体" w:hAnsi="宋体" w:cs="宋体"/>
          <w:sz w:val="22"/>
          <w:szCs w:val="22"/>
        </w:rPr>
        <w:t>⑦</w:t>
      </w:r>
      <w:r>
        <w:rPr>
          <w:rFonts w:hint="eastAsia" w:ascii="宋体" w:hAnsi="宋体" w:cs="宋体"/>
          <w:sz w:val="22"/>
          <w:szCs w:val="22"/>
        </w:rPr>
        <w:fldChar w:fldCharType="end"/>
      </w:r>
      <w:r>
        <w:rPr>
          <w:rFonts w:hint="eastAsia" w:ascii="宋体" w:hAnsi="宋体" w:cs="宋体"/>
          <w:sz w:val="22"/>
          <w:szCs w:val="22"/>
        </w:rPr>
        <w:t>其他未实质性响应招标文件要求的。</w:t>
      </w:r>
    </w:p>
    <w:p>
      <w:pPr>
        <w:spacing w:line="360" w:lineRule="auto"/>
        <w:ind w:left="420" w:leftChars="200"/>
        <w:rPr>
          <w:rFonts w:ascii="宋体" w:hAnsi="宋体"/>
          <w:b/>
          <w:sz w:val="22"/>
          <w:szCs w:val="22"/>
        </w:rPr>
      </w:pPr>
      <w:r>
        <w:rPr>
          <w:rFonts w:hint="eastAsia" w:ascii="宋体" w:hAnsi="宋体"/>
          <w:b/>
          <w:sz w:val="22"/>
          <w:szCs w:val="22"/>
        </w:rPr>
        <w:t>5)法律、法规和招标文件规定的其他无效情形。</w:t>
      </w:r>
    </w:p>
    <w:p>
      <w:pPr>
        <w:pStyle w:val="82"/>
        <w:numPr>
          <w:ilvl w:val="0"/>
          <w:numId w:val="48"/>
        </w:numPr>
        <w:spacing w:line="360" w:lineRule="auto"/>
        <w:ind w:left="426" w:hanging="426" w:firstLineChars="0"/>
        <w:rPr>
          <w:rFonts w:ascii="Times New Roman" w:hAnsi="Times New Roman"/>
          <w:b/>
          <w:sz w:val="22"/>
          <w:szCs w:val="22"/>
        </w:rPr>
      </w:pPr>
      <w:r>
        <w:rPr>
          <w:rFonts w:hint="eastAsia" w:ascii="Times New Roman" w:hAnsi="Times New Roman"/>
          <w:b/>
          <w:sz w:val="22"/>
          <w:szCs w:val="22"/>
        </w:rPr>
        <w:t>资格、符合性审查表</w:t>
      </w:r>
    </w:p>
    <w:tbl>
      <w:tblPr>
        <w:tblStyle w:val="35"/>
        <w:tblW w:w="924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2126"/>
        <w:gridCol w:w="1418"/>
        <w:gridCol w:w="1559"/>
        <w:gridCol w:w="1559"/>
        <w:gridCol w:w="16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720" w:hRule="atLeast"/>
        </w:trPr>
        <w:tc>
          <w:tcPr>
            <w:tcW w:w="3085" w:type="dxa"/>
            <w:gridSpan w:val="2"/>
            <w:tcBorders>
              <w:tl2br w:val="single" w:color="auto" w:sz="4" w:space="0"/>
            </w:tcBorders>
          </w:tcPr>
          <w:p>
            <w:pPr>
              <w:spacing w:line="360" w:lineRule="auto"/>
              <w:ind w:firstLine="1540" w:firstLineChars="700"/>
              <w:rPr>
                <w:rFonts w:ascii="宋体" w:hAnsi="宋体" w:cs="宋体"/>
                <w:sz w:val="22"/>
                <w:szCs w:val="22"/>
              </w:rPr>
            </w:pPr>
            <w:r>
              <w:rPr>
                <w:rFonts w:hint="eastAsia" w:ascii="宋体" w:hAnsi="宋体" w:cs="宋体"/>
                <w:sz w:val="22"/>
                <w:szCs w:val="22"/>
              </w:rPr>
              <w:t>投标单位</w:t>
            </w:r>
          </w:p>
          <w:p>
            <w:pPr>
              <w:spacing w:line="360" w:lineRule="auto"/>
              <w:rPr>
                <w:rFonts w:ascii="宋体" w:hAnsi="宋体" w:cs="宋体"/>
                <w:b/>
                <w:sz w:val="22"/>
                <w:szCs w:val="22"/>
              </w:rPr>
            </w:pPr>
            <w:r>
              <w:rPr>
                <w:rFonts w:hint="eastAsia" w:ascii="宋体" w:hAnsi="宋体" w:cs="宋体"/>
                <w:sz w:val="22"/>
                <w:szCs w:val="22"/>
              </w:rPr>
              <w:t>评审内容</w:t>
            </w:r>
          </w:p>
        </w:tc>
        <w:tc>
          <w:tcPr>
            <w:tcW w:w="1418" w:type="dxa"/>
          </w:tcPr>
          <w:p>
            <w:pPr>
              <w:spacing w:line="360" w:lineRule="auto"/>
              <w:rPr>
                <w:rFonts w:ascii="宋体" w:hAnsi="宋体" w:cs="宋体"/>
                <w:b/>
                <w:sz w:val="22"/>
                <w:szCs w:val="22"/>
              </w:rPr>
            </w:pPr>
          </w:p>
        </w:tc>
        <w:tc>
          <w:tcPr>
            <w:tcW w:w="1559" w:type="dxa"/>
          </w:tcPr>
          <w:p>
            <w:pPr>
              <w:spacing w:line="360" w:lineRule="auto"/>
              <w:rPr>
                <w:rFonts w:ascii="宋体" w:hAnsi="宋体" w:cs="宋体"/>
                <w:b/>
                <w:sz w:val="22"/>
                <w:szCs w:val="22"/>
              </w:rPr>
            </w:pPr>
          </w:p>
        </w:tc>
        <w:tc>
          <w:tcPr>
            <w:tcW w:w="1559" w:type="dxa"/>
          </w:tcPr>
          <w:p>
            <w:pPr>
              <w:spacing w:line="360" w:lineRule="auto"/>
              <w:rPr>
                <w:rFonts w:ascii="宋体" w:hAnsi="宋体" w:cs="宋体"/>
                <w:b/>
                <w:sz w:val="22"/>
                <w:szCs w:val="22"/>
              </w:rPr>
            </w:pPr>
          </w:p>
        </w:tc>
        <w:tc>
          <w:tcPr>
            <w:tcW w:w="1621" w:type="dxa"/>
          </w:tcPr>
          <w:p>
            <w:pPr>
              <w:spacing w:line="360" w:lineRule="auto"/>
              <w:rPr>
                <w:rFonts w:ascii="宋体" w:hAnsi="宋体" w:cs="宋体"/>
                <w:b/>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restart"/>
            <w:tcBorders>
              <w:top w:val="single" w:color="auto" w:sz="4" w:space="0"/>
              <w:right w:val="single" w:color="auto" w:sz="4" w:space="0"/>
            </w:tcBorders>
            <w:vAlign w:val="center"/>
          </w:tcPr>
          <w:p>
            <w:pPr>
              <w:jc w:val="center"/>
              <w:rPr>
                <w:rFonts w:ascii="宋体" w:hAnsi="宋体" w:cs="宋体"/>
                <w:b/>
                <w:sz w:val="22"/>
                <w:szCs w:val="22"/>
              </w:rPr>
            </w:pPr>
            <w:r>
              <w:rPr>
                <w:rFonts w:hint="eastAsia" w:ascii="宋体" w:hAnsi="宋体" w:cs="宋体"/>
                <w:b/>
                <w:sz w:val="22"/>
                <w:szCs w:val="22"/>
              </w:rPr>
              <w:t>资格性审查</w:t>
            </w:r>
          </w:p>
        </w:tc>
        <w:tc>
          <w:tcPr>
            <w:tcW w:w="2126" w:type="dxa"/>
            <w:tcBorders>
              <w:left w:val="single" w:color="auto" w:sz="4" w:space="0"/>
            </w:tcBorders>
            <w:vAlign w:val="center"/>
          </w:tcPr>
          <w:p>
            <w:pPr>
              <w:rPr>
                <w:rFonts w:ascii="宋体" w:hAnsi="宋体" w:cs="宋体"/>
                <w:b/>
                <w:sz w:val="22"/>
                <w:szCs w:val="22"/>
              </w:rPr>
            </w:pPr>
            <w:r>
              <w:rPr>
                <w:rFonts w:hint="eastAsia" w:ascii="宋体" w:hAnsi="宋体" w:cs="宋体"/>
                <w:b/>
                <w:sz w:val="22"/>
                <w:szCs w:val="22"/>
              </w:rPr>
              <w:t>1.符合合格投标人的基本条件的</w:t>
            </w:r>
          </w:p>
        </w:tc>
        <w:tc>
          <w:tcPr>
            <w:tcW w:w="1418" w:type="dxa"/>
          </w:tcPr>
          <w:p>
            <w:pPr>
              <w:rPr>
                <w:rFonts w:ascii="宋体" w:hAnsi="宋体" w:cs="宋体"/>
                <w:b/>
                <w:sz w:val="22"/>
                <w:szCs w:val="22"/>
              </w:rPr>
            </w:pPr>
          </w:p>
        </w:tc>
        <w:tc>
          <w:tcPr>
            <w:tcW w:w="1559" w:type="dxa"/>
          </w:tcPr>
          <w:p>
            <w:pPr>
              <w:rPr>
                <w:rFonts w:ascii="宋体" w:hAnsi="宋体" w:cs="宋体"/>
                <w:b/>
                <w:sz w:val="22"/>
                <w:szCs w:val="22"/>
              </w:rPr>
            </w:pPr>
          </w:p>
        </w:tc>
        <w:tc>
          <w:tcPr>
            <w:tcW w:w="1559" w:type="dxa"/>
          </w:tcPr>
          <w:p>
            <w:pPr>
              <w:rPr>
                <w:rFonts w:ascii="宋体" w:hAnsi="宋体" w:cs="宋体"/>
                <w:b/>
                <w:sz w:val="22"/>
                <w:szCs w:val="22"/>
              </w:rPr>
            </w:pPr>
          </w:p>
        </w:tc>
        <w:tc>
          <w:tcPr>
            <w:tcW w:w="1621" w:type="dxa"/>
          </w:tcPr>
          <w:p>
            <w:pPr>
              <w:rPr>
                <w:rFonts w:ascii="宋体" w:hAnsi="宋体" w:cs="宋体"/>
                <w:b/>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Borders>
              <w:right w:val="single" w:color="auto" w:sz="4" w:space="0"/>
            </w:tcBorders>
            <w:vAlign w:val="center"/>
          </w:tcPr>
          <w:p>
            <w:pPr>
              <w:jc w:val="center"/>
              <w:rPr>
                <w:rFonts w:ascii="宋体" w:hAnsi="宋体" w:cs="宋体"/>
                <w:b/>
                <w:sz w:val="22"/>
                <w:szCs w:val="22"/>
              </w:rPr>
            </w:pPr>
          </w:p>
        </w:tc>
        <w:tc>
          <w:tcPr>
            <w:tcW w:w="2126" w:type="dxa"/>
            <w:tcBorders>
              <w:left w:val="single" w:color="auto" w:sz="4" w:space="0"/>
            </w:tcBorders>
            <w:vAlign w:val="center"/>
          </w:tcPr>
          <w:p>
            <w:pPr>
              <w:rPr>
                <w:rFonts w:ascii="宋体" w:hAnsi="宋体" w:cs="宋体"/>
                <w:b/>
                <w:sz w:val="22"/>
                <w:szCs w:val="22"/>
              </w:rPr>
            </w:pPr>
            <w:r>
              <w:rPr>
                <w:rFonts w:hint="eastAsia" w:ascii="宋体" w:hAnsi="宋体" w:cs="宋体"/>
                <w:b/>
                <w:sz w:val="22"/>
                <w:szCs w:val="22"/>
              </w:rPr>
              <w:t>2.未被列入“国家企业信用信息公示系统”网站（http://www.gsxt.gov.cn）严重违法失信企业名单；未被列入“中国执行信息公开网”失信执行人</w:t>
            </w:r>
          </w:p>
        </w:tc>
        <w:tc>
          <w:tcPr>
            <w:tcW w:w="1418" w:type="dxa"/>
          </w:tcPr>
          <w:p>
            <w:pPr>
              <w:rPr>
                <w:rFonts w:ascii="宋体" w:hAnsi="宋体" w:cs="宋体"/>
                <w:b/>
                <w:sz w:val="22"/>
                <w:szCs w:val="22"/>
              </w:rPr>
            </w:pPr>
          </w:p>
        </w:tc>
        <w:tc>
          <w:tcPr>
            <w:tcW w:w="1559" w:type="dxa"/>
          </w:tcPr>
          <w:p>
            <w:pPr>
              <w:rPr>
                <w:rFonts w:ascii="宋体" w:hAnsi="宋体" w:cs="宋体"/>
                <w:b/>
                <w:sz w:val="22"/>
                <w:szCs w:val="22"/>
              </w:rPr>
            </w:pPr>
          </w:p>
        </w:tc>
        <w:tc>
          <w:tcPr>
            <w:tcW w:w="1559" w:type="dxa"/>
          </w:tcPr>
          <w:p>
            <w:pPr>
              <w:rPr>
                <w:rFonts w:ascii="宋体" w:hAnsi="宋体" w:cs="宋体"/>
                <w:b/>
                <w:sz w:val="22"/>
                <w:szCs w:val="22"/>
              </w:rPr>
            </w:pPr>
          </w:p>
        </w:tc>
        <w:tc>
          <w:tcPr>
            <w:tcW w:w="1621" w:type="dxa"/>
          </w:tcPr>
          <w:p>
            <w:pPr>
              <w:rPr>
                <w:rFonts w:ascii="宋体" w:hAnsi="宋体" w:cs="宋体"/>
                <w:b/>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Borders>
              <w:right w:val="single" w:color="auto" w:sz="4" w:space="0"/>
            </w:tcBorders>
            <w:vAlign w:val="center"/>
          </w:tcPr>
          <w:p>
            <w:pPr>
              <w:jc w:val="center"/>
              <w:rPr>
                <w:rFonts w:ascii="宋体" w:hAnsi="宋体" w:cs="宋体"/>
                <w:b/>
                <w:sz w:val="22"/>
                <w:szCs w:val="22"/>
              </w:rPr>
            </w:pPr>
          </w:p>
        </w:tc>
        <w:tc>
          <w:tcPr>
            <w:tcW w:w="2126" w:type="dxa"/>
            <w:tcBorders>
              <w:left w:val="single" w:color="auto" w:sz="4" w:space="0"/>
            </w:tcBorders>
            <w:vAlign w:val="center"/>
          </w:tcPr>
          <w:p>
            <w:pPr>
              <w:rPr>
                <w:rFonts w:ascii="宋体" w:hAnsi="宋体" w:cs="宋体"/>
                <w:b/>
                <w:sz w:val="22"/>
                <w:szCs w:val="22"/>
              </w:rPr>
            </w:pPr>
            <w:r>
              <w:rPr>
                <w:rFonts w:hint="eastAsia" w:ascii="宋体" w:hAnsi="宋体" w:cs="宋体"/>
                <w:b/>
                <w:sz w:val="22"/>
                <w:szCs w:val="22"/>
              </w:rPr>
              <w:t>3.不存在大额诉讼或多宗诉讼或其他违法、违约等影响本次招标项目正常履约的情形</w:t>
            </w:r>
          </w:p>
        </w:tc>
        <w:tc>
          <w:tcPr>
            <w:tcW w:w="1418" w:type="dxa"/>
          </w:tcPr>
          <w:p>
            <w:pPr>
              <w:rPr>
                <w:rFonts w:ascii="宋体" w:hAnsi="宋体" w:cs="宋体"/>
                <w:b/>
                <w:sz w:val="22"/>
                <w:szCs w:val="22"/>
              </w:rPr>
            </w:pPr>
          </w:p>
        </w:tc>
        <w:tc>
          <w:tcPr>
            <w:tcW w:w="1559" w:type="dxa"/>
          </w:tcPr>
          <w:p>
            <w:pPr>
              <w:rPr>
                <w:rFonts w:ascii="宋体" w:hAnsi="宋体" w:cs="宋体"/>
                <w:b/>
                <w:sz w:val="22"/>
                <w:szCs w:val="22"/>
              </w:rPr>
            </w:pPr>
          </w:p>
        </w:tc>
        <w:tc>
          <w:tcPr>
            <w:tcW w:w="1559" w:type="dxa"/>
          </w:tcPr>
          <w:p>
            <w:pPr>
              <w:rPr>
                <w:rFonts w:ascii="宋体" w:hAnsi="宋体" w:cs="宋体"/>
                <w:b/>
                <w:sz w:val="22"/>
                <w:szCs w:val="22"/>
              </w:rPr>
            </w:pPr>
          </w:p>
        </w:tc>
        <w:tc>
          <w:tcPr>
            <w:tcW w:w="1621" w:type="dxa"/>
          </w:tcPr>
          <w:p>
            <w:pPr>
              <w:rPr>
                <w:rFonts w:ascii="宋体" w:hAnsi="宋体" w:cs="宋体"/>
                <w:b/>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Borders>
              <w:right w:val="single" w:color="auto" w:sz="4" w:space="0"/>
            </w:tcBorders>
            <w:vAlign w:val="center"/>
          </w:tcPr>
          <w:p>
            <w:pPr>
              <w:jc w:val="center"/>
              <w:rPr>
                <w:rFonts w:ascii="宋体" w:hAnsi="宋体" w:cs="宋体"/>
                <w:b/>
                <w:sz w:val="22"/>
                <w:szCs w:val="22"/>
              </w:rPr>
            </w:pPr>
          </w:p>
        </w:tc>
        <w:tc>
          <w:tcPr>
            <w:tcW w:w="2126" w:type="dxa"/>
            <w:tcBorders>
              <w:left w:val="single" w:color="auto" w:sz="4" w:space="0"/>
            </w:tcBorders>
            <w:vAlign w:val="center"/>
          </w:tcPr>
          <w:p>
            <w:pPr>
              <w:rPr>
                <w:rFonts w:ascii="宋体" w:hAnsi="宋体" w:cs="宋体"/>
                <w:b/>
                <w:sz w:val="22"/>
                <w:szCs w:val="22"/>
              </w:rPr>
            </w:pPr>
            <w:r>
              <w:rPr>
                <w:rFonts w:hint="eastAsia" w:ascii="宋体" w:hAnsi="宋体" w:cs="宋体"/>
                <w:b/>
                <w:sz w:val="22"/>
                <w:szCs w:val="22"/>
              </w:rPr>
              <w:t>4.不存在投标人或其关联公司曾与东莞市交通投资集团有限公司及其下属企业签订合同，且在履约过程中因投标人或其关联公司严重违约而导致合同变更、中止、解除的情形</w:t>
            </w:r>
          </w:p>
        </w:tc>
        <w:tc>
          <w:tcPr>
            <w:tcW w:w="1418" w:type="dxa"/>
          </w:tcPr>
          <w:p>
            <w:pPr>
              <w:rPr>
                <w:rFonts w:ascii="宋体" w:hAnsi="宋体" w:cs="宋体"/>
                <w:b/>
                <w:sz w:val="22"/>
                <w:szCs w:val="22"/>
              </w:rPr>
            </w:pPr>
          </w:p>
        </w:tc>
        <w:tc>
          <w:tcPr>
            <w:tcW w:w="1559" w:type="dxa"/>
          </w:tcPr>
          <w:p>
            <w:pPr>
              <w:rPr>
                <w:rFonts w:ascii="宋体" w:hAnsi="宋体" w:cs="宋体"/>
                <w:b/>
                <w:sz w:val="22"/>
                <w:szCs w:val="22"/>
              </w:rPr>
            </w:pPr>
          </w:p>
        </w:tc>
        <w:tc>
          <w:tcPr>
            <w:tcW w:w="1559" w:type="dxa"/>
          </w:tcPr>
          <w:p>
            <w:pPr>
              <w:rPr>
                <w:rFonts w:ascii="宋体" w:hAnsi="宋体" w:cs="宋体"/>
                <w:b/>
                <w:sz w:val="22"/>
                <w:szCs w:val="22"/>
              </w:rPr>
            </w:pPr>
          </w:p>
        </w:tc>
        <w:tc>
          <w:tcPr>
            <w:tcW w:w="1621" w:type="dxa"/>
          </w:tcPr>
          <w:p>
            <w:pPr>
              <w:rPr>
                <w:rFonts w:ascii="宋体" w:hAnsi="宋体" w:cs="宋体"/>
                <w:b/>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Borders>
              <w:right w:val="single" w:color="auto" w:sz="4" w:space="0"/>
            </w:tcBorders>
            <w:vAlign w:val="center"/>
          </w:tcPr>
          <w:p>
            <w:pPr>
              <w:jc w:val="center"/>
              <w:rPr>
                <w:rFonts w:ascii="宋体" w:hAnsi="宋体" w:cs="宋体"/>
                <w:b/>
                <w:sz w:val="22"/>
                <w:szCs w:val="22"/>
              </w:rPr>
            </w:pPr>
          </w:p>
        </w:tc>
        <w:tc>
          <w:tcPr>
            <w:tcW w:w="2126" w:type="dxa"/>
            <w:tcBorders>
              <w:left w:val="single" w:color="auto" w:sz="4" w:space="0"/>
            </w:tcBorders>
            <w:vAlign w:val="center"/>
          </w:tcPr>
          <w:p>
            <w:pPr>
              <w:rPr>
                <w:rFonts w:ascii="宋体" w:hAnsi="宋体" w:cs="宋体"/>
                <w:b/>
                <w:sz w:val="22"/>
                <w:szCs w:val="22"/>
              </w:rPr>
            </w:pPr>
            <w:r>
              <w:rPr>
                <w:rFonts w:hint="eastAsia" w:ascii="宋体" w:hAnsi="宋体" w:cs="宋体"/>
                <w:b/>
                <w:sz w:val="22"/>
                <w:szCs w:val="22"/>
              </w:rPr>
              <w:t>5.投标人或其关联公司不存在正在与东莞市交通投资集团有公司及其下属企业发生诉讼的情形</w:t>
            </w:r>
          </w:p>
        </w:tc>
        <w:tc>
          <w:tcPr>
            <w:tcW w:w="1418" w:type="dxa"/>
          </w:tcPr>
          <w:p>
            <w:pPr>
              <w:rPr>
                <w:rFonts w:ascii="宋体" w:hAnsi="宋体" w:cs="宋体"/>
                <w:b/>
                <w:sz w:val="22"/>
                <w:szCs w:val="22"/>
              </w:rPr>
            </w:pPr>
          </w:p>
        </w:tc>
        <w:tc>
          <w:tcPr>
            <w:tcW w:w="1559" w:type="dxa"/>
          </w:tcPr>
          <w:p>
            <w:pPr>
              <w:rPr>
                <w:rFonts w:ascii="宋体" w:hAnsi="宋体" w:cs="宋体"/>
                <w:b/>
                <w:sz w:val="22"/>
                <w:szCs w:val="22"/>
              </w:rPr>
            </w:pPr>
          </w:p>
        </w:tc>
        <w:tc>
          <w:tcPr>
            <w:tcW w:w="1559" w:type="dxa"/>
          </w:tcPr>
          <w:p>
            <w:pPr>
              <w:rPr>
                <w:rFonts w:ascii="宋体" w:hAnsi="宋体" w:cs="宋体"/>
                <w:b/>
                <w:sz w:val="22"/>
                <w:szCs w:val="22"/>
              </w:rPr>
            </w:pPr>
          </w:p>
        </w:tc>
        <w:tc>
          <w:tcPr>
            <w:tcW w:w="1621" w:type="dxa"/>
          </w:tcPr>
          <w:p>
            <w:pPr>
              <w:rPr>
                <w:rFonts w:ascii="宋体" w:hAnsi="宋体" w:cs="宋体"/>
                <w:b/>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Borders>
              <w:right w:val="single" w:color="auto" w:sz="4" w:space="0"/>
            </w:tcBorders>
            <w:vAlign w:val="center"/>
          </w:tcPr>
          <w:p>
            <w:pPr>
              <w:jc w:val="center"/>
              <w:rPr>
                <w:rFonts w:ascii="宋体" w:hAnsi="宋体" w:cs="宋体"/>
                <w:b/>
                <w:sz w:val="22"/>
                <w:szCs w:val="22"/>
              </w:rPr>
            </w:pPr>
          </w:p>
        </w:tc>
        <w:tc>
          <w:tcPr>
            <w:tcW w:w="2126" w:type="dxa"/>
            <w:tcBorders>
              <w:left w:val="single" w:color="auto" w:sz="4" w:space="0"/>
            </w:tcBorders>
            <w:vAlign w:val="center"/>
          </w:tcPr>
          <w:p>
            <w:pPr>
              <w:rPr>
                <w:rFonts w:ascii="宋体" w:hAnsi="宋体" w:cs="宋体"/>
                <w:b/>
                <w:sz w:val="22"/>
                <w:szCs w:val="22"/>
              </w:rPr>
            </w:pPr>
            <w:r>
              <w:rPr>
                <w:rFonts w:hint="eastAsia" w:ascii="宋体" w:hAnsi="宋体" w:cs="宋体"/>
                <w:b/>
                <w:sz w:val="22"/>
                <w:szCs w:val="22"/>
              </w:rPr>
              <w:t>6.不存在法院判决或仲裁裁决认定投标人或其关联公司在与东莞市交通投资集团有限公司及其下属企业履约过程中存在违约或过失责任的情形。</w:t>
            </w:r>
          </w:p>
        </w:tc>
        <w:tc>
          <w:tcPr>
            <w:tcW w:w="1418" w:type="dxa"/>
          </w:tcPr>
          <w:p>
            <w:pPr>
              <w:rPr>
                <w:rFonts w:ascii="宋体" w:hAnsi="宋体" w:cs="宋体"/>
                <w:b/>
                <w:sz w:val="22"/>
                <w:szCs w:val="22"/>
              </w:rPr>
            </w:pPr>
          </w:p>
        </w:tc>
        <w:tc>
          <w:tcPr>
            <w:tcW w:w="1559" w:type="dxa"/>
          </w:tcPr>
          <w:p>
            <w:pPr>
              <w:rPr>
                <w:rFonts w:ascii="宋体" w:hAnsi="宋体" w:cs="宋体"/>
                <w:b/>
                <w:sz w:val="22"/>
                <w:szCs w:val="22"/>
              </w:rPr>
            </w:pPr>
          </w:p>
        </w:tc>
        <w:tc>
          <w:tcPr>
            <w:tcW w:w="1559" w:type="dxa"/>
          </w:tcPr>
          <w:p>
            <w:pPr>
              <w:rPr>
                <w:rFonts w:ascii="宋体" w:hAnsi="宋体" w:cs="宋体"/>
                <w:b/>
                <w:sz w:val="22"/>
                <w:szCs w:val="22"/>
              </w:rPr>
            </w:pPr>
          </w:p>
        </w:tc>
        <w:tc>
          <w:tcPr>
            <w:tcW w:w="1621" w:type="dxa"/>
          </w:tcPr>
          <w:p>
            <w:pPr>
              <w:rPr>
                <w:rFonts w:ascii="宋体" w:hAnsi="宋体" w:cs="宋体"/>
                <w:b/>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restart"/>
            <w:tcBorders>
              <w:top w:val="single" w:color="auto" w:sz="4" w:space="0"/>
              <w:right w:val="single" w:color="auto" w:sz="4" w:space="0"/>
            </w:tcBorders>
            <w:vAlign w:val="center"/>
          </w:tcPr>
          <w:p>
            <w:pPr>
              <w:jc w:val="center"/>
              <w:rPr>
                <w:rFonts w:ascii="宋体" w:hAnsi="宋体" w:cs="宋体"/>
                <w:b/>
                <w:sz w:val="22"/>
                <w:szCs w:val="22"/>
              </w:rPr>
            </w:pPr>
            <w:r>
              <w:rPr>
                <w:rFonts w:hint="eastAsia" w:ascii="宋体" w:hAnsi="宋体" w:cs="宋体"/>
                <w:b/>
                <w:sz w:val="22"/>
                <w:szCs w:val="22"/>
              </w:rPr>
              <w:t>符合性审查</w:t>
            </w:r>
          </w:p>
        </w:tc>
        <w:tc>
          <w:tcPr>
            <w:tcW w:w="2126" w:type="dxa"/>
            <w:tcBorders>
              <w:left w:val="single" w:color="auto" w:sz="4" w:space="0"/>
            </w:tcBorders>
            <w:vAlign w:val="center"/>
          </w:tcPr>
          <w:p>
            <w:pPr>
              <w:rPr>
                <w:rFonts w:ascii="宋体" w:hAnsi="宋体" w:cs="宋体"/>
                <w:b/>
                <w:sz w:val="22"/>
                <w:szCs w:val="22"/>
              </w:rPr>
            </w:pPr>
            <w:r>
              <w:rPr>
                <w:rFonts w:hint="eastAsia" w:ascii="宋体" w:hAnsi="宋体" w:cs="宋体"/>
                <w:b/>
                <w:sz w:val="22"/>
                <w:szCs w:val="22"/>
              </w:rPr>
              <w:t>1.投标文件按招标文件要求签署、盖章的</w:t>
            </w:r>
          </w:p>
        </w:tc>
        <w:tc>
          <w:tcPr>
            <w:tcW w:w="1418" w:type="dxa"/>
          </w:tcPr>
          <w:p>
            <w:pPr>
              <w:rPr>
                <w:rFonts w:ascii="宋体" w:hAnsi="宋体" w:cs="宋体"/>
                <w:b/>
                <w:sz w:val="22"/>
                <w:szCs w:val="22"/>
              </w:rPr>
            </w:pPr>
          </w:p>
        </w:tc>
        <w:tc>
          <w:tcPr>
            <w:tcW w:w="1559" w:type="dxa"/>
          </w:tcPr>
          <w:p>
            <w:pPr>
              <w:rPr>
                <w:rFonts w:ascii="宋体" w:hAnsi="宋体" w:cs="宋体"/>
                <w:b/>
                <w:sz w:val="22"/>
                <w:szCs w:val="22"/>
              </w:rPr>
            </w:pPr>
          </w:p>
        </w:tc>
        <w:tc>
          <w:tcPr>
            <w:tcW w:w="1559" w:type="dxa"/>
          </w:tcPr>
          <w:p>
            <w:pPr>
              <w:rPr>
                <w:rFonts w:ascii="宋体" w:hAnsi="宋体" w:cs="宋体"/>
                <w:b/>
                <w:sz w:val="22"/>
                <w:szCs w:val="22"/>
              </w:rPr>
            </w:pPr>
          </w:p>
        </w:tc>
        <w:tc>
          <w:tcPr>
            <w:tcW w:w="1621" w:type="dxa"/>
          </w:tcPr>
          <w:p>
            <w:pPr>
              <w:rPr>
                <w:rFonts w:ascii="宋体" w:hAnsi="宋体" w:cs="宋体"/>
                <w:b/>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Borders>
              <w:right w:val="single" w:color="auto" w:sz="4" w:space="0"/>
            </w:tcBorders>
          </w:tcPr>
          <w:p>
            <w:pPr>
              <w:rPr>
                <w:rFonts w:ascii="宋体" w:hAnsi="宋体" w:cs="宋体"/>
                <w:b/>
                <w:sz w:val="22"/>
                <w:szCs w:val="22"/>
              </w:rPr>
            </w:pPr>
          </w:p>
        </w:tc>
        <w:tc>
          <w:tcPr>
            <w:tcW w:w="2126" w:type="dxa"/>
            <w:tcBorders>
              <w:left w:val="single" w:color="auto" w:sz="4" w:space="0"/>
            </w:tcBorders>
            <w:vAlign w:val="center"/>
          </w:tcPr>
          <w:p>
            <w:pPr>
              <w:rPr>
                <w:rFonts w:ascii="宋体" w:hAnsi="宋体" w:cs="宋体"/>
                <w:b/>
                <w:sz w:val="22"/>
                <w:szCs w:val="22"/>
              </w:rPr>
            </w:pPr>
            <w:r>
              <w:rPr>
                <w:rFonts w:hint="eastAsia" w:ascii="宋体" w:hAnsi="宋体" w:cs="宋体"/>
                <w:b/>
                <w:sz w:val="22"/>
                <w:szCs w:val="22"/>
              </w:rPr>
              <w:t>2.报价未超过招标文件中规定的预算金额或者最高限价的</w:t>
            </w:r>
          </w:p>
        </w:tc>
        <w:tc>
          <w:tcPr>
            <w:tcW w:w="1418" w:type="dxa"/>
          </w:tcPr>
          <w:p>
            <w:pPr>
              <w:rPr>
                <w:rFonts w:ascii="宋体" w:hAnsi="宋体" w:cs="宋体"/>
                <w:b/>
                <w:sz w:val="22"/>
                <w:szCs w:val="22"/>
              </w:rPr>
            </w:pPr>
          </w:p>
        </w:tc>
        <w:tc>
          <w:tcPr>
            <w:tcW w:w="1559" w:type="dxa"/>
          </w:tcPr>
          <w:p>
            <w:pPr>
              <w:rPr>
                <w:rFonts w:ascii="宋体" w:hAnsi="宋体" w:cs="宋体"/>
                <w:b/>
                <w:sz w:val="22"/>
                <w:szCs w:val="22"/>
              </w:rPr>
            </w:pPr>
          </w:p>
        </w:tc>
        <w:tc>
          <w:tcPr>
            <w:tcW w:w="1559" w:type="dxa"/>
          </w:tcPr>
          <w:p>
            <w:pPr>
              <w:rPr>
                <w:rFonts w:ascii="宋体" w:hAnsi="宋体" w:cs="宋体"/>
                <w:b/>
                <w:sz w:val="22"/>
                <w:szCs w:val="22"/>
              </w:rPr>
            </w:pPr>
          </w:p>
        </w:tc>
        <w:tc>
          <w:tcPr>
            <w:tcW w:w="1621" w:type="dxa"/>
          </w:tcPr>
          <w:p>
            <w:pPr>
              <w:rPr>
                <w:rFonts w:ascii="宋体" w:hAnsi="宋体" w:cs="宋体"/>
                <w:b/>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Borders>
              <w:right w:val="single" w:color="auto" w:sz="4" w:space="0"/>
            </w:tcBorders>
          </w:tcPr>
          <w:p>
            <w:pPr>
              <w:rPr>
                <w:rFonts w:ascii="宋体" w:hAnsi="宋体" w:cs="宋体"/>
                <w:b/>
                <w:sz w:val="22"/>
                <w:szCs w:val="22"/>
              </w:rPr>
            </w:pPr>
          </w:p>
        </w:tc>
        <w:tc>
          <w:tcPr>
            <w:tcW w:w="2126" w:type="dxa"/>
            <w:tcBorders>
              <w:left w:val="single" w:color="auto" w:sz="4" w:space="0"/>
            </w:tcBorders>
            <w:vAlign w:val="center"/>
          </w:tcPr>
          <w:p>
            <w:pPr>
              <w:rPr>
                <w:rFonts w:ascii="宋体" w:hAnsi="宋体" w:cs="宋体"/>
                <w:b/>
                <w:sz w:val="22"/>
                <w:szCs w:val="22"/>
              </w:rPr>
            </w:pPr>
            <w:r>
              <w:rPr>
                <w:rFonts w:hint="eastAsia" w:ascii="宋体" w:hAnsi="宋体" w:cs="宋体"/>
                <w:b/>
                <w:sz w:val="22"/>
                <w:szCs w:val="22"/>
              </w:rPr>
              <w:t>3.投标文件不含有招标人不能接受的附加条件的</w:t>
            </w:r>
          </w:p>
        </w:tc>
        <w:tc>
          <w:tcPr>
            <w:tcW w:w="1418" w:type="dxa"/>
          </w:tcPr>
          <w:p>
            <w:pPr>
              <w:rPr>
                <w:rFonts w:ascii="宋体" w:hAnsi="宋体" w:cs="宋体"/>
                <w:b/>
                <w:sz w:val="22"/>
                <w:szCs w:val="22"/>
              </w:rPr>
            </w:pPr>
          </w:p>
          <w:p>
            <w:pPr>
              <w:rPr>
                <w:rFonts w:ascii="宋体" w:hAnsi="宋体" w:cs="宋体"/>
                <w:b/>
                <w:sz w:val="22"/>
                <w:szCs w:val="22"/>
              </w:rPr>
            </w:pPr>
          </w:p>
        </w:tc>
        <w:tc>
          <w:tcPr>
            <w:tcW w:w="1559" w:type="dxa"/>
          </w:tcPr>
          <w:p>
            <w:pPr>
              <w:rPr>
                <w:rFonts w:ascii="宋体" w:hAnsi="宋体" w:cs="宋体"/>
                <w:b/>
                <w:sz w:val="22"/>
                <w:szCs w:val="22"/>
              </w:rPr>
            </w:pPr>
          </w:p>
        </w:tc>
        <w:tc>
          <w:tcPr>
            <w:tcW w:w="1559" w:type="dxa"/>
          </w:tcPr>
          <w:p>
            <w:pPr>
              <w:rPr>
                <w:rFonts w:ascii="宋体" w:hAnsi="宋体" w:cs="宋体"/>
                <w:b/>
                <w:sz w:val="22"/>
                <w:szCs w:val="22"/>
              </w:rPr>
            </w:pPr>
          </w:p>
        </w:tc>
        <w:tc>
          <w:tcPr>
            <w:tcW w:w="1621" w:type="dxa"/>
          </w:tcPr>
          <w:p>
            <w:pPr>
              <w:rPr>
                <w:rFonts w:ascii="宋体" w:hAnsi="宋体" w:cs="宋体"/>
                <w:b/>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Borders>
              <w:right w:val="single" w:color="auto" w:sz="4" w:space="0"/>
            </w:tcBorders>
          </w:tcPr>
          <w:p>
            <w:pPr>
              <w:rPr>
                <w:rFonts w:ascii="宋体" w:hAnsi="宋体" w:cs="宋体"/>
                <w:b/>
                <w:sz w:val="22"/>
                <w:szCs w:val="22"/>
              </w:rPr>
            </w:pPr>
          </w:p>
        </w:tc>
        <w:tc>
          <w:tcPr>
            <w:tcW w:w="2126" w:type="dxa"/>
            <w:tcBorders>
              <w:left w:val="single" w:color="auto" w:sz="4" w:space="0"/>
            </w:tcBorders>
            <w:vAlign w:val="center"/>
          </w:tcPr>
          <w:p>
            <w:pPr>
              <w:rPr>
                <w:rFonts w:ascii="宋体" w:hAnsi="宋体" w:cs="宋体"/>
                <w:b/>
                <w:sz w:val="22"/>
                <w:szCs w:val="22"/>
              </w:rPr>
            </w:pPr>
            <w:r>
              <w:rPr>
                <w:rFonts w:hint="eastAsia" w:ascii="宋体" w:hAnsi="宋体" w:cs="宋体"/>
                <w:b/>
                <w:sz w:val="22"/>
                <w:szCs w:val="22"/>
              </w:rPr>
              <w:t>4.投标文件满足招标文件的实质性要求的</w:t>
            </w:r>
          </w:p>
        </w:tc>
        <w:tc>
          <w:tcPr>
            <w:tcW w:w="1418" w:type="dxa"/>
          </w:tcPr>
          <w:p>
            <w:pPr>
              <w:rPr>
                <w:rFonts w:ascii="宋体" w:hAnsi="宋体" w:cs="宋体"/>
                <w:b/>
                <w:sz w:val="22"/>
                <w:szCs w:val="22"/>
              </w:rPr>
            </w:pPr>
          </w:p>
          <w:p>
            <w:pPr>
              <w:rPr>
                <w:rFonts w:ascii="宋体" w:hAnsi="宋体" w:cs="宋体"/>
                <w:b/>
                <w:sz w:val="22"/>
                <w:szCs w:val="22"/>
              </w:rPr>
            </w:pPr>
          </w:p>
        </w:tc>
        <w:tc>
          <w:tcPr>
            <w:tcW w:w="1559" w:type="dxa"/>
          </w:tcPr>
          <w:p>
            <w:pPr>
              <w:rPr>
                <w:rFonts w:ascii="宋体" w:hAnsi="宋体" w:cs="宋体"/>
                <w:b/>
                <w:sz w:val="22"/>
                <w:szCs w:val="22"/>
              </w:rPr>
            </w:pPr>
          </w:p>
        </w:tc>
        <w:tc>
          <w:tcPr>
            <w:tcW w:w="1559" w:type="dxa"/>
          </w:tcPr>
          <w:p>
            <w:pPr>
              <w:rPr>
                <w:rFonts w:ascii="宋体" w:hAnsi="宋体" w:cs="宋体"/>
                <w:b/>
                <w:sz w:val="22"/>
                <w:szCs w:val="22"/>
              </w:rPr>
            </w:pPr>
          </w:p>
        </w:tc>
        <w:tc>
          <w:tcPr>
            <w:tcW w:w="1621" w:type="dxa"/>
          </w:tcPr>
          <w:p>
            <w:pPr>
              <w:rPr>
                <w:rFonts w:ascii="宋体" w:hAnsi="宋体" w:cs="宋体"/>
                <w:b/>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Borders>
              <w:right w:val="single" w:color="auto" w:sz="4" w:space="0"/>
            </w:tcBorders>
          </w:tcPr>
          <w:p>
            <w:pPr>
              <w:rPr>
                <w:rFonts w:ascii="宋体" w:hAnsi="宋体" w:cs="宋体"/>
                <w:b/>
                <w:sz w:val="22"/>
                <w:szCs w:val="22"/>
              </w:rPr>
            </w:pPr>
          </w:p>
        </w:tc>
        <w:tc>
          <w:tcPr>
            <w:tcW w:w="2126" w:type="dxa"/>
            <w:tcBorders>
              <w:left w:val="single" w:color="auto" w:sz="4" w:space="0"/>
            </w:tcBorders>
            <w:vAlign w:val="center"/>
          </w:tcPr>
          <w:p>
            <w:pPr>
              <w:rPr>
                <w:rFonts w:ascii="宋体" w:hAnsi="宋体" w:cs="宋体"/>
                <w:b/>
                <w:sz w:val="22"/>
                <w:szCs w:val="22"/>
              </w:rPr>
            </w:pPr>
            <w:r>
              <w:rPr>
                <w:rFonts w:hint="eastAsia" w:ascii="宋体" w:hAnsi="宋体" w:cs="宋体"/>
                <w:b/>
                <w:sz w:val="22"/>
                <w:szCs w:val="22"/>
              </w:rPr>
              <w:t>5.无法律、法规和招标文件规定的其他无效情形</w:t>
            </w:r>
          </w:p>
        </w:tc>
        <w:tc>
          <w:tcPr>
            <w:tcW w:w="1418" w:type="dxa"/>
          </w:tcPr>
          <w:p>
            <w:pPr>
              <w:rPr>
                <w:rFonts w:ascii="宋体" w:hAnsi="宋体" w:cs="宋体"/>
                <w:b/>
                <w:sz w:val="22"/>
                <w:szCs w:val="22"/>
              </w:rPr>
            </w:pPr>
          </w:p>
          <w:p>
            <w:pPr>
              <w:rPr>
                <w:rFonts w:ascii="宋体" w:hAnsi="宋体" w:cs="宋体"/>
                <w:b/>
                <w:sz w:val="22"/>
                <w:szCs w:val="22"/>
              </w:rPr>
            </w:pPr>
          </w:p>
        </w:tc>
        <w:tc>
          <w:tcPr>
            <w:tcW w:w="1559" w:type="dxa"/>
          </w:tcPr>
          <w:p>
            <w:pPr>
              <w:rPr>
                <w:rFonts w:ascii="宋体" w:hAnsi="宋体" w:cs="宋体"/>
                <w:b/>
                <w:sz w:val="22"/>
                <w:szCs w:val="22"/>
              </w:rPr>
            </w:pPr>
          </w:p>
        </w:tc>
        <w:tc>
          <w:tcPr>
            <w:tcW w:w="1559" w:type="dxa"/>
          </w:tcPr>
          <w:p>
            <w:pPr>
              <w:rPr>
                <w:rFonts w:ascii="宋体" w:hAnsi="宋体" w:cs="宋体"/>
                <w:b/>
                <w:sz w:val="22"/>
                <w:szCs w:val="22"/>
              </w:rPr>
            </w:pPr>
          </w:p>
        </w:tc>
        <w:tc>
          <w:tcPr>
            <w:tcW w:w="1621" w:type="dxa"/>
          </w:tcPr>
          <w:p>
            <w:pPr>
              <w:rPr>
                <w:rFonts w:ascii="宋体" w:hAnsi="宋体" w:cs="宋体"/>
                <w:b/>
                <w:sz w:val="22"/>
                <w:szCs w:val="22"/>
              </w:rPr>
            </w:pPr>
          </w:p>
        </w:tc>
      </w:tr>
    </w:tbl>
    <w:p>
      <w:pPr>
        <w:pStyle w:val="82"/>
        <w:numPr>
          <w:ilvl w:val="0"/>
          <w:numId w:val="48"/>
        </w:numPr>
        <w:spacing w:line="360" w:lineRule="auto"/>
        <w:ind w:firstLineChars="0"/>
        <w:rPr>
          <w:sz w:val="22"/>
          <w:szCs w:val="22"/>
        </w:rPr>
      </w:pPr>
      <w:r>
        <w:rPr>
          <w:sz w:val="22"/>
          <w:szCs w:val="22"/>
        </w:rPr>
        <w:t>以上</w:t>
      </w:r>
      <w:r>
        <w:rPr>
          <w:rFonts w:hint="eastAsia"/>
          <w:sz w:val="22"/>
          <w:szCs w:val="22"/>
        </w:rPr>
        <w:t>资格、</w:t>
      </w:r>
      <w:r>
        <w:rPr>
          <w:sz w:val="22"/>
          <w:szCs w:val="22"/>
        </w:rPr>
        <w:t>符合性</w:t>
      </w:r>
      <w:r>
        <w:rPr>
          <w:rFonts w:hint="eastAsia"/>
          <w:sz w:val="22"/>
          <w:szCs w:val="22"/>
        </w:rPr>
        <w:t>审查</w:t>
      </w:r>
      <w:r>
        <w:rPr>
          <w:sz w:val="22"/>
          <w:szCs w:val="22"/>
        </w:rPr>
        <w:t>中带部分有不合格分项的投标文件，将作废标处理。经评标委员会确认的无效投标文件，招标人和招标代理机构将予以拒绝，并且不允许通过修正或撤消其不符合要求的差异，使之成为具有符合性的投标文件。</w:t>
      </w:r>
    </w:p>
    <w:p>
      <w:pPr>
        <w:pStyle w:val="82"/>
        <w:numPr>
          <w:ilvl w:val="0"/>
          <w:numId w:val="48"/>
        </w:numPr>
        <w:spacing w:line="360" w:lineRule="auto"/>
        <w:ind w:firstLineChars="0"/>
        <w:rPr>
          <w:sz w:val="22"/>
          <w:szCs w:val="22"/>
        </w:rPr>
      </w:pPr>
      <w:r>
        <w:rPr>
          <w:sz w:val="22"/>
          <w:szCs w:val="22"/>
        </w:rPr>
        <w:t>评标委员会就投标人的投标文件进行</w:t>
      </w:r>
      <w:r>
        <w:rPr>
          <w:rFonts w:hint="eastAsia"/>
          <w:sz w:val="22"/>
          <w:szCs w:val="22"/>
        </w:rPr>
        <w:t>资格、</w:t>
      </w:r>
      <w:r>
        <w:rPr>
          <w:sz w:val="22"/>
          <w:szCs w:val="22"/>
        </w:rPr>
        <w:t>符合性</w:t>
      </w:r>
      <w:r>
        <w:rPr>
          <w:rFonts w:hint="eastAsia"/>
          <w:sz w:val="22"/>
          <w:szCs w:val="22"/>
        </w:rPr>
        <w:t>审查</w:t>
      </w:r>
      <w:r>
        <w:rPr>
          <w:sz w:val="22"/>
          <w:szCs w:val="22"/>
        </w:rPr>
        <w:t>，经评标委员会确认具有有效投标文件的投标人不足</w:t>
      </w:r>
      <w:r>
        <w:rPr>
          <w:rFonts w:hint="eastAsia"/>
          <w:sz w:val="22"/>
          <w:szCs w:val="22"/>
        </w:rPr>
        <w:t>三</w:t>
      </w:r>
      <w:r>
        <w:rPr>
          <w:sz w:val="22"/>
          <w:szCs w:val="22"/>
        </w:rPr>
        <w:t>家时将重新组织</w:t>
      </w:r>
      <w:r>
        <w:rPr>
          <w:rFonts w:hint="eastAsia"/>
          <w:sz w:val="22"/>
          <w:szCs w:val="22"/>
        </w:rPr>
        <w:t>招标</w:t>
      </w:r>
      <w:r>
        <w:rPr>
          <w:sz w:val="22"/>
          <w:szCs w:val="22"/>
        </w:rPr>
        <w:t>。</w:t>
      </w:r>
    </w:p>
    <w:p>
      <w:pPr>
        <w:pStyle w:val="82"/>
        <w:numPr>
          <w:ilvl w:val="0"/>
          <w:numId w:val="48"/>
        </w:numPr>
        <w:spacing w:line="360" w:lineRule="auto"/>
        <w:ind w:firstLineChars="0"/>
        <w:rPr>
          <w:sz w:val="22"/>
          <w:szCs w:val="22"/>
        </w:rPr>
      </w:pPr>
      <w:r>
        <w:rPr>
          <w:sz w:val="22"/>
          <w:szCs w:val="22"/>
        </w:rPr>
        <w:t>现场澄清：按招标文件第二</w:t>
      </w:r>
      <w:r>
        <w:rPr>
          <w:rFonts w:hint="eastAsia"/>
          <w:sz w:val="22"/>
          <w:szCs w:val="22"/>
        </w:rPr>
        <w:t>章</w:t>
      </w:r>
      <w:r>
        <w:rPr>
          <w:sz w:val="22"/>
          <w:szCs w:val="22"/>
        </w:rPr>
        <w:t>。</w:t>
      </w:r>
    </w:p>
    <w:p>
      <w:pPr>
        <w:pStyle w:val="82"/>
        <w:numPr>
          <w:ilvl w:val="0"/>
          <w:numId w:val="48"/>
        </w:numPr>
        <w:spacing w:line="360" w:lineRule="auto"/>
        <w:ind w:firstLineChars="0"/>
        <w:rPr>
          <w:sz w:val="22"/>
          <w:szCs w:val="22"/>
        </w:rPr>
      </w:pPr>
      <w:r>
        <w:rPr>
          <w:sz w:val="22"/>
          <w:szCs w:val="22"/>
        </w:rPr>
        <w:t>细微偏差修正</w:t>
      </w:r>
    </w:p>
    <w:p>
      <w:pPr>
        <w:pStyle w:val="28"/>
        <w:widowControl w:val="0"/>
        <w:numPr>
          <w:ilvl w:val="0"/>
          <w:numId w:val="49"/>
        </w:numPr>
        <w:spacing w:before="0" w:beforeAutospacing="0" w:after="0" w:afterAutospacing="0" w:line="360" w:lineRule="auto"/>
        <w:ind w:left="851" w:hanging="567"/>
        <w:rPr>
          <w:sz w:val="22"/>
          <w:szCs w:val="22"/>
        </w:rPr>
      </w:pPr>
      <w:r>
        <w:rPr>
          <w:sz w:val="22"/>
          <w:szCs w:val="22"/>
        </w:rPr>
        <w:t>细微偏差是指经评标委员会确认为具有符合性的投标文件虽然实质上响应招标文件要求，但个别地方存在遗漏或者提供了不完整的技术信息及数据，并且修正这些遗漏或者不完整不会更改投标文件的实质性内容。</w:t>
      </w:r>
    </w:p>
    <w:p>
      <w:pPr>
        <w:pStyle w:val="28"/>
        <w:widowControl w:val="0"/>
        <w:numPr>
          <w:ilvl w:val="0"/>
          <w:numId w:val="49"/>
        </w:numPr>
        <w:spacing w:before="0" w:beforeAutospacing="0" w:after="0" w:afterAutospacing="0" w:line="360" w:lineRule="auto"/>
        <w:ind w:left="851" w:hanging="567"/>
        <w:rPr>
          <w:sz w:val="22"/>
          <w:szCs w:val="22"/>
        </w:rPr>
      </w:pPr>
      <w:r>
        <w:rPr>
          <w:sz w:val="22"/>
          <w:szCs w:val="22"/>
        </w:rPr>
        <w:t>经评标委员会确认为具有符合性的投标文件，若存在个别计算或累计方面的算术错误可视为投标文件存在细微偏差并按照以下原则进行修正：</w:t>
      </w:r>
    </w:p>
    <w:p>
      <w:pPr>
        <w:spacing w:line="360" w:lineRule="auto"/>
        <w:ind w:left="850" w:leftChars="405" w:firstLine="440" w:firstLineChars="200"/>
        <w:rPr>
          <w:rFonts w:ascii="宋体" w:hAnsi="宋体"/>
          <w:sz w:val="22"/>
          <w:szCs w:val="22"/>
        </w:rPr>
      </w:pPr>
      <w:r>
        <w:rPr>
          <w:rFonts w:hint="eastAsia" w:ascii="宋体" w:hAnsi="宋体"/>
          <w:sz w:val="22"/>
          <w:szCs w:val="22"/>
        </w:rPr>
        <w:t>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对不同文字文本投标文件的解释发生异议的，以中文文本为准。</w:t>
      </w:r>
    </w:p>
    <w:p>
      <w:pPr>
        <w:pStyle w:val="28"/>
        <w:widowControl w:val="0"/>
        <w:numPr>
          <w:ilvl w:val="0"/>
          <w:numId w:val="49"/>
        </w:numPr>
        <w:spacing w:before="0" w:beforeAutospacing="0" w:after="0" w:afterAutospacing="0" w:line="360" w:lineRule="auto"/>
        <w:ind w:left="851" w:hanging="567"/>
        <w:rPr>
          <w:sz w:val="22"/>
          <w:szCs w:val="22"/>
        </w:rPr>
      </w:pPr>
      <w:r>
        <w:rPr>
          <w:sz w:val="22"/>
          <w:szCs w:val="22"/>
        </w:rPr>
        <w:t>按照上述修正调整后的内容经投标人确认后，对投标人起约束作用。</w:t>
      </w:r>
    </w:p>
    <w:p>
      <w:pPr>
        <w:pStyle w:val="28"/>
        <w:widowControl w:val="0"/>
        <w:numPr>
          <w:ilvl w:val="0"/>
          <w:numId w:val="49"/>
        </w:numPr>
        <w:spacing w:before="0" w:beforeAutospacing="0" w:after="0" w:afterAutospacing="0" w:line="360" w:lineRule="auto"/>
        <w:ind w:left="851" w:hanging="567"/>
        <w:rPr>
          <w:sz w:val="22"/>
          <w:szCs w:val="22"/>
        </w:rPr>
      </w:pPr>
      <w:r>
        <w:rPr>
          <w:sz w:val="22"/>
          <w:szCs w:val="22"/>
        </w:rPr>
        <w:t>经评标委员会确认存在细微偏差的投标文件，评标委员会可以于评标结果宣布之前要求投标人对投标文件中存在的细微偏差进行修正，若投标人拒绝修正，则其投标文件将被拒绝。</w:t>
      </w:r>
    </w:p>
    <w:p>
      <w:pPr>
        <w:pStyle w:val="82"/>
        <w:numPr>
          <w:ilvl w:val="0"/>
          <w:numId w:val="48"/>
        </w:numPr>
        <w:spacing w:line="360" w:lineRule="auto"/>
        <w:ind w:firstLineChars="0"/>
        <w:rPr>
          <w:rFonts w:ascii="宋体" w:hAnsi="宋体"/>
          <w:sz w:val="22"/>
          <w:szCs w:val="22"/>
        </w:rPr>
      </w:pPr>
      <w:r>
        <w:rPr>
          <w:rFonts w:ascii="宋体" w:hAnsi="宋体"/>
          <w:sz w:val="22"/>
          <w:szCs w:val="22"/>
        </w:rPr>
        <w:t>得分统计及推荐中标候选人名单</w:t>
      </w:r>
    </w:p>
    <w:p>
      <w:pPr>
        <w:pStyle w:val="28"/>
        <w:widowControl w:val="0"/>
        <w:numPr>
          <w:ilvl w:val="0"/>
          <w:numId w:val="50"/>
        </w:numPr>
        <w:spacing w:before="0" w:beforeAutospacing="0" w:after="0" w:afterAutospacing="0" w:line="360" w:lineRule="auto"/>
        <w:ind w:left="780" w:hanging="496"/>
        <w:rPr>
          <w:sz w:val="22"/>
          <w:szCs w:val="22"/>
        </w:rPr>
      </w:pPr>
      <w:r>
        <w:rPr>
          <w:sz w:val="22"/>
          <w:szCs w:val="22"/>
        </w:rPr>
        <w:t>按照评标程序、评分标准以及权重分配的规定，评标委员会各成员分别首先就各个投标人的</w:t>
      </w:r>
      <w:r>
        <w:rPr>
          <w:rFonts w:hint="eastAsia"/>
          <w:sz w:val="22"/>
          <w:szCs w:val="22"/>
        </w:rPr>
        <w:t>商务、技术</w:t>
      </w:r>
      <w:r>
        <w:rPr>
          <w:sz w:val="22"/>
          <w:szCs w:val="22"/>
        </w:rPr>
        <w:t>状况及其对招标文件要求的响应情况进行评议和比较，评出其商务</w:t>
      </w:r>
      <w:r>
        <w:rPr>
          <w:rFonts w:hint="eastAsia"/>
          <w:sz w:val="22"/>
          <w:szCs w:val="22"/>
        </w:rPr>
        <w:t>、</w:t>
      </w:r>
      <w:r>
        <w:rPr>
          <w:sz w:val="22"/>
          <w:szCs w:val="22"/>
        </w:rPr>
        <w:t>技术评分，所有评委各投标人的商务</w:t>
      </w:r>
      <w:r>
        <w:rPr>
          <w:rFonts w:hint="eastAsia"/>
          <w:sz w:val="22"/>
          <w:szCs w:val="22"/>
        </w:rPr>
        <w:t>、</w:t>
      </w:r>
      <w:r>
        <w:rPr>
          <w:sz w:val="22"/>
          <w:szCs w:val="22"/>
        </w:rPr>
        <w:t>技术得分算术平均，得出平均得分，将各投标人的商务</w:t>
      </w:r>
      <w:r>
        <w:rPr>
          <w:rFonts w:hint="eastAsia"/>
          <w:sz w:val="22"/>
          <w:szCs w:val="22"/>
        </w:rPr>
        <w:t>、</w:t>
      </w:r>
      <w:r>
        <w:rPr>
          <w:sz w:val="22"/>
          <w:szCs w:val="22"/>
        </w:rPr>
        <w:t>技术得分</w:t>
      </w:r>
      <w:r>
        <w:rPr>
          <w:rFonts w:hint="eastAsia"/>
          <w:sz w:val="22"/>
          <w:szCs w:val="22"/>
        </w:rPr>
        <w:t>和价格得分</w:t>
      </w:r>
      <w:r>
        <w:rPr>
          <w:sz w:val="22"/>
          <w:szCs w:val="22"/>
        </w:rPr>
        <w:t>相加得出其综合得分，按最终综合得分由高向低排序。</w:t>
      </w:r>
    </w:p>
    <w:p>
      <w:pPr>
        <w:pStyle w:val="28"/>
        <w:widowControl w:val="0"/>
        <w:numPr>
          <w:ilvl w:val="0"/>
          <w:numId w:val="50"/>
        </w:numPr>
        <w:spacing w:before="0" w:beforeAutospacing="0" w:after="0" w:afterAutospacing="0" w:line="360" w:lineRule="auto"/>
        <w:ind w:left="780" w:hanging="496"/>
        <w:rPr>
          <w:sz w:val="22"/>
          <w:szCs w:val="22"/>
        </w:rPr>
      </w:pPr>
      <w:r>
        <w:rPr>
          <w:sz w:val="22"/>
          <w:szCs w:val="22"/>
        </w:rPr>
        <w:t>投标人的最终评标得分＝商务</w:t>
      </w:r>
      <w:r>
        <w:rPr>
          <w:rFonts w:hint="eastAsia"/>
          <w:sz w:val="22"/>
          <w:szCs w:val="22"/>
        </w:rPr>
        <w:t>、</w:t>
      </w:r>
      <w:r>
        <w:rPr>
          <w:sz w:val="22"/>
          <w:szCs w:val="22"/>
        </w:rPr>
        <w:t>技术得分</w:t>
      </w:r>
      <w:r>
        <w:rPr>
          <w:rFonts w:hint="eastAsia"/>
          <w:sz w:val="22"/>
          <w:szCs w:val="22"/>
        </w:rPr>
        <w:t>+价格得分</w:t>
      </w:r>
      <w:r>
        <w:rPr>
          <w:sz w:val="22"/>
          <w:szCs w:val="22"/>
        </w:rPr>
        <w:t>,评分统计的结果数据须经评委验算审核并签名确认。</w:t>
      </w:r>
    </w:p>
    <w:p>
      <w:pPr>
        <w:pStyle w:val="28"/>
        <w:widowControl w:val="0"/>
        <w:numPr>
          <w:ilvl w:val="0"/>
          <w:numId w:val="50"/>
        </w:numPr>
        <w:spacing w:before="0" w:beforeAutospacing="0" w:after="0" w:afterAutospacing="0" w:line="360" w:lineRule="auto"/>
        <w:ind w:left="780" w:hanging="496"/>
        <w:rPr>
          <w:sz w:val="22"/>
          <w:szCs w:val="22"/>
        </w:rPr>
      </w:pPr>
      <w:r>
        <w:rPr>
          <w:rFonts w:hint="eastAsia"/>
          <w:sz w:val="22"/>
          <w:szCs w:val="22"/>
        </w:rPr>
        <w:t>推荐中标候选人</w:t>
      </w:r>
    </w:p>
    <w:p>
      <w:pPr>
        <w:pStyle w:val="28"/>
        <w:widowControl w:val="0"/>
        <w:spacing w:before="0" w:beforeAutospacing="0" w:after="0" w:afterAutospacing="0" w:line="360" w:lineRule="auto"/>
        <w:ind w:left="850" w:leftChars="405"/>
        <w:rPr>
          <w:rFonts w:cs="宋体"/>
          <w:b/>
          <w:sz w:val="22"/>
          <w:szCs w:val="22"/>
        </w:rPr>
      </w:pPr>
      <w:r>
        <w:rPr>
          <w:rFonts w:hint="eastAsia" w:cs="宋体"/>
          <w:sz w:val="22"/>
          <w:szCs w:val="22"/>
          <w:lang w:val="zh-CN"/>
        </w:rPr>
        <w:t>评标委员会按评审后得分由高到低顺序排列，并向招标人推荐最后综合得分最高的前三名投标人为中标候选人（综合得分排名第一、第二、第三的投标人分别为第一、第二、第三中标候选人），招标人将确定第一中标候选人为中标人。如果有两个或以上的投标人的综合得分相同，则在综合得分相同的投标人中按投标报价由低到高顺序排出次序。如果出现投标人的综合得分及投标报价均相同时，则按商务部分得分高低排序，商务部分得分高的排在前，商务部分得分低在排在后，若综合得分、投标报价、商务部分得分均相同，则用抽签的方式确定投标人的排名次序。如果推荐的第一中标候选人放弃中标资格，或因不可抗力无法签订合同，则招标人可按推荐的中标候选人排名顺序依次确定中标人，亦可决定组织重新招标。</w:t>
      </w:r>
    </w:p>
    <w:p>
      <w:pPr>
        <w:pStyle w:val="82"/>
        <w:numPr>
          <w:ilvl w:val="0"/>
          <w:numId w:val="48"/>
        </w:numPr>
        <w:spacing w:line="360" w:lineRule="auto"/>
        <w:ind w:firstLineChars="0"/>
        <w:rPr>
          <w:rFonts w:ascii="宋体" w:hAnsi="宋体"/>
          <w:sz w:val="22"/>
          <w:szCs w:val="22"/>
        </w:rPr>
      </w:pPr>
      <w:r>
        <w:rPr>
          <w:rFonts w:ascii="宋体" w:hAnsi="宋体"/>
          <w:sz w:val="22"/>
          <w:szCs w:val="22"/>
        </w:rPr>
        <w:t>编制评标报告。</w:t>
      </w:r>
    </w:p>
    <w:p>
      <w:pPr>
        <w:spacing w:line="360" w:lineRule="auto"/>
        <w:ind w:left="630" w:leftChars="300" w:firstLine="220" w:firstLineChars="100"/>
        <w:rPr>
          <w:rFonts w:ascii="宋体" w:hAnsi="宋体"/>
          <w:sz w:val="22"/>
          <w:szCs w:val="22"/>
        </w:rPr>
      </w:pPr>
      <w:r>
        <w:rPr>
          <w:rFonts w:ascii="宋体" w:hAnsi="宋体"/>
          <w:sz w:val="22"/>
          <w:szCs w:val="22"/>
        </w:rPr>
        <w:t>评标委员会根据评标结果撰写评标报告。评标报告是评标委员会根据全体评标成员签名的原始评标记录和评标结果编写的报告，其主要内容包括：</w:t>
      </w:r>
    </w:p>
    <w:p>
      <w:pPr>
        <w:spacing w:line="360" w:lineRule="auto"/>
        <w:ind w:firstLine="220" w:firstLineChars="100"/>
        <w:rPr>
          <w:rFonts w:ascii="宋体" w:hAnsi="宋体"/>
          <w:sz w:val="22"/>
          <w:szCs w:val="22"/>
        </w:rPr>
      </w:pPr>
      <w:r>
        <w:rPr>
          <w:rFonts w:ascii="宋体" w:hAnsi="宋体"/>
          <w:sz w:val="22"/>
          <w:szCs w:val="22"/>
        </w:rPr>
        <w:t>　　  1、招标公告刊登的媒体名称、开标日期和地点；</w:t>
      </w:r>
    </w:p>
    <w:p>
      <w:pPr>
        <w:spacing w:line="360" w:lineRule="auto"/>
        <w:ind w:firstLine="220" w:firstLineChars="100"/>
        <w:rPr>
          <w:rFonts w:ascii="宋体" w:hAnsi="宋体"/>
          <w:sz w:val="22"/>
          <w:szCs w:val="22"/>
        </w:rPr>
      </w:pPr>
      <w:r>
        <w:rPr>
          <w:rFonts w:ascii="宋体" w:hAnsi="宋体"/>
          <w:sz w:val="22"/>
          <w:szCs w:val="22"/>
        </w:rPr>
        <w:t>　　  2、购买招标文件的投标人名单和评标委员会成员名单；</w:t>
      </w:r>
    </w:p>
    <w:p>
      <w:pPr>
        <w:spacing w:line="360" w:lineRule="auto"/>
        <w:ind w:firstLine="220" w:firstLineChars="100"/>
        <w:rPr>
          <w:rFonts w:ascii="宋体" w:hAnsi="宋体"/>
          <w:sz w:val="22"/>
          <w:szCs w:val="22"/>
        </w:rPr>
      </w:pPr>
      <w:r>
        <w:rPr>
          <w:rFonts w:ascii="宋体" w:hAnsi="宋体"/>
          <w:sz w:val="22"/>
          <w:szCs w:val="22"/>
        </w:rPr>
        <w:t>　　  3、评标方法和标准；</w:t>
      </w:r>
    </w:p>
    <w:p>
      <w:pPr>
        <w:spacing w:line="360" w:lineRule="auto"/>
        <w:ind w:firstLine="220" w:firstLineChars="100"/>
        <w:rPr>
          <w:rFonts w:ascii="宋体" w:hAnsi="宋体"/>
          <w:sz w:val="22"/>
          <w:szCs w:val="22"/>
        </w:rPr>
      </w:pPr>
      <w:r>
        <w:rPr>
          <w:rFonts w:ascii="宋体" w:hAnsi="宋体"/>
          <w:sz w:val="22"/>
          <w:szCs w:val="22"/>
        </w:rPr>
        <w:t>　　  4、开标记录和评标情况及说明，包括投标无效投标人名单及原因；</w:t>
      </w:r>
    </w:p>
    <w:p>
      <w:pPr>
        <w:spacing w:line="360" w:lineRule="auto"/>
        <w:ind w:firstLine="220" w:firstLineChars="100"/>
        <w:rPr>
          <w:rFonts w:ascii="宋体" w:hAnsi="宋体"/>
          <w:sz w:val="22"/>
          <w:szCs w:val="22"/>
        </w:rPr>
      </w:pPr>
      <w:r>
        <w:rPr>
          <w:rFonts w:ascii="宋体" w:hAnsi="宋体"/>
          <w:sz w:val="22"/>
          <w:szCs w:val="22"/>
        </w:rPr>
        <w:t>　　  5、评标结果和中标候选投标人排序表；</w:t>
      </w:r>
    </w:p>
    <w:p>
      <w:pPr>
        <w:spacing w:line="360" w:lineRule="auto"/>
        <w:ind w:firstLine="849" w:firstLineChars="386"/>
        <w:rPr>
          <w:rFonts w:ascii="宋体" w:hAnsi="宋体"/>
          <w:sz w:val="22"/>
          <w:szCs w:val="22"/>
        </w:rPr>
      </w:pPr>
      <w:r>
        <w:rPr>
          <w:rFonts w:ascii="宋体" w:hAnsi="宋体"/>
          <w:sz w:val="22"/>
          <w:szCs w:val="22"/>
        </w:rPr>
        <w:t>6、评标委员会的授标建议。</w:t>
      </w:r>
    </w:p>
    <w:p>
      <w:pPr>
        <w:pStyle w:val="4"/>
        <w:keepNext/>
        <w:keepLines/>
        <w:pageBreakBefore w:val="0"/>
        <w:widowControl w:val="0"/>
        <w:tabs>
          <w:tab w:val="left" w:pos="0"/>
          <w:tab w:val="clear" w:pos="1440"/>
        </w:tabs>
        <w:kinsoku/>
        <w:wordWrap/>
        <w:overflowPunct/>
        <w:topLinePunct w:val="0"/>
        <w:autoSpaceDE/>
        <w:autoSpaceDN/>
        <w:bidi w:val="0"/>
        <w:adjustRightInd w:val="0"/>
        <w:snapToGrid w:val="0"/>
        <w:spacing w:before="0" w:after="0" w:line="360" w:lineRule="auto"/>
        <w:ind w:left="0" w:firstLine="0"/>
        <w:textAlignment w:val="baseline"/>
        <w:rPr>
          <w:rFonts w:ascii="宋体" w:hAnsi="宋体" w:eastAsia="宋体" w:cs="宋体"/>
          <w:b w:val="0"/>
          <w:sz w:val="22"/>
          <w:szCs w:val="22"/>
        </w:rPr>
      </w:pPr>
      <w:bookmarkStart w:id="423" w:name="_Toc21496"/>
      <w:bookmarkStart w:id="424" w:name="_Toc11039"/>
      <w:bookmarkStart w:id="425" w:name="_Toc3083"/>
      <w:bookmarkStart w:id="426" w:name="_Toc29814"/>
      <w:bookmarkStart w:id="427" w:name="_Toc976"/>
      <w:r>
        <w:rPr>
          <w:rFonts w:hint="eastAsia" w:ascii="宋体" w:hAnsi="宋体" w:eastAsia="宋体" w:cs="宋体"/>
          <w:sz w:val="22"/>
          <w:szCs w:val="22"/>
        </w:rPr>
        <w:t>三、评分标准和细则</w:t>
      </w:r>
      <w:bookmarkEnd w:id="423"/>
      <w:bookmarkEnd w:id="424"/>
      <w:bookmarkEnd w:id="425"/>
      <w:bookmarkEnd w:id="426"/>
      <w:bookmarkEnd w:id="427"/>
    </w:p>
    <w:p>
      <w:pPr>
        <w:pStyle w:val="82"/>
        <w:numPr>
          <w:ilvl w:val="0"/>
          <w:numId w:val="51"/>
        </w:numPr>
        <w:spacing w:line="360" w:lineRule="auto"/>
        <w:ind w:left="0" w:firstLine="0" w:firstLineChars="0"/>
        <w:rPr>
          <w:rFonts w:ascii="宋体" w:hAnsi="宋体"/>
          <w:b/>
          <w:bCs w:val="0"/>
          <w:color w:val="auto"/>
          <w:sz w:val="22"/>
          <w:szCs w:val="22"/>
        </w:rPr>
      </w:pPr>
      <w:r>
        <w:rPr>
          <w:rFonts w:hint="eastAsia" w:ascii="宋体" w:hAnsi="宋体"/>
          <w:b/>
          <w:bCs w:val="0"/>
          <w:color w:val="auto"/>
          <w:sz w:val="22"/>
          <w:szCs w:val="22"/>
        </w:rPr>
        <w:t>评分因素及分值</w:t>
      </w:r>
    </w:p>
    <w:p>
      <w:pPr>
        <w:pStyle w:val="82"/>
        <w:widowControl/>
        <w:numPr>
          <w:ilvl w:val="0"/>
          <w:numId w:val="52"/>
        </w:numPr>
        <w:spacing w:line="360" w:lineRule="auto"/>
        <w:ind w:left="709" w:hanging="709" w:firstLineChars="0"/>
        <w:rPr>
          <w:rFonts w:ascii="宋体" w:hAnsi="宋体" w:cs="宋体"/>
          <w:sz w:val="22"/>
          <w:szCs w:val="22"/>
        </w:rPr>
      </w:pPr>
      <w:r>
        <w:rPr>
          <w:rFonts w:hint="eastAsia" w:ascii="宋体" w:hAnsi="宋体" w:cs="宋体"/>
          <w:b/>
          <w:bCs/>
          <w:color w:val="auto"/>
          <w:sz w:val="22"/>
          <w:szCs w:val="22"/>
        </w:rPr>
        <w:t>评委考核打分的评分因素及分值</w:t>
      </w:r>
      <w:r>
        <w:rPr>
          <w:rFonts w:ascii="宋体" w:hAnsi="宋体" w:cs="宋体"/>
          <w:b/>
          <w:bCs/>
          <w:color w:val="auto"/>
          <w:sz w:val="22"/>
          <w:szCs w:val="22"/>
        </w:rPr>
        <w:t>:</w:t>
      </w:r>
      <w:r>
        <w:rPr>
          <w:rFonts w:hint="eastAsia" w:ascii="宋体" w:hAnsi="宋体" w:cs="宋体"/>
          <w:b/>
          <w:bCs/>
          <w:color w:val="auto"/>
          <w:sz w:val="22"/>
          <w:szCs w:val="22"/>
        </w:rPr>
        <w:t>总分</w:t>
      </w:r>
      <w:r>
        <w:rPr>
          <w:rFonts w:ascii="宋体" w:hAnsi="宋体" w:cs="宋体"/>
          <w:b/>
          <w:bCs/>
          <w:color w:val="auto"/>
          <w:sz w:val="22"/>
          <w:szCs w:val="22"/>
        </w:rPr>
        <w:t>100</w:t>
      </w:r>
      <w:r>
        <w:rPr>
          <w:rFonts w:hint="eastAsia" w:ascii="宋体" w:hAnsi="宋体" w:cs="宋体"/>
          <w:b/>
          <w:bCs/>
          <w:color w:val="auto"/>
          <w:sz w:val="22"/>
          <w:szCs w:val="22"/>
        </w:rPr>
        <w:t>分</w:t>
      </w:r>
    </w:p>
    <w:tbl>
      <w:tblPr>
        <w:tblStyle w:val="34"/>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3848"/>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jc w:val="center"/>
        </w:trPr>
        <w:tc>
          <w:tcPr>
            <w:tcW w:w="774" w:type="dxa"/>
            <w:tcBorders>
              <w:top w:val="single" w:color="auto" w:sz="12" w:space="0"/>
              <w:left w:val="single" w:color="auto" w:sz="12" w:space="0"/>
              <w:right w:val="single" w:color="auto" w:sz="6" w:space="0"/>
            </w:tcBorders>
            <w:vAlign w:val="center"/>
          </w:tcPr>
          <w:p>
            <w:pPr>
              <w:spacing w:line="360" w:lineRule="auto"/>
              <w:jc w:val="center"/>
              <w:rPr>
                <w:rFonts w:ascii="宋体" w:hAnsi="宋体" w:cs="宋体"/>
                <w:sz w:val="22"/>
                <w:szCs w:val="22"/>
              </w:rPr>
            </w:pPr>
            <w:r>
              <w:rPr>
                <w:rFonts w:hint="eastAsia" w:ascii="宋体" w:hAnsi="宋体"/>
                <w:b/>
                <w:sz w:val="22"/>
                <w:szCs w:val="22"/>
              </w:rPr>
              <w:t>序号</w:t>
            </w:r>
          </w:p>
        </w:tc>
        <w:tc>
          <w:tcPr>
            <w:tcW w:w="3848" w:type="dxa"/>
            <w:tcBorders>
              <w:top w:val="single" w:color="auto" w:sz="12" w:space="0"/>
              <w:left w:val="single" w:color="auto" w:sz="6" w:space="0"/>
            </w:tcBorders>
            <w:vAlign w:val="center"/>
          </w:tcPr>
          <w:p>
            <w:pPr>
              <w:spacing w:line="360" w:lineRule="auto"/>
              <w:jc w:val="center"/>
              <w:rPr>
                <w:rFonts w:ascii="宋体" w:hAnsi="宋体" w:cs="宋体"/>
                <w:sz w:val="22"/>
                <w:szCs w:val="22"/>
              </w:rPr>
            </w:pPr>
            <w:r>
              <w:rPr>
                <w:rFonts w:hint="eastAsia" w:ascii="宋体" w:hAnsi="宋体"/>
                <w:b/>
                <w:sz w:val="22"/>
                <w:szCs w:val="22"/>
              </w:rPr>
              <w:t>评分因素</w:t>
            </w:r>
          </w:p>
        </w:tc>
        <w:tc>
          <w:tcPr>
            <w:tcW w:w="4620" w:type="dxa"/>
            <w:tcBorders>
              <w:top w:val="single" w:color="auto" w:sz="12" w:space="0"/>
              <w:right w:val="single" w:color="auto" w:sz="12" w:space="0"/>
            </w:tcBorders>
            <w:vAlign w:val="top"/>
          </w:tcPr>
          <w:p>
            <w:pPr>
              <w:spacing w:line="360" w:lineRule="auto"/>
              <w:jc w:val="center"/>
              <w:rPr>
                <w:rFonts w:ascii="宋体" w:hAnsi="宋体" w:cs="宋体"/>
                <w:sz w:val="22"/>
                <w:szCs w:val="22"/>
              </w:rPr>
            </w:pPr>
            <w:r>
              <w:rPr>
                <w:rFonts w:hint="eastAsia" w:ascii="宋体" w:hAnsi="宋体"/>
                <w:b/>
                <w:sz w:val="22"/>
                <w:szCs w:val="2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774" w:type="dxa"/>
            <w:tcBorders>
              <w:left w:val="single" w:color="auto" w:sz="12" w:space="0"/>
              <w:right w:val="single" w:color="auto" w:sz="6" w:space="0"/>
            </w:tcBorders>
            <w:vAlign w:val="center"/>
          </w:tcPr>
          <w:p>
            <w:pPr>
              <w:spacing w:line="360" w:lineRule="auto"/>
              <w:jc w:val="center"/>
              <w:rPr>
                <w:rFonts w:hAnsi="宋体"/>
                <w:sz w:val="22"/>
                <w:szCs w:val="22"/>
              </w:rPr>
            </w:pPr>
            <w:r>
              <w:rPr>
                <w:rFonts w:hint="eastAsia" w:ascii="宋体" w:hAnsi="宋体"/>
                <w:sz w:val="22"/>
                <w:szCs w:val="22"/>
              </w:rPr>
              <w:t>1</w:t>
            </w:r>
          </w:p>
        </w:tc>
        <w:tc>
          <w:tcPr>
            <w:tcW w:w="3848" w:type="dxa"/>
            <w:tcBorders>
              <w:left w:val="single" w:color="auto" w:sz="6" w:space="0"/>
            </w:tcBorders>
            <w:vAlign w:val="center"/>
          </w:tcPr>
          <w:p>
            <w:pPr>
              <w:spacing w:line="360" w:lineRule="auto"/>
              <w:jc w:val="center"/>
              <w:rPr>
                <w:rFonts w:hAnsi="宋体"/>
                <w:sz w:val="22"/>
                <w:szCs w:val="22"/>
              </w:rPr>
            </w:pPr>
            <w:r>
              <w:rPr>
                <w:rFonts w:hint="eastAsia" w:ascii="宋体" w:hAnsi="宋体"/>
                <w:sz w:val="22"/>
                <w:szCs w:val="22"/>
              </w:rPr>
              <w:t>商务</w:t>
            </w:r>
          </w:p>
        </w:tc>
        <w:tc>
          <w:tcPr>
            <w:tcW w:w="4620" w:type="dxa"/>
            <w:tcBorders>
              <w:right w:val="single" w:color="auto" w:sz="12" w:space="0"/>
            </w:tcBorders>
            <w:vAlign w:val="center"/>
          </w:tcPr>
          <w:p>
            <w:pPr>
              <w:spacing w:line="360" w:lineRule="auto"/>
              <w:jc w:val="center"/>
              <w:rPr>
                <w:rFonts w:hAnsi="宋体"/>
                <w:sz w:val="22"/>
                <w:szCs w:val="22"/>
              </w:rPr>
            </w:pPr>
            <w:r>
              <w:rPr>
                <w:rFonts w:hint="eastAsia" w:hAnsi="宋体"/>
                <w:i/>
                <w:color w:val="auto"/>
                <w:sz w:val="22"/>
                <w:szCs w:val="22"/>
                <w:u w:val="single"/>
              </w:rPr>
              <w:t>35</w:t>
            </w:r>
            <w:r>
              <w:rPr>
                <w:rFonts w:hint="eastAsia" w:hAnsi="宋体"/>
                <w:color w:val="auto"/>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774" w:type="dxa"/>
            <w:tcBorders>
              <w:left w:val="single" w:color="auto" w:sz="12" w:space="0"/>
              <w:right w:val="single" w:color="auto" w:sz="6" w:space="0"/>
            </w:tcBorders>
            <w:vAlign w:val="center"/>
          </w:tcPr>
          <w:p>
            <w:pPr>
              <w:spacing w:line="360" w:lineRule="auto"/>
              <w:jc w:val="center"/>
              <w:rPr>
                <w:rFonts w:hAnsi="宋体"/>
                <w:sz w:val="22"/>
                <w:szCs w:val="22"/>
              </w:rPr>
            </w:pPr>
            <w:r>
              <w:rPr>
                <w:rFonts w:hint="eastAsia" w:ascii="宋体" w:hAnsi="宋体"/>
                <w:sz w:val="22"/>
                <w:szCs w:val="22"/>
              </w:rPr>
              <w:t>2</w:t>
            </w:r>
          </w:p>
        </w:tc>
        <w:tc>
          <w:tcPr>
            <w:tcW w:w="3848" w:type="dxa"/>
            <w:tcBorders>
              <w:left w:val="single" w:color="auto" w:sz="6" w:space="0"/>
            </w:tcBorders>
            <w:vAlign w:val="center"/>
          </w:tcPr>
          <w:p>
            <w:pPr>
              <w:spacing w:line="360" w:lineRule="auto"/>
              <w:jc w:val="center"/>
              <w:rPr>
                <w:rFonts w:hAnsi="宋体"/>
                <w:sz w:val="22"/>
                <w:szCs w:val="22"/>
              </w:rPr>
            </w:pPr>
            <w:r>
              <w:rPr>
                <w:rFonts w:hint="eastAsia" w:ascii="宋体" w:hAnsi="宋体"/>
                <w:sz w:val="22"/>
                <w:szCs w:val="22"/>
              </w:rPr>
              <w:t>技术</w:t>
            </w:r>
          </w:p>
        </w:tc>
        <w:tc>
          <w:tcPr>
            <w:tcW w:w="4620" w:type="dxa"/>
            <w:tcBorders>
              <w:right w:val="single" w:color="auto" w:sz="12" w:space="0"/>
            </w:tcBorders>
            <w:vAlign w:val="center"/>
          </w:tcPr>
          <w:p>
            <w:pPr>
              <w:spacing w:line="360" w:lineRule="auto"/>
              <w:jc w:val="center"/>
              <w:rPr>
                <w:rFonts w:hAnsi="宋体"/>
                <w:sz w:val="22"/>
                <w:szCs w:val="22"/>
              </w:rPr>
            </w:pPr>
            <w:r>
              <w:rPr>
                <w:rFonts w:hint="eastAsia" w:hAnsi="宋体"/>
                <w:i/>
                <w:color w:val="auto"/>
                <w:sz w:val="22"/>
                <w:szCs w:val="22"/>
                <w:u w:val="single"/>
              </w:rPr>
              <w:t>55</w:t>
            </w:r>
            <w:r>
              <w:rPr>
                <w:rFonts w:hint="eastAsia" w:hAnsi="宋体"/>
                <w:color w:val="auto"/>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74" w:type="dxa"/>
            <w:tcBorders>
              <w:left w:val="single" w:color="auto" w:sz="12" w:space="0"/>
              <w:right w:val="single" w:color="auto" w:sz="6" w:space="0"/>
            </w:tcBorders>
            <w:vAlign w:val="center"/>
          </w:tcPr>
          <w:p>
            <w:pPr>
              <w:spacing w:line="360" w:lineRule="auto"/>
              <w:jc w:val="center"/>
              <w:rPr>
                <w:rFonts w:hAnsi="宋体"/>
                <w:sz w:val="22"/>
                <w:szCs w:val="22"/>
              </w:rPr>
            </w:pPr>
            <w:r>
              <w:rPr>
                <w:rFonts w:hint="eastAsia" w:ascii="宋体" w:hAnsi="宋体"/>
                <w:sz w:val="22"/>
                <w:szCs w:val="22"/>
              </w:rPr>
              <w:t>3</w:t>
            </w:r>
          </w:p>
        </w:tc>
        <w:tc>
          <w:tcPr>
            <w:tcW w:w="3848" w:type="dxa"/>
            <w:tcBorders>
              <w:left w:val="single" w:color="auto" w:sz="6" w:space="0"/>
            </w:tcBorders>
            <w:vAlign w:val="center"/>
          </w:tcPr>
          <w:p>
            <w:pPr>
              <w:spacing w:line="360" w:lineRule="auto"/>
              <w:jc w:val="center"/>
              <w:rPr>
                <w:rFonts w:hAnsi="宋体"/>
                <w:sz w:val="22"/>
                <w:szCs w:val="22"/>
              </w:rPr>
            </w:pPr>
            <w:r>
              <w:rPr>
                <w:rFonts w:hint="eastAsia" w:ascii="宋体" w:hAnsi="宋体"/>
                <w:sz w:val="22"/>
                <w:szCs w:val="22"/>
              </w:rPr>
              <w:t>价格</w:t>
            </w:r>
          </w:p>
        </w:tc>
        <w:tc>
          <w:tcPr>
            <w:tcW w:w="4620" w:type="dxa"/>
            <w:tcBorders>
              <w:right w:val="single" w:color="auto" w:sz="12" w:space="0"/>
            </w:tcBorders>
            <w:vAlign w:val="center"/>
          </w:tcPr>
          <w:p>
            <w:pPr>
              <w:spacing w:line="360" w:lineRule="auto"/>
              <w:jc w:val="center"/>
              <w:rPr>
                <w:rFonts w:hAnsi="宋体"/>
                <w:sz w:val="22"/>
                <w:szCs w:val="22"/>
              </w:rPr>
            </w:pPr>
            <w:r>
              <w:rPr>
                <w:rFonts w:hint="eastAsia" w:hAnsi="宋体"/>
                <w:i/>
                <w:color w:val="auto"/>
                <w:sz w:val="22"/>
                <w:szCs w:val="22"/>
                <w:u w:val="single"/>
              </w:rPr>
              <w:t>10</w:t>
            </w:r>
            <w:r>
              <w:rPr>
                <w:rFonts w:hint="eastAsia" w:hAnsi="宋体"/>
                <w:color w:val="auto"/>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4622" w:type="dxa"/>
            <w:gridSpan w:val="2"/>
            <w:tcBorders>
              <w:left w:val="single" w:color="auto" w:sz="12" w:space="0"/>
              <w:bottom w:val="single" w:color="auto" w:sz="12" w:space="0"/>
            </w:tcBorders>
            <w:vAlign w:val="center"/>
          </w:tcPr>
          <w:p>
            <w:pPr>
              <w:spacing w:line="360" w:lineRule="auto"/>
              <w:jc w:val="center"/>
              <w:rPr>
                <w:rFonts w:hAnsi="宋体"/>
                <w:sz w:val="22"/>
                <w:szCs w:val="22"/>
              </w:rPr>
            </w:pPr>
            <w:r>
              <w:rPr>
                <w:rFonts w:hint="eastAsia" w:ascii="宋体" w:hAnsi="宋体"/>
                <w:sz w:val="22"/>
                <w:szCs w:val="22"/>
              </w:rPr>
              <w:t>总  分</w:t>
            </w:r>
          </w:p>
        </w:tc>
        <w:tc>
          <w:tcPr>
            <w:tcW w:w="4620" w:type="dxa"/>
            <w:tcBorders>
              <w:bottom w:val="single" w:color="auto" w:sz="12" w:space="0"/>
              <w:right w:val="single" w:color="auto" w:sz="12" w:space="0"/>
            </w:tcBorders>
            <w:vAlign w:val="top"/>
          </w:tcPr>
          <w:p>
            <w:pPr>
              <w:spacing w:line="360" w:lineRule="auto"/>
              <w:jc w:val="center"/>
              <w:rPr>
                <w:rFonts w:hAnsi="宋体"/>
                <w:sz w:val="22"/>
                <w:szCs w:val="22"/>
              </w:rPr>
            </w:pPr>
            <w:r>
              <w:rPr>
                <w:rFonts w:hint="eastAsia" w:ascii="宋体" w:hAnsi="宋体"/>
                <w:sz w:val="22"/>
                <w:szCs w:val="22"/>
              </w:rPr>
              <w:t>100分</w:t>
            </w:r>
          </w:p>
        </w:tc>
      </w:tr>
    </w:tbl>
    <w:p>
      <w:pPr>
        <w:pStyle w:val="82"/>
        <w:keepLines w:val="0"/>
        <w:pageBreakBefore w:val="0"/>
        <w:widowControl w:val="0"/>
        <w:numPr>
          <w:ilvl w:val="0"/>
          <w:numId w:val="51"/>
        </w:numPr>
        <w:kinsoku/>
        <w:wordWrap/>
        <w:overflowPunct/>
        <w:topLinePunct w:val="0"/>
        <w:autoSpaceDE/>
        <w:autoSpaceDN/>
        <w:bidi w:val="0"/>
        <w:adjustRightInd w:val="0"/>
        <w:snapToGrid w:val="0"/>
        <w:spacing w:line="360" w:lineRule="auto"/>
        <w:ind w:left="0" w:firstLine="0" w:firstLineChars="0"/>
        <w:textAlignment w:val="auto"/>
        <w:rPr>
          <w:rFonts w:hint="eastAsia" w:ascii="宋体" w:hAnsi="宋体" w:eastAsia="宋体" w:cs="宋体"/>
          <w:b/>
          <w:bCs w:val="0"/>
          <w:color w:val="auto"/>
          <w:sz w:val="22"/>
          <w:szCs w:val="22"/>
        </w:rPr>
      </w:pPr>
      <w:r>
        <w:rPr>
          <w:rFonts w:hint="eastAsia" w:ascii="宋体" w:hAnsi="宋体" w:eastAsia="宋体" w:cs="宋体"/>
          <w:b/>
          <w:bCs w:val="0"/>
          <w:color w:val="auto"/>
          <w:sz w:val="22"/>
          <w:szCs w:val="22"/>
        </w:rPr>
        <w:t>评分因素分值</w:t>
      </w:r>
    </w:p>
    <w:p>
      <w:pPr>
        <w:pStyle w:val="53"/>
        <w:keepLines w:val="0"/>
        <w:pageBreakBefore w:val="0"/>
        <w:widowControl w:val="0"/>
        <w:numPr>
          <w:ilvl w:val="0"/>
          <w:numId w:val="53"/>
        </w:numPr>
        <w:tabs>
          <w:tab w:val="left" w:pos="0"/>
          <w:tab w:val="left" w:pos="643"/>
          <w:tab w:val="left" w:pos="907"/>
          <w:tab w:val="left" w:pos="2552"/>
        </w:tabs>
        <w:kinsoku/>
        <w:wordWrap/>
        <w:overflowPunct/>
        <w:topLinePunct w:val="0"/>
        <w:autoSpaceDE/>
        <w:autoSpaceDN/>
        <w:bidi w:val="0"/>
        <w:adjustRightInd w:val="0"/>
        <w:snapToGrid w:val="0"/>
        <w:spacing w:after="0" w:line="360" w:lineRule="auto"/>
        <w:ind w:left="2552" w:hanging="2552"/>
        <w:textAlignment w:val="auto"/>
        <w:rPr>
          <w:rFonts w:hint="eastAsia" w:ascii="宋体" w:hAnsi="宋体" w:eastAsia="宋体" w:cs="宋体"/>
          <w:b/>
          <w:bCs w:val="0"/>
          <w:sz w:val="22"/>
          <w:szCs w:val="22"/>
        </w:rPr>
      </w:pPr>
      <w:r>
        <w:rPr>
          <w:rFonts w:hint="eastAsia" w:ascii="宋体" w:hAnsi="宋体" w:eastAsia="宋体" w:cs="宋体"/>
          <w:b/>
          <w:bCs w:val="0"/>
          <w:color w:val="auto"/>
          <w:sz w:val="22"/>
          <w:szCs w:val="22"/>
        </w:rPr>
        <w:t>商务评分标准：（总分：</w:t>
      </w:r>
      <w:r>
        <w:rPr>
          <w:rFonts w:hint="eastAsia" w:ascii="宋体" w:hAnsi="宋体" w:eastAsia="宋体" w:cs="宋体"/>
          <w:b/>
          <w:bCs w:val="0"/>
          <w:color w:val="auto"/>
          <w:sz w:val="22"/>
          <w:szCs w:val="22"/>
          <w:lang w:val="en-US" w:eastAsia="zh-CN"/>
        </w:rPr>
        <w:t>35</w:t>
      </w:r>
      <w:r>
        <w:rPr>
          <w:rFonts w:hint="eastAsia" w:ascii="宋体" w:hAnsi="宋体" w:eastAsia="宋体" w:cs="宋体"/>
          <w:b/>
          <w:bCs w:val="0"/>
          <w:color w:val="auto"/>
          <w:sz w:val="22"/>
          <w:szCs w:val="22"/>
        </w:rPr>
        <w:t>分）</w:t>
      </w:r>
    </w:p>
    <w:tbl>
      <w:tblPr>
        <w:tblStyle w:val="34"/>
        <w:tblW w:w="9207"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708"/>
        <w:gridCol w:w="1366"/>
        <w:gridCol w:w="6293"/>
        <w:gridCol w:w="84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05"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宋体" w:hAnsi="宋体" w:cs="宋体"/>
                <w:b/>
                <w:sz w:val="22"/>
                <w:szCs w:val="22"/>
              </w:rPr>
            </w:pPr>
            <w:r>
              <w:rPr>
                <w:rFonts w:hint="eastAsia" w:ascii="宋体" w:hAnsi="宋体" w:cs="宋体"/>
                <w:b/>
                <w:color w:val="auto"/>
                <w:sz w:val="22"/>
                <w:szCs w:val="22"/>
                <w:lang w:bidi="ar"/>
              </w:rPr>
              <w:t>序号</w:t>
            </w: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ascii="宋体" w:hAnsi="宋体" w:cs="宋体"/>
                <w:b/>
                <w:sz w:val="22"/>
                <w:szCs w:val="22"/>
              </w:rPr>
            </w:pPr>
            <w:r>
              <w:rPr>
                <w:rFonts w:hint="eastAsia" w:ascii="宋体" w:hAnsi="宋体" w:cs="宋体"/>
                <w:b/>
                <w:color w:val="auto"/>
                <w:sz w:val="22"/>
                <w:szCs w:val="22"/>
                <w:lang w:bidi="ar"/>
              </w:rPr>
              <w:t>评审内容</w:t>
            </w:r>
          </w:p>
        </w:tc>
        <w:tc>
          <w:tcPr>
            <w:tcW w:w="6293" w:type="dxa"/>
            <w:tcBorders>
              <w:top w:val="single" w:color="auto" w:sz="4" w:space="0"/>
              <w:left w:val="single" w:color="auto" w:sz="4" w:space="0"/>
              <w:bottom w:val="nil"/>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ascii="宋体" w:hAnsi="宋体" w:cs="宋体"/>
                <w:b/>
                <w:sz w:val="22"/>
                <w:szCs w:val="22"/>
              </w:rPr>
            </w:pPr>
            <w:r>
              <w:rPr>
                <w:rFonts w:hint="eastAsia" w:ascii="宋体" w:hAnsi="宋体" w:cs="宋体"/>
                <w:b/>
                <w:color w:val="auto"/>
                <w:sz w:val="22"/>
                <w:szCs w:val="22"/>
                <w:lang w:bidi="ar"/>
              </w:rPr>
              <w:t>评分细则</w:t>
            </w:r>
          </w:p>
        </w:tc>
        <w:tc>
          <w:tcPr>
            <w:tcW w:w="840" w:type="dxa"/>
            <w:tcBorders>
              <w:top w:val="single" w:color="auto" w:sz="4" w:space="0"/>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宋体" w:hAnsi="宋体" w:cs="宋体"/>
                <w:b/>
                <w:sz w:val="22"/>
                <w:szCs w:val="22"/>
              </w:rPr>
            </w:pPr>
            <w:r>
              <w:rPr>
                <w:rFonts w:hint="eastAsia" w:ascii="宋体" w:hAnsi="宋体" w:cs="宋体"/>
                <w:b/>
                <w:color w:val="auto"/>
                <w:sz w:val="22"/>
                <w:szCs w:val="22"/>
                <w:lang w:bidi="ar"/>
              </w:rPr>
              <w:t>分值</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30"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ascii="宋体" w:hAnsi="宋体" w:cs="宋体"/>
                <w:sz w:val="22"/>
                <w:szCs w:val="22"/>
              </w:rPr>
            </w:pPr>
            <w:r>
              <w:rPr>
                <w:rFonts w:hint="eastAsia" w:ascii="宋体" w:hAnsi="宋体" w:cs="宋体"/>
                <w:color w:val="auto"/>
                <w:sz w:val="22"/>
                <w:szCs w:val="22"/>
                <w:lang w:bidi="ar"/>
              </w:rPr>
              <w:t>1</w:t>
            </w: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ascii="宋体" w:hAnsi="宋体" w:cs="宋体"/>
                <w:sz w:val="22"/>
                <w:szCs w:val="22"/>
              </w:rPr>
            </w:pPr>
            <w:r>
              <w:rPr>
                <w:rFonts w:hint="eastAsia" w:ascii="宋体" w:hAnsi="宋体" w:cs="宋体"/>
                <w:color w:val="auto"/>
                <w:sz w:val="22"/>
                <w:szCs w:val="22"/>
                <w:lang w:bidi="ar"/>
              </w:rPr>
              <w:t>财务状况</w:t>
            </w:r>
          </w:p>
        </w:tc>
        <w:tc>
          <w:tcPr>
            <w:tcW w:w="62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宋体" w:hAnsi="宋体" w:cs="宋体"/>
                <w:bCs/>
                <w:color w:val="auto"/>
                <w:sz w:val="22"/>
                <w:szCs w:val="22"/>
                <w:lang w:eastAsia="zh-CN"/>
              </w:rPr>
            </w:pPr>
            <w:r>
              <w:rPr>
                <w:rFonts w:hint="eastAsia" w:ascii="宋体" w:hAnsi="宋体" w:eastAsia="宋体" w:cs="宋体"/>
                <w:color w:val="auto"/>
                <w:kern w:val="2"/>
                <w:sz w:val="22"/>
                <w:szCs w:val="22"/>
                <w:highlight w:val="none"/>
                <w:lang w:val="en-US" w:eastAsia="zh-CN" w:bidi="ar"/>
              </w:rPr>
              <w:t>根据投标人</w:t>
            </w:r>
            <w:r>
              <w:rPr>
                <w:rFonts w:hint="eastAsia" w:ascii="宋体" w:hAnsi="宋体" w:cs="宋体"/>
                <w:color w:val="auto"/>
                <w:kern w:val="2"/>
                <w:sz w:val="22"/>
                <w:szCs w:val="22"/>
                <w:highlight w:val="none"/>
                <w:lang w:val="en-US" w:eastAsia="zh-CN" w:bidi="ar"/>
              </w:rPr>
              <w:t>2017年、</w:t>
            </w:r>
            <w:r>
              <w:rPr>
                <w:rFonts w:hint="eastAsia" w:ascii="宋体" w:hAnsi="宋体" w:eastAsia="宋体" w:cs="宋体"/>
                <w:color w:val="auto"/>
                <w:kern w:val="2"/>
                <w:sz w:val="22"/>
                <w:szCs w:val="22"/>
                <w:highlight w:val="none"/>
                <w:lang w:val="en-US" w:eastAsia="zh-CN" w:bidi="ar"/>
              </w:rPr>
              <w:t>2018年、2019年、2020年</w:t>
            </w:r>
            <w:r>
              <w:rPr>
                <w:rFonts w:hint="eastAsia" w:ascii="宋体" w:hAnsi="宋体" w:cs="宋体"/>
                <w:color w:val="auto"/>
                <w:kern w:val="2"/>
                <w:sz w:val="22"/>
                <w:szCs w:val="22"/>
                <w:highlight w:val="none"/>
                <w:lang w:val="en-US" w:eastAsia="zh-CN" w:bidi="ar"/>
              </w:rPr>
              <w:t>、2021年</w:t>
            </w:r>
            <w:r>
              <w:rPr>
                <w:rFonts w:hint="eastAsia" w:ascii="宋体" w:hAnsi="宋体" w:eastAsia="宋体" w:cs="宋体"/>
                <w:color w:val="auto"/>
                <w:kern w:val="2"/>
                <w:sz w:val="22"/>
                <w:szCs w:val="22"/>
                <w:highlight w:val="none"/>
                <w:lang w:val="en-US" w:eastAsia="zh-CN" w:bidi="ar"/>
              </w:rPr>
              <w:t>的财务状况进行评审</w:t>
            </w:r>
            <w:r>
              <w:rPr>
                <w:rFonts w:hint="eastAsia" w:ascii="宋体" w:hAnsi="宋体" w:cs="宋体"/>
                <w:bCs/>
                <w:color w:val="auto"/>
                <w:sz w:val="22"/>
                <w:szCs w:val="22"/>
              </w:rPr>
              <w:t>，连续5年</w:t>
            </w:r>
            <w:r>
              <w:rPr>
                <w:rFonts w:hint="eastAsia" w:ascii="宋体" w:hAnsi="宋体" w:cs="宋体"/>
                <w:bCs/>
                <w:color w:val="auto"/>
                <w:sz w:val="22"/>
                <w:szCs w:val="22"/>
                <w:lang w:val="en-US" w:eastAsia="zh-CN"/>
              </w:rPr>
              <w:t>或</w:t>
            </w:r>
            <w:r>
              <w:rPr>
                <w:rFonts w:hint="eastAsia" w:ascii="宋体" w:hAnsi="宋体" w:cs="宋体"/>
                <w:bCs/>
                <w:color w:val="auto"/>
                <w:sz w:val="22"/>
                <w:szCs w:val="22"/>
              </w:rPr>
              <w:t>以上盈利的得5分</w:t>
            </w:r>
            <w:r>
              <w:rPr>
                <w:rFonts w:hint="eastAsia" w:ascii="宋体" w:hAnsi="宋体" w:cs="宋体"/>
                <w:bCs/>
                <w:color w:val="auto"/>
                <w:sz w:val="22"/>
                <w:szCs w:val="22"/>
                <w:lang w:eastAsia="zh-CN"/>
              </w:rPr>
              <w:t>，</w:t>
            </w:r>
            <w:r>
              <w:rPr>
                <w:rFonts w:hint="eastAsia" w:ascii="宋体" w:hAnsi="宋体" w:cs="宋体"/>
                <w:bCs/>
                <w:color w:val="auto"/>
                <w:sz w:val="22"/>
                <w:szCs w:val="22"/>
              </w:rPr>
              <w:t>连续3年盈利的得1分；其他情况得0分</w:t>
            </w:r>
            <w:r>
              <w:rPr>
                <w:rFonts w:hint="eastAsia" w:ascii="宋体" w:hAnsi="宋体" w:cs="宋体"/>
                <w:bCs/>
                <w:color w:val="auto"/>
                <w:sz w:val="22"/>
                <w:szCs w:val="22"/>
                <w:lang w:eastAsia="zh-CN"/>
              </w:rPr>
              <w:t>。</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ascii="宋体" w:hAnsi="宋体" w:cs="宋体"/>
                <w:b/>
                <w:sz w:val="22"/>
                <w:szCs w:val="22"/>
              </w:rPr>
            </w:pPr>
            <w:r>
              <w:rPr>
                <w:rFonts w:hint="eastAsia" w:ascii="宋体" w:hAnsi="宋体" w:cs="宋体"/>
                <w:b/>
                <w:bCs/>
                <w:color w:val="auto"/>
                <w:sz w:val="22"/>
                <w:szCs w:val="22"/>
              </w:rPr>
              <w:t>注：以经会计师事务所审计的财务报告复印件为准，并加盖投标人公章。</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ascii="宋体" w:hAnsi="宋体" w:cs="宋体"/>
                <w:sz w:val="22"/>
                <w:szCs w:val="22"/>
                <w:lang w:val="zh-CN"/>
              </w:rPr>
            </w:pPr>
            <w:r>
              <w:rPr>
                <w:rFonts w:hint="eastAsia" w:ascii="宋体" w:hAnsi="宋体" w:cs="宋体"/>
                <w:color w:val="auto"/>
                <w:sz w:val="22"/>
                <w:szCs w:val="22"/>
                <w:lang w:bidi="ar"/>
              </w:rPr>
              <w:t>5</w:t>
            </w:r>
            <w:r>
              <w:rPr>
                <w:rFonts w:hint="eastAsia" w:ascii="宋体" w:hAnsi="宋体" w:cs="宋体"/>
                <w:color w:val="auto"/>
                <w:sz w:val="22"/>
                <w:szCs w:val="22"/>
                <w:lang w:val="zh-CN" w:bidi="ar"/>
              </w:rPr>
              <w:t>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170"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ascii="宋体" w:hAnsi="宋体" w:cs="宋体"/>
                <w:sz w:val="22"/>
                <w:szCs w:val="22"/>
              </w:rPr>
            </w:pPr>
            <w:r>
              <w:rPr>
                <w:rFonts w:hint="eastAsia" w:ascii="宋体" w:hAnsi="宋体" w:cs="宋体"/>
                <w:color w:val="auto"/>
                <w:sz w:val="22"/>
                <w:szCs w:val="22"/>
                <w:lang w:bidi="ar"/>
              </w:rPr>
              <w:t>2</w:t>
            </w:r>
          </w:p>
        </w:tc>
        <w:tc>
          <w:tcPr>
            <w:tcW w:w="1366"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kinsoku/>
              <w:wordWrap/>
              <w:overflowPunct/>
              <w:topLinePunct w:val="0"/>
              <w:autoSpaceDE/>
              <w:autoSpaceDN/>
              <w:bidi w:val="0"/>
              <w:adjustRightInd w:val="0"/>
              <w:snapToGrid w:val="0"/>
              <w:spacing w:line="360" w:lineRule="auto"/>
              <w:jc w:val="center"/>
              <w:textAlignment w:val="auto"/>
              <w:rPr>
                <w:rFonts w:cs="宋体"/>
                <w:kern w:val="2"/>
                <w:sz w:val="22"/>
                <w:szCs w:val="22"/>
              </w:rPr>
            </w:pPr>
            <w:r>
              <w:rPr>
                <w:rFonts w:hint="eastAsia" w:cs="宋体"/>
                <w:color w:val="auto"/>
                <w:kern w:val="2"/>
                <w:sz w:val="22"/>
                <w:szCs w:val="22"/>
              </w:rPr>
              <w:t>成功案例</w:t>
            </w:r>
          </w:p>
        </w:tc>
        <w:tc>
          <w:tcPr>
            <w:tcW w:w="6293"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提供2019年1月1日</w:t>
            </w:r>
            <w:r>
              <w:rPr>
                <w:rFonts w:hint="eastAsia" w:ascii="宋体" w:hAnsi="宋体" w:eastAsia="宋体" w:cs="宋体"/>
                <w:color w:val="auto"/>
                <w:sz w:val="22"/>
                <w:szCs w:val="22"/>
                <w:highlight w:val="none"/>
              </w:rPr>
              <w:t>以来签订的</w:t>
            </w:r>
            <w:r>
              <w:rPr>
                <w:rFonts w:hint="eastAsia" w:ascii="宋体" w:hAnsi="宋体" w:eastAsia="宋体" w:cs="宋体"/>
                <w:color w:val="auto"/>
                <w:sz w:val="22"/>
                <w:szCs w:val="22"/>
              </w:rPr>
              <w:t>，为央企或国企客户供应链管理或电子化招标采购或采购管理系统开发建设案例</w:t>
            </w:r>
            <w:r>
              <w:rPr>
                <w:rFonts w:hint="eastAsia" w:ascii="宋体" w:hAnsi="宋体" w:eastAsia="宋体" w:cs="宋体"/>
                <w:color w:val="auto"/>
                <w:sz w:val="22"/>
                <w:szCs w:val="22"/>
                <w:lang w:val="en-US" w:eastAsia="zh-CN"/>
              </w:rPr>
              <w:t>的合同</w:t>
            </w:r>
            <w:r>
              <w:rPr>
                <w:rFonts w:hint="eastAsia" w:ascii="宋体" w:hAnsi="宋体" w:eastAsia="宋体" w:cs="宋体"/>
                <w:color w:val="auto"/>
                <w:sz w:val="22"/>
                <w:szCs w:val="22"/>
              </w:rPr>
              <w:t>：</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1）合同金额500万</w:t>
            </w:r>
            <w:r>
              <w:rPr>
                <w:rFonts w:hint="eastAsia" w:ascii="宋体" w:hAnsi="宋体" w:eastAsia="宋体" w:cs="宋体"/>
                <w:color w:val="auto"/>
                <w:sz w:val="22"/>
                <w:szCs w:val="22"/>
                <w:lang w:eastAsia="zh-CN"/>
              </w:rPr>
              <w:t>（</w:t>
            </w:r>
            <w:r>
              <w:rPr>
                <w:rFonts w:hint="eastAsia" w:ascii="宋体" w:hAnsi="宋体" w:eastAsia="宋体" w:cs="宋体"/>
                <w:color w:val="auto"/>
                <w:sz w:val="22"/>
                <w:szCs w:val="22"/>
                <w:lang w:val="en-US" w:eastAsia="zh-CN"/>
              </w:rPr>
              <w:t>含</w:t>
            </w:r>
            <w:r>
              <w:rPr>
                <w:rFonts w:hint="eastAsia" w:ascii="宋体" w:hAnsi="宋体" w:eastAsia="宋体" w:cs="宋体"/>
                <w:color w:val="auto"/>
                <w:sz w:val="22"/>
                <w:szCs w:val="22"/>
                <w:lang w:eastAsia="zh-CN"/>
              </w:rPr>
              <w:t>）</w:t>
            </w:r>
            <w:r>
              <w:rPr>
                <w:rFonts w:hint="eastAsia" w:ascii="宋体" w:hAnsi="宋体" w:eastAsia="宋体" w:cs="宋体"/>
                <w:color w:val="auto"/>
                <w:sz w:val="22"/>
                <w:szCs w:val="22"/>
              </w:rPr>
              <w:t>以上的，每</w:t>
            </w:r>
            <w:r>
              <w:rPr>
                <w:rFonts w:hint="eastAsia" w:ascii="宋体" w:hAnsi="宋体" w:eastAsia="宋体" w:cs="宋体"/>
                <w:color w:val="auto"/>
                <w:sz w:val="22"/>
                <w:szCs w:val="22"/>
                <w:lang w:val="en-US" w:eastAsia="zh-CN"/>
              </w:rPr>
              <w:t>份合同</w:t>
            </w:r>
            <w:r>
              <w:rPr>
                <w:rFonts w:hint="eastAsia" w:ascii="宋体" w:hAnsi="宋体" w:eastAsia="宋体" w:cs="宋体"/>
                <w:color w:val="auto"/>
                <w:sz w:val="22"/>
                <w:szCs w:val="22"/>
              </w:rPr>
              <w:t>得3分；</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2）合同金额200万（含）-500万（不含）的，每</w:t>
            </w:r>
            <w:r>
              <w:rPr>
                <w:rFonts w:hint="eastAsia" w:ascii="宋体" w:hAnsi="宋体" w:eastAsia="宋体" w:cs="宋体"/>
                <w:color w:val="auto"/>
                <w:sz w:val="22"/>
                <w:szCs w:val="22"/>
                <w:lang w:val="en-US" w:eastAsia="zh-CN"/>
              </w:rPr>
              <w:t>份合同</w:t>
            </w:r>
            <w:r>
              <w:rPr>
                <w:rFonts w:hint="eastAsia" w:ascii="宋体" w:hAnsi="宋体" w:eastAsia="宋体" w:cs="宋体"/>
                <w:color w:val="auto"/>
                <w:sz w:val="22"/>
                <w:szCs w:val="22"/>
              </w:rPr>
              <w:t>得2分，</w:t>
            </w:r>
            <w:r>
              <w:rPr>
                <w:rFonts w:hint="eastAsia" w:ascii="宋体" w:hAnsi="宋体" w:eastAsia="宋体" w:cs="宋体"/>
                <w:color w:val="auto"/>
                <w:sz w:val="22"/>
                <w:szCs w:val="22"/>
                <w:lang w:val="en-US" w:eastAsia="zh-CN"/>
              </w:rPr>
              <w:t>本子项</w:t>
            </w:r>
            <w:r>
              <w:rPr>
                <w:rFonts w:hint="eastAsia" w:ascii="宋体" w:hAnsi="宋体" w:eastAsia="宋体" w:cs="宋体"/>
                <w:color w:val="auto"/>
                <w:sz w:val="22"/>
                <w:szCs w:val="22"/>
              </w:rPr>
              <w:t>最高得10分；</w:t>
            </w:r>
          </w:p>
          <w:p>
            <w:pPr>
              <w:pStyle w:val="91"/>
              <w:keepNext w:val="0"/>
              <w:keepLines w:val="0"/>
              <w:pageBreakBefore w:val="0"/>
              <w:kinsoku/>
              <w:wordWrap/>
              <w:overflowPunct/>
              <w:topLinePunct w:val="0"/>
              <w:autoSpaceDE/>
              <w:autoSpaceDN/>
              <w:bidi w:val="0"/>
              <w:adjustRightInd w:val="0"/>
              <w:snapToGrid w:val="0"/>
              <w:spacing w:before="0" w:beforeAutospacing="0" w:after="0" w:line="360" w:lineRule="auto"/>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3）其他不得分。</w:t>
            </w:r>
          </w:p>
          <w:p>
            <w:pPr>
              <w:pStyle w:val="47"/>
              <w:keepNext w:val="0"/>
              <w:keepLines w:val="0"/>
              <w:pageBreakBefore w:val="0"/>
              <w:kinsoku/>
              <w:wordWrap/>
              <w:overflowPunct/>
              <w:topLinePunct w:val="0"/>
              <w:autoSpaceDE/>
              <w:autoSpaceDN/>
              <w:bidi w:val="0"/>
              <w:adjustRightInd w:val="0"/>
              <w:spacing w:line="360" w:lineRule="auto"/>
              <w:ind w:firstLine="0" w:firstLineChars="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上述项目累计不超过</w:t>
            </w:r>
            <w:r>
              <w:rPr>
                <w:rFonts w:hint="eastAsia" w:ascii="宋体" w:hAnsi="宋体" w:eastAsia="宋体" w:cs="宋体"/>
                <w:color w:val="auto"/>
                <w:sz w:val="22"/>
                <w:szCs w:val="22"/>
                <w:lang w:val="en-US" w:eastAsia="zh-CN"/>
              </w:rPr>
              <w:t>17</w:t>
            </w:r>
            <w:r>
              <w:rPr>
                <w:rFonts w:hint="eastAsia" w:ascii="宋体" w:hAnsi="宋体" w:eastAsia="宋体" w:cs="宋体"/>
                <w:color w:val="auto"/>
                <w:sz w:val="22"/>
                <w:szCs w:val="22"/>
              </w:rPr>
              <w:t>分，不重复计分。</w:t>
            </w:r>
          </w:p>
          <w:p>
            <w:pPr>
              <w:pStyle w:val="47"/>
              <w:keepNext w:val="0"/>
              <w:keepLines w:val="0"/>
              <w:pageBreakBefore w:val="0"/>
              <w:kinsoku/>
              <w:wordWrap/>
              <w:overflowPunct/>
              <w:topLinePunct w:val="0"/>
              <w:autoSpaceDE/>
              <w:autoSpaceDN/>
              <w:bidi w:val="0"/>
              <w:adjustRightInd w:val="0"/>
              <w:spacing w:line="360" w:lineRule="auto"/>
              <w:ind w:firstLine="0" w:firstLineChars="0"/>
              <w:textAlignment w:val="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rPr>
              <w:t>注：</w:t>
            </w:r>
            <w:r>
              <w:rPr>
                <w:rFonts w:hint="eastAsia" w:ascii="宋体" w:hAnsi="宋体" w:eastAsia="宋体" w:cs="宋体"/>
                <w:b/>
                <w:bCs/>
                <w:color w:val="auto"/>
                <w:sz w:val="22"/>
                <w:szCs w:val="22"/>
                <w:highlight w:val="none"/>
              </w:rPr>
              <w:t>①须提供合同复印件加盖投标人公章（须能体现得分的关键信息），并提供该合同相关的发票复印件（能证明交易真实存在即可），并加盖投标人公章，不提供不得分。</w:t>
            </w:r>
          </w:p>
          <w:p>
            <w:pPr>
              <w:pStyle w:val="47"/>
              <w:keepNext w:val="0"/>
              <w:keepLines w:val="0"/>
              <w:pageBreakBefore w:val="0"/>
              <w:kinsoku/>
              <w:wordWrap/>
              <w:overflowPunct/>
              <w:topLinePunct w:val="0"/>
              <w:autoSpaceDE/>
              <w:autoSpaceDN/>
              <w:bidi w:val="0"/>
              <w:adjustRightInd w:val="0"/>
              <w:spacing w:line="360" w:lineRule="auto"/>
              <w:ind w:firstLine="0" w:firstLineChars="0"/>
              <w:textAlignment w:val="auto"/>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rPr>
              <w:t>②提供合同</w:t>
            </w:r>
            <w:r>
              <w:rPr>
                <w:rFonts w:hint="eastAsia" w:ascii="宋体" w:eastAsia="宋体" w:cs="宋体"/>
                <w:b/>
                <w:bCs/>
                <w:color w:val="auto"/>
                <w:sz w:val="22"/>
                <w:szCs w:val="22"/>
                <w:highlight w:val="none"/>
                <w:lang w:val="en-US" w:eastAsia="zh-CN"/>
              </w:rPr>
              <w:t>相</w:t>
            </w:r>
            <w:r>
              <w:rPr>
                <w:rFonts w:hint="eastAsia" w:ascii="宋体" w:hAnsi="宋体" w:eastAsia="宋体" w:cs="宋体"/>
                <w:b/>
                <w:bCs/>
                <w:color w:val="auto"/>
                <w:sz w:val="22"/>
                <w:szCs w:val="22"/>
                <w:highlight w:val="none"/>
              </w:rPr>
              <w:t>对方的</w:t>
            </w:r>
            <w:r>
              <w:rPr>
                <w:rFonts w:hint="eastAsia" w:ascii="宋体" w:eastAsia="宋体" w:cs="宋体"/>
                <w:b/>
                <w:bCs/>
                <w:color w:val="auto"/>
                <w:sz w:val="22"/>
                <w:szCs w:val="22"/>
                <w:highlight w:val="none"/>
                <w:lang w:val="en-US" w:eastAsia="zh-CN"/>
              </w:rPr>
              <w:t>联系方式</w:t>
            </w:r>
            <w:r>
              <w:rPr>
                <w:rFonts w:hint="eastAsia" w:ascii="宋体" w:hAnsi="宋体" w:eastAsia="宋体" w:cs="宋体"/>
                <w:b/>
                <w:bCs/>
                <w:color w:val="auto"/>
                <w:sz w:val="22"/>
                <w:szCs w:val="22"/>
                <w:highlight w:val="none"/>
              </w:rPr>
              <w:t>，包括对方公司固话和对方联系人手机号码</w:t>
            </w:r>
            <w:r>
              <w:rPr>
                <w:rFonts w:hint="eastAsia" w:ascii="宋体" w:eastAsia="宋体" w:cs="宋体"/>
                <w:b/>
                <w:bCs/>
                <w:color w:val="auto"/>
                <w:sz w:val="22"/>
                <w:szCs w:val="22"/>
                <w:highlight w:val="none"/>
                <w:lang w:eastAsia="zh-CN"/>
              </w:rPr>
              <w:t>，</w:t>
            </w:r>
            <w:r>
              <w:rPr>
                <w:rFonts w:hint="eastAsia" w:ascii="宋体" w:hAnsi="宋体" w:eastAsia="宋体" w:cs="宋体"/>
                <w:b/>
                <w:bCs/>
                <w:color w:val="auto"/>
                <w:sz w:val="22"/>
                <w:szCs w:val="22"/>
                <w:highlight w:val="none"/>
              </w:rPr>
              <w:t>否则评审时不予认可</w:t>
            </w:r>
            <w:r>
              <w:rPr>
                <w:rFonts w:hint="eastAsia" w:ascii="宋体" w:hAnsi="宋体" w:eastAsia="宋体" w:cs="宋体"/>
                <w:b/>
                <w:bCs/>
                <w:color w:val="auto"/>
                <w:sz w:val="22"/>
                <w:szCs w:val="22"/>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rPr>
              <w:t>③</w:t>
            </w:r>
            <w:r>
              <w:rPr>
                <w:rFonts w:hint="eastAsia" w:ascii="宋体" w:hAnsi="宋体" w:cs="宋体"/>
                <w:b/>
                <w:bCs/>
                <w:color w:val="auto"/>
                <w:sz w:val="22"/>
                <w:szCs w:val="22"/>
                <w:highlight w:val="none"/>
                <w:lang w:val="en-US" w:eastAsia="zh-CN"/>
              </w:rPr>
              <w:t>提供合同相对方为</w:t>
            </w:r>
            <w:r>
              <w:rPr>
                <w:rFonts w:hint="eastAsia" w:ascii="宋体" w:eastAsia="宋体" w:cs="宋体"/>
                <w:b/>
                <w:bCs/>
                <w:color w:val="auto"/>
                <w:sz w:val="22"/>
                <w:szCs w:val="22"/>
                <w:highlight w:val="none"/>
                <w:lang w:val="en-US" w:eastAsia="zh-CN"/>
              </w:rPr>
              <w:t>央企或国企的证明材料</w:t>
            </w:r>
            <w:r>
              <w:rPr>
                <w:rFonts w:hint="eastAsia" w:ascii="宋体" w:hAnsi="宋体" w:eastAsia="宋体" w:cs="宋体"/>
                <w:b/>
                <w:bCs/>
                <w:color w:val="auto"/>
                <w:sz w:val="22"/>
                <w:szCs w:val="22"/>
                <w:highlight w:val="none"/>
              </w:rPr>
              <w:t>，如</w:t>
            </w:r>
            <w:r>
              <w:rPr>
                <w:rFonts w:hint="eastAsia" w:ascii="宋体" w:hAnsi="宋体" w:cs="宋体"/>
                <w:b/>
                <w:bCs/>
                <w:color w:val="auto"/>
                <w:sz w:val="22"/>
                <w:szCs w:val="22"/>
                <w:highlight w:val="none"/>
                <w:lang w:val="en-US" w:eastAsia="zh-CN"/>
              </w:rPr>
              <w:t>无</w:t>
            </w:r>
            <w:r>
              <w:rPr>
                <w:rFonts w:hint="eastAsia" w:ascii="宋体" w:hAnsi="宋体" w:eastAsia="宋体" w:cs="宋体"/>
                <w:b/>
                <w:bCs/>
                <w:color w:val="auto"/>
                <w:sz w:val="22"/>
                <w:szCs w:val="22"/>
                <w:highlight w:val="none"/>
              </w:rPr>
              <w:t>提供证明材料或者证明材料不能说明</w:t>
            </w:r>
            <w:r>
              <w:rPr>
                <w:rFonts w:hint="eastAsia" w:ascii="宋体" w:hAnsi="宋体" w:cs="宋体"/>
                <w:b/>
                <w:bCs/>
                <w:color w:val="auto"/>
                <w:sz w:val="22"/>
                <w:szCs w:val="22"/>
                <w:highlight w:val="none"/>
                <w:lang w:val="en-US" w:eastAsia="zh-CN"/>
              </w:rPr>
              <w:t>对方</w:t>
            </w:r>
            <w:r>
              <w:rPr>
                <w:rFonts w:hint="eastAsia" w:ascii="宋体" w:hAnsi="宋体" w:eastAsia="宋体" w:cs="宋体"/>
                <w:b/>
                <w:bCs/>
                <w:color w:val="auto"/>
                <w:sz w:val="22"/>
                <w:szCs w:val="22"/>
                <w:highlight w:val="none"/>
              </w:rPr>
              <w:t>是</w:t>
            </w:r>
            <w:r>
              <w:rPr>
                <w:rFonts w:hint="eastAsia" w:ascii="宋体" w:eastAsia="宋体" w:cs="宋体"/>
                <w:b/>
                <w:bCs/>
                <w:color w:val="auto"/>
                <w:sz w:val="22"/>
                <w:szCs w:val="22"/>
                <w:highlight w:val="none"/>
                <w:lang w:val="en-US" w:eastAsia="zh-CN"/>
              </w:rPr>
              <w:t>央企或国企</w:t>
            </w:r>
            <w:r>
              <w:rPr>
                <w:rFonts w:hint="eastAsia" w:ascii="宋体" w:hAnsi="宋体" w:eastAsia="宋体" w:cs="宋体"/>
                <w:b/>
                <w:bCs/>
                <w:color w:val="auto"/>
                <w:sz w:val="22"/>
                <w:szCs w:val="22"/>
                <w:highlight w:val="none"/>
              </w:rPr>
              <w:t>的</w:t>
            </w:r>
            <w:r>
              <w:rPr>
                <w:rFonts w:hint="eastAsia" w:ascii="宋体" w:hAnsi="宋体" w:cs="宋体"/>
                <w:b/>
                <w:bCs/>
                <w:color w:val="auto"/>
                <w:sz w:val="22"/>
                <w:szCs w:val="22"/>
                <w:highlight w:val="none"/>
                <w:lang w:val="en-US" w:eastAsia="zh-CN"/>
              </w:rPr>
              <w:t>就</w:t>
            </w:r>
            <w:r>
              <w:rPr>
                <w:rFonts w:hint="eastAsia" w:ascii="宋体" w:hAnsi="宋体" w:eastAsia="宋体" w:cs="宋体"/>
                <w:b/>
                <w:bCs/>
                <w:color w:val="auto"/>
                <w:sz w:val="22"/>
                <w:szCs w:val="22"/>
                <w:highlight w:val="none"/>
              </w:rPr>
              <w:t>不得分</w:t>
            </w:r>
            <w:r>
              <w:rPr>
                <w:rFonts w:hint="eastAsia" w:ascii="宋体" w:hAnsi="宋体" w:cs="宋体"/>
                <w:b/>
                <w:bCs/>
                <w:color w:val="auto"/>
                <w:sz w:val="22"/>
                <w:szCs w:val="22"/>
                <w:highlight w:val="none"/>
                <w:lang w:eastAsia="zh-CN"/>
              </w:rPr>
              <w:t>。</w:t>
            </w:r>
          </w:p>
          <w:p>
            <w:pPr>
              <w:keepNext w:val="0"/>
              <w:keepLines w:val="0"/>
              <w:pageBreakBefore w:val="0"/>
              <w:kinsoku/>
              <w:wordWrap/>
              <w:overflowPunct/>
              <w:topLinePunct w:val="0"/>
              <w:autoSpaceDE/>
              <w:autoSpaceDN/>
              <w:bidi w:val="0"/>
              <w:adjustRightInd w:val="0"/>
              <w:spacing w:line="360" w:lineRule="auto"/>
              <w:textAlignment w:val="auto"/>
              <w:rPr>
                <w:rFonts w:ascii="宋体" w:hAnsi="宋体" w:cs="宋体"/>
                <w:kern w:val="0"/>
                <w:sz w:val="22"/>
                <w:szCs w:val="22"/>
              </w:rPr>
            </w:pPr>
            <w:r>
              <w:rPr>
                <w:rFonts w:hint="eastAsia" w:ascii="宋体" w:hAnsi="宋体" w:eastAsia="宋体" w:cs="宋体"/>
                <w:b/>
                <w:color w:val="auto"/>
                <w:sz w:val="22"/>
                <w:szCs w:val="22"/>
              </w:rPr>
              <w:t>④同一个客户的合同业绩不重复计算。</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585"/>
                <w:tab w:val="left" w:pos="680"/>
              </w:tabs>
              <w:kinsoku/>
              <w:wordWrap/>
              <w:overflowPunct/>
              <w:topLinePunct w:val="0"/>
              <w:autoSpaceDE/>
              <w:autoSpaceDN/>
              <w:bidi w:val="0"/>
              <w:adjustRightInd w:val="0"/>
              <w:spacing w:line="360" w:lineRule="auto"/>
              <w:jc w:val="center"/>
              <w:textAlignment w:val="auto"/>
              <w:rPr>
                <w:rFonts w:ascii="宋体" w:hAnsi="宋体" w:cs="宋体"/>
                <w:kern w:val="0"/>
                <w:sz w:val="22"/>
                <w:szCs w:val="22"/>
              </w:rPr>
            </w:pPr>
            <w:r>
              <w:rPr>
                <w:rFonts w:hint="eastAsia" w:ascii="宋体" w:hAnsi="宋体" w:cs="宋体"/>
                <w:color w:val="auto"/>
                <w:kern w:val="0"/>
                <w:sz w:val="22"/>
                <w:szCs w:val="22"/>
                <w:lang w:bidi="ar"/>
              </w:rPr>
              <w:t>17分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90"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ascii="宋体" w:hAnsi="宋体" w:cs="宋体"/>
                <w:sz w:val="22"/>
                <w:szCs w:val="22"/>
              </w:rPr>
            </w:pPr>
            <w:r>
              <w:rPr>
                <w:rFonts w:hint="eastAsia" w:ascii="宋体" w:hAnsi="宋体" w:cs="宋体"/>
                <w:color w:val="auto"/>
                <w:sz w:val="22"/>
                <w:szCs w:val="22"/>
                <w:lang w:bidi="ar"/>
              </w:rPr>
              <w:t>3</w:t>
            </w: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ascii="宋体" w:hAnsi="宋体" w:cs="宋体"/>
                <w:sz w:val="22"/>
                <w:szCs w:val="22"/>
              </w:rPr>
            </w:pPr>
            <w:r>
              <w:rPr>
                <w:rFonts w:hint="eastAsia" w:ascii="宋体" w:hAnsi="宋体" w:cs="宋体"/>
                <w:color w:val="auto"/>
                <w:sz w:val="22"/>
                <w:szCs w:val="22"/>
              </w:rPr>
              <w:t>软件自主研发能力</w:t>
            </w:r>
          </w:p>
        </w:tc>
        <w:tc>
          <w:tcPr>
            <w:tcW w:w="62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pacing w:line="360" w:lineRule="auto"/>
              <w:textAlignment w:val="auto"/>
              <w:rPr>
                <w:rFonts w:ascii="宋体" w:hAnsi="宋体" w:cs="宋体"/>
                <w:color w:val="auto"/>
                <w:sz w:val="22"/>
                <w:szCs w:val="22"/>
              </w:rPr>
            </w:pPr>
            <w:r>
              <w:rPr>
                <w:rFonts w:hint="eastAsia" w:ascii="宋体" w:hAnsi="宋体" w:cs="宋体"/>
                <w:color w:val="auto"/>
                <w:sz w:val="22"/>
                <w:szCs w:val="22"/>
              </w:rPr>
              <w:t>投标人</w:t>
            </w:r>
            <w:r>
              <w:rPr>
                <w:rFonts w:hint="eastAsia" w:ascii="宋体" w:hAnsi="宋体" w:cs="宋体"/>
                <w:color w:val="auto"/>
                <w:sz w:val="22"/>
                <w:szCs w:val="22"/>
                <w:lang w:bidi="ar"/>
              </w:rPr>
              <w:t>拥有自主的招标采购管理系统</w:t>
            </w:r>
            <w:r>
              <w:rPr>
                <w:rFonts w:hint="eastAsia" w:ascii="宋体" w:hAnsi="宋体" w:cs="宋体"/>
                <w:color w:val="auto"/>
                <w:sz w:val="22"/>
                <w:szCs w:val="22"/>
                <w:lang w:val="en-US" w:eastAsia="zh-CN" w:bidi="ar"/>
              </w:rPr>
              <w:t>类</w:t>
            </w:r>
            <w:r>
              <w:rPr>
                <w:rFonts w:hint="eastAsia" w:ascii="宋体" w:hAnsi="宋体" w:cs="宋体"/>
                <w:color w:val="auto"/>
                <w:sz w:val="22"/>
                <w:szCs w:val="22"/>
                <w:lang w:bidi="ar"/>
              </w:rPr>
              <w:t>的著作权相关证书，每个得1分，</w:t>
            </w:r>
            <w:r>
              <w:rPr>
                <w:rFonts w:hint="eastAsia" w:ascii="宋体" w:hAnsi="宋体" w:cs="宋体"/>
                <w:color w:val="auto"/>
                <w:sz w:val="22"/>
                <w:szCs w:val="22"/>
              </w:rPr>
              <w:t>最高得5分</w:t>
            </w:r>
            <w:r>
              <w:rPr>
                <w:rFonts w:hint="eastAsia" w:ascii="宋体" w:hAnsi="宋体" w:cs="宋体"/>
                <w:color w:val="auto"/>
                <w:sz w:val="22"/>
                <w:szCs w:val="22"/>
                <w:lang w:bidi="ar"/>
              </w:rPr>
              <w:t>；无得0分。</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ascii="宋体" w:hAnsi="宋体" w:cs="宋体"/>
                <w:sz w:val="22"/>
                <w:szCs w:val="22"/>
              </w:rPr>
            </w:pPr>
            <w:r>
              <w:rPr>
                <w:rFonts w:hint="eastAsia" w:ascii="宋体" w:hAnsi="宋体" w:cs="宋体"/>
                <w:b/>
                <w:color w:val="auto"/>
                <w:sz w:val="22"/>
                <w:szCs w:val="22"/>
              </w:rPr>
              <w:t>注：原件备查，应提供相应</w:t>
            </w:r>
            <w:r>
              <w:rPr>
                <w:rFonts w:hint="eastAsia" w:ascii="宋体" w:hAnsi="宋体" w:cs="宋体"/>
                <w:b/>
                <w:color w:val="auto"/>
                <w:sz w:val="22"/>
                <w:szCs w:val="22"/>
                <w:lang w:val="en-US" w:eastAsia="zh-CN"/>
              </w:rPr>
              <w:t>认证</w:t>
            </w:r>
            <w:r>
              <w:rPr>
                <w:rFonts w:hint="eastAsia" w:ascii="宋体" w:hAnsi="宋体" w:cs="宋体"/>
                <w:b/>
                <w:color w:val="auto"/>
                <w:sz w:val="22"/>
                <w:szCs w:val="22"/>
              </w:rPr>
              <w:t>证书复印件并加盖投标人公章，证书上的著作权人和投标人名称一致</w:t>
            </w:r>
            <w:r>
              <w:rPr>
                <w:rFonts w:hint="eastAsia" w:ascii="宋体" w:hAnsi="宋体" w:cs="宋体"/>
                <w:b/>
                <w:color w:val="auto"/>
                <w:sz w:val="22"/>
                <w:szCs w:val="22"/>
                <w:lang w:eastAsia="zh-CN"/>
              </w:rPr>
              <w:t>，</w:t>
            </w:r>
            <w:r>
              <w:rPr>
                <w:rFonts w:hint="eastAsia" w:ascii="宋体" w:hAnsi="宋体" w:cs="宋体"/>
                <w:b/>
                <w:color w:val="auto"/>
                <w:sz w:val="22"/>
                <w:szCs w:val="22"/>
              </w:rPr>
              <w:t>否则评审时不予认可。</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ascii="宋体" w:hAnsi="宋体" w:cs="宋体"/>
                <w:sz w:val="22"/>
                <w:szCs w:val="22"/>
              </w:rPr>
            </w:pPr>
            <w:r>
              <w:rPr>
                <w:rFonts w:hint="eastAsia" w:ascii="宋体" w:hAnsi="宋体" w:cs="宋体"/>
                <w:color w:val="auto"/>
                <w:sz w:val="22"/>
                <w:szCs w:val="22"/>
                <w:lang w:bidi="ar"/>
              </w:rPr>
              <w:t>5分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1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ascii="宋体" w:hAnsi="宋体" w:cs="宋体"/>
                <w:sz w:val="22"/>
                <w:szCs w:val="22"/>
              </w:rPr>
            </w:pPr>
            <w:r>
              <w:rPr>
                <w:rFonts w:hint="eastAsia" w:ascii="宋体" w:hAnsi="宋体" w:cs="宋体"/>
                <w:color w:val="auto"/>
                <w:sz w:val="22"/>
                <w:szCs w:val="22"/>
                <w:lang w:bidi="ar"/>
              </w:rPr>
              <w:t>4</w:t>
            </w: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ascii="宋体" w:hAnsi="宋体" w:cs="宋体"/>
                <w:sz w:val="22"/>
                <w:szCs w:val="22"/>
              </w:rPr>
            </w:pPr>
            <w:r>
              <w:rPr>
                <w:rFonts w:hint="eastAsia" w:ascii="宋体" w:hAnsi="宋体" w:cs="宋体"/>
                <w:color w:val="auto"/>
                <w:sz w:val="22"/>
                <w:szCs w:val="22"/>
              </w:rPr>
              <w:t>相关资质与履约能力</w:t>
            </w:r>
          </w:p>
        </w:tc>
        <w:tc>
          <w:tcPr>
            <w:tcW w:w="62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pacing w:line="360" w:lineRule="auto"/>
              <w:textAlignment w:val="auto"/>
              <w:rPr>
                <w:rFonts w:ascii="宋体" w:hAnsi="宋体" w:cs="宋体"/>
                <w:color w:val="auto"/>
                <w:sz w:val="22"/>
                <w:szCs w:val="22"/>
                <w:lang w:bidi="ar"/>
              </w:rPr>
            </w:pPr>
            <w:r>
              <w:rPr>
                <w:rFonts w:hint="eastAsia" w:ascii="宋体" w:hAnsi="宋体" w:cs="宋体"/>
                <w:color w:val="auto"/>
                <w:sz w:val="22"/>
                <w:szCs w:val="22"/>
                <w:lang w:bidi="ar"/>
              </w:rPr>
              <w:t>1、投标人具有由国家认证认可监督管理部门批准设立的认证机构颁发并在有效期内的证书：</w:t>
            </w:r>
          </w:p>
          <w:p>
            <w:pPr>
              <w:keepNext w:val="0"/>
              <w:keepLines w:val="0"/>
              <w:pageBreakBefore w:val="0"/>
              <w:widowControl/>
              <w:kinsoku/>
              <w:wordWrap/>
              <w:overflowPunct/>
              <w:topLinePunct w:val="0"/>
              <w:autoSpaceDE/>
              <w:autoSpaceDN/>
              <w:bidi w:val="0"/>
              <w:adjustRightInd w:val="0"/>
              <w:spacing w:line="360" w:lineRule="auto"/>
              <w:textAlignment w:val="auto"/>
              <w:rPr>
                <w:rFonts w:ascii="宋体" w:hAnsi="宋体" w:cs="宋体"/>
                <w:color w:val="auto"/>
                <w:sz w:val="22"/>
                <w:szCs w:val="22"/>
              </w:rPr>
            </w:pPr>
            <w:r>
              <w:rPr>
                <w:rFonts w:hint="eastAsia" w:ascii="宋体" w:hAnsi="宋体" w:cs="宋体"/>
                <w:color w:val="auto"/>
                <w:sz w:val="22"/>
                <w:szCs w:val="22"/>
              </w:rPr>
              <w:t>1）信息技术服务管理体系认证证书的，得1.5分。</w:t>
            </w:r>
          </w:p>
          <w:p>
            <w:pPr>
              <w:keepNext w:val="0"/>
              <w:keepLines w:val="0"/>
              <w:pageBreakBefore w:val="0"/>
              <w:widowControl/>
              <w:kinsoku/>
              <w:wordWrap/>
              <w:overflowPunct/>
              <w:topLinePunct w:val="0"/>
              <w:autoSpaceDE/>
              <w:autoSpaceDN/>
              <w:bidi w:val="0"/>
              <w:adjustRightInd w:val="0"/>
              <w:spacing w:line="360" w:lineRule="auto"/>
              <w:textAlignment w:val="auto"/>
              <w:rPr>
                <w:rFonts w:ascii="宋体" w:hAnsi="宋体" w:cs="宋体"/>
                <w:color w:val="auto"/>
                <w:sz w:val="22"/>
                <w:szCs w:val="22"/>
              </w:rPr>
            </w:pPr>
            <w:r>
              <w:rPr>
                <w:rFonts w:hint="eastAsia" w:ascii="宋体" w:hAnsi="宋体" w:cs="宋体"/>
                <w:color w:val="auto"/>
                <w:sz w:val="22"/>
                <w:szCs w:val="22"/>
              </w:rPr>
              <w:t>2）信息安全管理体系认证证书的，得1.5分。</w:t>
            </w:r>
          </w:p>
          <w:p>
            <w:pPr>
              <w:keepNext w:val="0"/>
              <w:keepLines w:val="0"/>
              <w:pageBreakBefore w:val="0"/>
              <w:widowControl/>
              <w:kinsoku/>
              <w:wordWrap/>
              <w:overflowPunct/>
              <w:topLinePunct w:val="0"/>
              <w:autoSpaceDE/>
              <w:autoSpaceDN/>
              <w:bidi w:val="0"/>
              <w:adjustRightInd w:val="0"/>
              <w:spacing w:line="360" w:lineRule="auto"/>
              <w:textAlignment w:val="auto"/>
              <w:rPr>
                <w:rFonts w:ascii="宋体" w:hAnsi="宋体" w:cs="宋体"/>
                <w:color w:val="auto"/>
                <w:sz w:val="22"/>
                <w:szCs w:val="22"/>
              </w:rPr>
            </w:pPr>
            <w:r>
              <w:rPr>
                <w:rFonts w:hint="eastAsia" w:ascii="宋体" w:hAnsi="宋体" w:cs="宋体"/>
                <w:color w:val="auto"/>
                <w:sz w:val="22"/>
                <w:szCs w:val="22"/>
              </w:rPr>
              <w:t>3）质量管理体系认证证书的，得1分。</w:t>
            </w:r>
          </w:p>
          <w:p>
            <w:pPr>
              <w:keepNext w:val="0"/>
              <w:keepLines w:val="0"/>
              <w:pageBreakBefore w:val="0"/>
              <w:widowControl/>
              <w:kinsoku/>
              <w:wordWrap/>
              <w:overflowPunct/>
              <w:topLinePunct w:val="0"/>
              <w:autoSpaceDE/>
              <w:autoSpaceDN/>
              <w:bidi w:val="0"/>
              <w:adjustRightInd w:val="0"/>
              <w:spacing w:line="360" w:lineRule="auto"/>
              <w:textAlignment w:val="auto"/>
              <w:rPr>
                <w:rFonts w:ascii="宋体" w:hAnsi="宋体" w:cs="宋体"/>
                <w:color w:val="auto"/>
                <w:sz w:val="22"/>
                <w:szCs w:val="22"/>
              </w:rPr>
            </w:pPr>
            <w:r>
              <w:rPr>
                <w:rFonts w:hint="eastAsia" w:ascii="宋体" w:hAnsi="宋体" w:cs="宋体"/>
                <w:b/>
                <w:color w:val="auto"/>
                <w:sz w:val="22"/>
                <w:szCs w:val="22"/>
                <w:lang w:bidi="ar"/>
              </w:rPr>
              <w:t>注：须提供有效</w:t>
            </w:r>
            <w:r>
              <w:rPr>
                <w:rFonts w:hint="eastAsia" w:ascii="宋体" w:hAnsi="宋体" w:cs="宋体"/>
                <w:b/>
                <w:bCs/>
                <w:color w:val="auto"/>
                <w:sz w:val="22"/>
                <w:szCs w:val="22"/>
                <w:lang w:bidi="ar"/>
              </w:rPr>
              <w:t>证书复印件及全国认证认可信息公共服务平台（</w:t>
            </w:r>
            <w:r>
              <w:rPr>
                <w:rFonts w:ascii="宋体" w:hAnsi="宋体" w:cs="宋体"/>
                <w:b/>
                <w:bCs/>
                <w:color w:val="auto"/>
                <w:sz w:val="22"/>
                <w:szCs w:val="22"/>
                <w:lang w:bidi="ar"/>
              </w:rPr>
              <w:t>http://cx.cnca.cn/</w:t>
            </w:r>
            <w:r>
              <w:rPr>
                <w:rFonts w:hint="eastAsia" w:ascii="宋体" w:hAnsi="宋体" w:cs="宋体"/>
                <w:b/>
                <w:bCs/>
                <w:color w:val="auto"/>
                <w:sz w:val="22"/>
                <w:szCs w:val="22"/>
                <w:lang w:bidi="ar"/>
              </w:rPr>
              <w:t>）查询截图加盖投标人公章</w:t>
            </w:r>
            <w:r>
              <w:rPr>
                <w:rFonts w:hint="eastAsia" w:ascii="宋体" w:hAnsi="宋体" w:cs="宋体"/>
                <w:b/>
                <w:bCs/>
                <w:color w:val="auto"/>
                <w:sz w:val="22"/>
                <w:szCs w:val="22"/>
              </w:rPr>
              <w:t>，否则评审时不予认可</w:t>
            </w:r>
            <w:r>
              <w:rPr>
                <w:rFonts w:hint="eastAsia" w:ascii="宋体" w:hAnsi="宋体" w:cs="宋体"/>
                <w:b/>
                <w:bCs/>
                <w:color w:val="auto"/>
                <w:sz w:val="22"/>
                <w:szCs w:val="22"/>
                <w:lang w:bidi="ar"/>
              </w:rPr>
              <w:t>。</w:t>
            </w:r>
          </w:p>
          <w:p>
            <w:pPr>
              <w:keepNext w:val="0"/>
              <w:keepLines w:val="0"/>
              <w:pageBreakBefore w:val="0"/>
              <w:widowControl/>
              <w:kinsoku/>
              <w:wordWrap/>
              <w:overflowPunct/>
              <w:topLinePunct w:val="0"/>
              <w:autoSpaceDE/>
              <w:autoSpaceDN/>
              <w:bidi w:val="0"/>
              <w:adjustRightInd w:val="0"/>
              <w:spacing w:line="360" w:lineRule="auto"/>
              <w:textAlignment w:val="auto"/>
              <w:rPr>
                <w:rFonts w:ascii="宋体" w:hAnsi="宋体" w:cs="宋体"/>
                <w:color w:val="auto"/>
                <w:sz w:val="22"/>
                <w:szCs w:val="22"/>
              </w:rPr>
            </w:pPr>
            <w:r>
              <w:rPr>
                <w:rFonts w:hint="eastAsia" w:ascii="宋体" w:hAnsi="宋体" w:cs="宋体"/>
                <w:color w:val="auto"/>
                <w:sz w:val="22"/>
                <w:szCs w:val="22"/>
              </w:rPr>
              <w:t>2、投标人具有：</w:t>
            </w:r>
          </w:p>
          <w:p>
            <w:pPr>
              <w:keepNext w:val="0"/>
              <w:keepLines w:val="0"/>
              <w:pageBreakBefore w:val="0"/>
              <w:widowControl/>
              <w:kinsoku/>
              <w:wordWrap/>
              <w:overflowPunct/>
              <w:topLinePunct w:val="0"/>
              <w:autoSpaceDE/>
              <w:autoSpaceDN/>
              <w:bidi w:val="0"/>
              <w:adjustRightInd w:val="0"/>
              <w:spacing w:line="360" w:lineRule="auto"/>
              <w:textAlignment w:val="auto"/>
              <w:rPr>
                <w:rFonts w:ascii="宋体" w:hAnsi="宋体" w:cs="宋体"/>
                <w:color w:val="auto"/>
                <w:sz w:val="22"/>
                <w:szCs w:val="22"/>
              </w:rPr>
            </w:pPr>
            <w:r>
              <w:rPr>
                <w:rFonts w:hint="eastAsia" w:ascii="宋体" w:hAnsi="宋体" w:cs="宋体"/>
                <w:color w:val="auto"/>
                <w:sz w:val="22"/>
                <w:szCs w:val="22"/>
              </w:rPr>
              <w:t>1）信息产业主管部门颁发的《软件产品登记证书》及《软件企业认定证书》的，得2分。</w:t>
            </w:r>
          </w:p>
          <w:p>
            <w:pPr>
              <w:keepNext w:val="0"/>
              <w:keepLines w:val="0"/>
              <w:pageBreakBefore w:val="0"/>
              <w:widowControl/>
              <w:kinsoku/>
              <w:wordWrap/>
              <w:overflowPunct/>
              <w:topLinePunct w:val="0"/>
              <w:autoSpaceDE/>
              <w:autoSpaceDN/>
              <w:bidi w:val="0"/>
              <w:adjustRightInd w:val="0"/>
              <w:spacing w:line="360" w:lineRule="auto"/>
              <w:textAlignment w:val="auto"/>
              <w:rPr>
                <w:rFonts w:ascii="宋体" w:hAnsi="宋体" w:cs="宋体"/>
                <w:color w:val="auto"/>
                <w:sz w:val="22"/>
                <w:szCs w:val="22"/>
              </w:rPr>
            </w:pPr>
            <w:r>
              <w:rPr>
                <w:rFonts w:hint="eastAsia" w:ascii="宋体" w:hAnsi="宋体" w:cs="宋体"/>
                <w:color w:val="auto"/>
                <w:sz w:val="22"/>
                <w:szCs w:val="22"/>
              </w:rPr>
              <w:t>5）CMMI3级或以上认证证书的，得2分；</w:t>
            </w:r>
          </w:p>
          <w:p>
            <w:pPr>
              <w:keepNext w:val="0"/>
              <w:keepLines w:val="0"/>
              <w:pageBreakBefore w:val="0"/>
              <w:kinsoku/>
              <w:wordWrap/>
              <w:overflowPunct/>
              <w:topLinePunct w:val="0"/>
              <w:autoSpaceDE/>
              <w:autoSpaceDN/>
              <w:bidi w:val="0"/>
              <w:adjustRightInd w:val="0"/>
              <w:spacing w:line="360" w:lineRule="auto"/>
              <w:ind w:right="-34" w:rightChars="0"/>
              <w:textAlignment w:val="auto"/>
              <w:rPr>
                <w:rFonts w:ascii="宋体" w:hAnsi="宋体" w:cs="宋体"/>
                <w:b/>
                <w:sz w:val="22"/>
                <w:szCs w:val="22"/>
              </w:rPr>
            </w:pPr>
            <w:r>
              <w:rPr>
                <w:rFonts w:hint="eastAsia" w:ascii="宋体" w:hAnsi="宋体" w:cs="宋体"/>
                <w:b/>
                <w:bCs/>
                <w:color w:val="auto"/>
                <w:sz w:val="22"/>
                <w:szCs w:val="22"/>
              </w:rPr>
              <w:t>注：应提供相应资质资格复印件并加盖投标人公章，否则评审时不予认可。</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ascii="宋体" w:hAnsi="宋体" w:cs="宋体"/>
                <w:sz w:val="22"/>
                <w:szCs w:val="22"/>
              </w:rPr>
            </w:pPr>
            <w:r>
              <w:rPr>
                <w:rFonts w:hint="eastAsia" w:ascii="宋体" w:hAnsi="宋体" w:cs="仿宋"/>
                <w:color w:val="auto"/>
                <w:sz w:val="22"/>
                <w:szCs w:val="22"/>
              </w:rPr>
              <w:t>8分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63" w:hRule="atLeast"/>
          <w:jc w:val="center"/>
        </w:trPr>
        <w:tc>
          <w:tcPr>
            <w:tcW w:w="836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800"/>
                <w:tab w:val="left" w:pos="2340"/>
              </w:tabs>
              <w:kinsoku/>
              <w:wordWrap/>
              <w:overflowPunct/>
              <w:topLinePunct w:val="0"/>
              <w:autoSpaceDE/>
              <w:autoSpaceDN/>
              <w:bidi w:val="0"/>
              <w:adjustRightInd w:val="0"/>
              <w:snapToGrid w:val="0"/>
              <w:spacing w:line="360" w:lineRule="auto"/>
              <w:ind w:firstLine="434" w:firstLineChars="0"/>
              <w:jc w:val="center"/>
              <w:textAlignment w:val="auto"/>
              <w:rPr>
                <w:rFonts w:ascii="宋体" w:hAnsi="宋体" w:cs="宋体"/>
                <w:b/>
                <w:kern w:val="0"/>
                <w:sz w:val="22"/>
                <w:szCs w:val="22"/>
              </w:rPr>
            </w:pPr>
            <w:r>
              <w:rPr>
                <w:rFonts w:hint="eastAsia" w:ascii="宋体" w:hAnsi="宋体" w:cs="宋体"/>
                <w:b/>
                <w:color w:val="auto"/>
                <w:kern w:val="0"/>
                <w:sz w:val="22"/>
                <w:szCs w:val="22"/>
                <w:lang w:bidi="ar"/>
              </w:rPr>
              <w:t>合计</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800"/>
                <w:tab w:val="left" w:pos="2340"/>
              </w:tabs>
              <w:kinsoku/>
              <w:wordWrap/>
              <w:overflowPunct/>
              <w:topLinePunct w:val="0"/>
              <w:autoSpaceDE/>
              <w:autoSpaceDN/>
              <w:bidi w:val="0"/>
              <w:adjustRightInd w:val="0"/>
              <w:snapToGrid w:val="0"/>
              <w:spacing w:line="360" w:lineRule="auto"/>
              <w:textAlignment w:val="auto"/>
              <w:rPr>
                <w:rFonts w:ascii="宋体" w:hAnsi="宋体" w:cs="宋体"/>
                <w:b/>
                <w:kern w:val="0"/>
                <w:sz w:val="22"/>
                <w:szCs w:val="22"/>
              </w:rPr>
            </w:pPr>
            <w:r>
              <w:rPr>
                <w:rFonts w:hint="eastAsia" w:ascii="宋体" w:hAnsi="宋体" w:cs="宋体"/>
                <w:b/>
                <w:color w:val="auto"/>
                <w:kern w:val="0"/>
                <w:sz w:val="22"/>
                <w:szCs w:val="22"/>
                <w:lang w:bidi="ar"/>
              </w:rPr>
              <w:t>35分</w:t>
            </w:r>
          </w:p>
        </w:tc>
      </w:tr>
    </w:tbl>
    <w:p>
      <w:pPr>
        <w:spacing w:line="360" w:lineRule="auto"/>
        <w:ind w:firstLine="440" w:firstLineChars="200"/>
        <w:rPr>
          <w:rFonts w:hint="eastAsia" w:ascii="宋体" w:hAnsi="宋体" w:eastAsia="宋体" w:cs="宋体"/>
          <w:sz w:val="22"/>
          <w:szCs w:val="22"/>
        </w:rPr>
      </w:pPr>
      <w:r>
        <w:rPr>
          <w:rFonts w:hint="eastAsia" w:ascii="宋体" w:hAnsi="宋体" w:eastAsia="宋体" w:cs="宋体"/>
          <w:sz w:val="22"/>
          <w:szCs w:val="22"/>
          <w:lang w:bidi="ar"/>
        </w:rPr>
        <w:t>备注：</w:t>
      </w:r>
    </w:p>
    <w:p>
      <w:pPr>
        <w:spacing w:line="360" w:lineRule="auto"/>
        <w:ind w:firstLine="440" w:firstLineChars="200"/>
        <w:rPr>
          <w:rFonts w:hint="eastAsia" w:ascii="宋体" w:hAnsi="宋体" w:eastAsia="宋体" w:cs="宋体"/>
          <w:sz w:val="22"/>
          <w:szCs w:val="22"/>
        </w:rPr>
      </w:pPr>
      <w:r>
        <w:rPr>
          <w:rFonts w:hint="eastAsia" w:ascii="宋体" w:hAnsi="宋体" w:eastAsia="宋体" w:cs="宋体"/>
          <w:sz w:val="22"/>
          <w:szCs w:val="22"/>
          <w:lang w:bidi="ar"/>
        </w:rPr>
        <w:t>（1）招标文件要求提交的与评价指标体系相关的各类有效资料，投标人如未按要求提交的，该项评分为零分。</w:t>
      </w:r>
    </w:p>
    <w:p>
      <w:pPr>
        <w:spacing w:line="360" w:lineRule="auto"/>
        <w:ind w:firstLine="440" w:firstLineChars="200"/>
        <w:rPr>
          <w:rFonts w:hint="eastAsia" w:ascii="宋体" w:hAnsi="宋体" w:eastAsia="宋体" w:cs="宋体"/>
          <w:sz w:val="22"/>
          <w:szCs w:val="22"/>
        </w:rPr>
      </w:pPr>
      <w:r>
        <w:rPr>
          <w:rFonts w:hint="eastAsia" w:ascii="宋体" w:hAnsi="宋体" w:eastAsia="宋体" w:cs="宋体"/>
          <w:sz w:val="22"/>
          <w:szCs w:val="22"/>
          <w:lang w:bidi="ar"/>
        </w:rPr>
        <w:t>（2）商务得分为评委评分分值的算术平均值（四舍五入后，小数点后保留两位有效数）。</w:t>
      </w:r>
    </w:p>
    <w:p>
      <w:pPr>
        <w:pStyle w:val="53"/>
        <w:numPr>
          <w:ilvl w:val="0"/>
          <w:numId w:val="53"/>
        </w:numPr>
        <w:tabs>
          <w:tab w:val="left" w:pos="0"/>
          <w:tab w:val="left" w:pos="643"/>
          <w:tab w:val="left" w:pos="907"/>
          <w:tab w:val="left" w:pos="2552"/>
        </w:tabs>
        <w:spacing w:after="0" w:line="360" w:lineRule="auto"/>
        <w:ind w:left="2552" w:hanging="2552"/>
        <w:rPr>
          <w:rFonts w:hint="eastAsia" w:ascii="宋体" w:hAnsi="宋体" w:eastAsia="宋体" w:cs="宋体"/>
          <w:b/>
          <w:sz w:val="22"/>
          <w:szCs w:val="22"/>
        </w:rPr>
      </w:pPr>
      <w:r>
        <w:rPr>
          <w:rFonts w:hint="eastAsia" w:ascii="宋体" w:hAnsi="宋体" w:eastAsia="宋体" w:cs="宋体"/>
          <w:b/>
          <w:color w:val="auto"/>
          <w:sz w:val="22"/>
          <w:szCs w:val="22"/>
        </w:rPr>
        <w:t>技术评分标准：（总分：</w:t>
      </w:r>
      <w:r>
        <w:rPr>
          <w:rFonts w:hint="eastAsia" w:ascii="宋体" w:hAnsi="宋体" w:eastAsia="宋体" w:cs="宋体"/>
          <w:b/>
          <w:color w:val="auto"/>
          <w:sz w:val="22"/>
          <w:szCs w:val="22"/>
          <w:lang w:val="en-US" w:eastAsia="zh-CN"/>
        </w:rPr>
        <w:t>55</w:t>
      </w:r>
      <w:r>
        <w:rPr>
          <w:rFonts w:hint="eastAsia" w:ascii="宋体" w:hAnsi="宋体" w:eastAsia="宋体" w:cs="宋体"/>
          <w:b/>
          <w:color w:val="auto"/>
          <w:sz w:val="22"/>
          <w:szCs w:val="22"/>
        </w:rPr>
        <w:t>分）</w:t>
      </w:r>
    </w:p>
    <w:tbl>
      <w:tblPr>
        <w:tblStyle w:val="34"/>
        <w:tblW w:w="9314"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709"/>
        <w:gridCol w:w="1382"/>
        <w:gridCol w:w="6374"/>
        <w:gridCol w:w="84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801"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b/>
                <w:sz w:val="22"/>
                <w:szCs w:val="22"/>
              </w:rPr>
            </w:pPr>
            <w:r>
              <w:rPr>
                <w:rFonts w:hint="eastAsia" w:ascii="宋体" w:hAnsi="宋体" w:cs="宋体"/>
                <w:b/>
                <w:sz w:val="22"/>
                <w:szCs w:val="22"/>
                <w:lang w:bidi="ar"/>
              </w:rPr>
              <w:t>序号</w:t>
            </w:r>
          </w:p>
        </w:tc>
        <w:tc>
          <w:tcPr>
            <w:tcW w:w="138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2"/>
                <w:szCs w:val="22"/>
              </w:rPr>
            </w:pPr>
            <w:r>
              <w:rPr>
                <w:rFonts w:hint="eastAsia" w:ascii="宋体" w:hAnsi="宋体" w:cs="宋体"/>
                <w:b/>
                <w:sz w:val="22"/>
                <w:szCs w:val="22"/>
                <w:lang w:bidi="ar"/>
              </w:rPr>
              <w:t>评审内容</w:t>
            </w:r>
          </w:p>
        </w:tc>
        <w:tc>
          <w:tcPr>
            <w:tcW w:w="6374" w:type="dxa"/>
            <w:tcBorders>
              <w:top w:val="single" w:color="auto" w:sz="4" w:space="0"/>
              <w:left w:val="single" w:color="auto" w:sz="4" w:space="0"/>
              <w:bottom w:val="nil"/>
              <w:right w:val="single" w:color="auto" w:sz="4" w:space="0"/>
            </w:tcBorders>
            <w:vAlign w:val="center"/>
          </w:tcPr>
          <w:p>
            <w:pPr>
              <w:snapToGrid w:val="0"/>
              <w:spacing w:line="360" w:lineRule="auto"/>
              <w:jc w:val="center"/>
              <w:rPr>
                <w:rFonts w:ascii="宋体" w:hAnsi="宋体" w:cs="宋体"/>
                <w:b/>
                <w:sz w:val="22"/>
                <w:szCs w:val="22"/>
              </w:rPr>
            </w:pPr>
            <w:r>
              <w:rPr>
                <w:rFonts w:hint="eastAsia" w:ascii="宋体" w:hAnsi="宋体" w:cs="宋体"/>
                <w:b/>
                <w:sz w:val="22"/>
                <w:szCs w:val="22"/>
                <w:lang w:bidi="ar"/>
              </w:rPr>
              <w:t>评分细则</w:t>
            </w:r>
          </w:p>
        </w:tc>
        <w:tc>
          <w:tcPr>
            <w:tcW w:w="849" w:type="dxa"/>
            <w:tcBorders>
              <w:top w:val="single" w:color="auto" w:sz="4" w:space="0"/>
              <w:left w:val="single" w:color="auto" w:sz="4" w:space="0"/>
              <w:bottom w:val="nil"/>
              <w:right w:val="single" w:color="auto" w:sz="4" w:space="0"/>
            </w:tcBorders>
            <w:vAlign w:val="center"/>
          </w:tcPr>
          <w:p>
            <w:pPr>
              <w:widowControl/>
              <w:snapToGrid w:val="0"/>
              <w:spacing w:line="360" w:lineRule="auto"/>
              <w:jc w:val="center"/>
              <w:rPr>
                <w:rFonts w:ascii="宋体" w:hAnsi="宋体" w:cs="宋体"/>
                <w:b/>
                <w:sz w:val="22"/>
                <w:szCs w:val="22"/>
              </w:rPr>
            </w:pPr>
            <w:r>
              <w:rPr>
                <w:rFonts w:hint="eastAsia" w:ascii="宋体" w:hAnsi="宋体" w:cs="宋体"/>
                <w:b/>
                <w:sz w:val="22"/>
                <w:szCs w:val="22"/>
                <w:lang w:bidi="ar"/>
              </w:rPr>
              <w:t>分值</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55" w:hRule="atLeast"/>
        </w:trPr>
        <w:tc>
          <w:tcPr>
            <w:tcW w:w="7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ascii="宋体" w:hAnsi="宋体" w:cs="宋体"/>
                <w:sz w:val="22"/>
                <w:szCs w:val="22"/>
              </w:rPr>
            </w:pPr>
            <w:r>
              <w:rPr>
                <w:rFonts w:hint="eastAsia" w:ascii="宋体" w:hAnsi="宋体" w:cs="宋体"/>
                <w:color w:val="auto"/>
                <w:sz w:val="22"/>
                <w:szCs w:val="22"/>
                <w:lang w:bidi="ar"/>
              </w:rPr>
              <w:t>1</w:t>
            </w:r>
          </w:p>
        </w:tc>
        <w:tc>
          <w:tcPr>
            <w:tcW w:w="1382"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cs="宋体"/>
                <w:sz w:val="22"/>
                <w:szCs w:val="22"/>
              </w:rPr>
            </w:pPr>
            <w:r>
              <w:rPr>
                <w:rFonts w:hint="eastAsia" w:ascii="宋体" w:hAnsi="宋体" w:cs="宋体"/>
                <w:color w:val="auto"/>
                <w:sz w:val="22"/>
                <w:szCs w:val="22"/>
              </w:rPr>
              <w:t>技术方案</w:t>
            </w:r>
          </w:p>
        </w:tc>
        <w:tc>
          <w:tcPr>
            <w:tcW w:w="63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pacing w:line="360" w:lineRule="auto"/>
              <w:textAlignment w:val="auto"/>
              <w:rPr>
                <w:rFonts w:ascii="宋体" w:hAnsi="宋体" w:cs="宋体"/>
                <w:color w:val="auto"/>
                <w:sz w:val="22"/>
                <w:szCs w:val="22"/>
              </w:rPr>
            </w:pPr>
            <w:r>
              <w:rPr>
                <w:rFonts w:hint="eastAsia" w:ascii="宋体" w:hAnsi="宋体" w:cs="宋体"/>
                <w:color w:val="auto"/>
                <w:sz w:val="22"/>
                <w:szCs w:val="22"/>
              </w:rPr>
              <w:t>针对项目有较为详尽的总体技术和架构设计，并结合采购人现状、实际需求进行分析说明。</w:t>
            </w:r>
          </w:p>
          <w:p>
            <w:pPr>
              <w:keepNext w:val="0"/>
              <w:keepLines w:val="0"/>
              <w:pageBreakBefore w:val="0"/>
              <w:widowControl w:val="0"/>
              <w:kinsoku/>
              <w:wordWrap/>
              <w:overflowPunct/>
              <w:topLinePunct w:val="0"/>
              <w:autoSpaceDE/>
              <w:autoSpaceDN/>
              <w:bidi w:val="0"/>
              <w:adjustRightInd w:val="0"/>
              <w:spacing w:line="360" w:lineRule="auto"/>
              <w:textAlignment w:val="auto"/>
              <w:rPr>
                <w:rFonts w:ascii="宋体" w:hAnsi="宋体" w:cs="宋体"/>
                <w:color w:val="auto"/>
                <w:sz w:val="22"/>
                <w:szCs w:val="22"/>
              </w:rPr>
            </w:pPr>
            <w:r>
              <w:rPr>
                <w:rFonts w:hint="eastAsia" w:ascii="宋体" w:hAnsi="宋体" w:cs="宋体"/>
                <w:color w:val="auto"/>
                <w:sz w:val="22"/>
                <w:szCs w:val="22"/>
              </w:rPr>
              <w:t>优：方案完整合理、可行性强，得8分；</w:t>
            </w:r>
          </w:p>
          <w:p>
            <w:pPr>
              <w:keepNext w:val="0"/>
              <w:keepLines w:val="0"/>
              <w:pageBreakBefore w:val="0"/>
              <w:widowControl w:val="0"/>
              <w:kinsoku/>
              <w:wordWrap/>
              <w:overflowPunct/>
              <w:topLinePunct w:val="0"/>
              <w:autoSpaceDE/>
              <w:autoSpaceDN/>
              <w:bidi w:val="0"/>
              <w:adjustRightInd w:val="0"/>
              <w:spacing w:line="360" w:lineRule="auto"/>
              <w:textAlignment w:val="auto"/>
              <w:rPr>
                <w:rFonts w:ascii="宋体" w:hAnsi="宋体" w:cs="宋体"/>
                <w:color w:val="auto"/>
                <w:sz w:val="22"/>
                <w:szCs w:val="22"/>
              </w:rPr>
            </w:pPr>
            <w:r>
              <w:rPr>
                <w:rFonts w:hint="eastAsia" w:ascii="宋体" w:hAnsi="宋体" w:cs="宋体"/>
                <w:color w:val="auto"/>
                <w:sz w:val="22"/>
                <w:szCs w:val="22"/>
              </w:rPr>
              <w:t>良：方案完整、可行性一般，得5分；</w:t>
            </w:r>
          </w:p>
          <w:p>
            <w:pPr>
              <w:keepNext w:val="0"/>
              <w:keepLines w:val="0"/>
              <w:pageBreakBefore w:val="0"/>
              <w:widowControl w:val="0"/>
              <w:kinsoku/>
              <w:wordWrap/>
              <w:overflowPunct/>
              <w:topLinePunct w:val="0"/>
              <w:autoSpaceDE/>
              <w:autoSpaceDN/>
              <w:bidi w:val="0"/>
              <w:adjustRightInd w:val="0"/>
              <w:spacing w:line="360" w:lineRule="auto"/>
              <w:textAlignment w:val="auto"/>
              <w:rPr>
                <w:rFonts w:ascii="宋体" w:hAnsi="宋体" w:cs="宋体"/>
                <w:color w:val="auto"/>
                <w:sz w:val="22"/>
                <w:szCs w:val="22"/>
              </w:rPr>
            </w:pPr>
            <w:r>
              <w:rPr>
                <w:rFonts w:hint="eastAsia" w:ascii="宋体" w:hAnsi="宋体" w:cs="宋体"/>
                <w:color w:val="auto"/>
                <w:sz w:val="22"/>
                <w:szCs w:val="22"/>
              </w:rPr>
              <w:t>差：方案基本完整、可行性较差，得2分；</w:t>
            </w:r>
          </w:p>
          <w:p>
            <w:pPr>
              <w:keepNext w:val="0"/>
              <w:keepLines w:val="0"/>
              <w:pageBreakBefore w:val="0"/>
              <w:widowControl w:val="0"/>
              <w:kinsoku/>
              <w:wordWrap/>
              <w:overflowPunct/>
              <w:topLinePunct w:val="0"/>
              <w:autoSpaceDE/>
              <w:autoSpaceDN/>
              <w:bidi w:val="0"/>
              <w:adjustRightInd w:val="0"/>
              <w:spacing w:line="360" w:lineRule="auto"/>
              <w:textAlignment w:val="auto"/>
              <w:rPr>
                <w:rFonts w:ascii="宋体" w:hAnsi="宋体" w:cs="宋体"/>
                <w:sz w:val="22"/>
                <w:szCs w:val="22"/>
              </w:rPr>
            </w:pPr>
            <w:r>
              <w:rPr>
                <w:rFonts w:hint="eastAsia" w:ascii="宋体" w:hAnsi="宋体" w:cs="宋体"/>
                <w:color w:val="auto"/>
                <w:sz w:val="22"/>
                <w:szCs w:val="22"/>
              </w:rPr>
              <w:t>无提供方案则不得分。</w:t>
            </w:r>
          </w:p>
        </w:tc>
        <w:tc>
          <w:tcPr>
            <w:tcW w:w="8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ascii="宋体" w:hAnsi="宋体" w:cs="宋体"/>
                <w:sz w:val="22"/>
                <w:szCs w:val="22"/>
              </w:rPr>
            </w:pPr>
            <w:r>
              <w:rPr>
                <w:rFonts w:hint="eastAsia" w:ascii="宋体" w:hAnsi="宋体" w:cs="宋体"/>
                <w:color w:val="auto"/>
                <w:sz w:val="22"/>
                <w:szCs w:val="22"/>
                <w:lang w:bidi="ar"/>
              </w:rPr>
              <w:t>8分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0" w:hRule="atLeast"/>
        </w:trPr>
        <w:tc>
          <w:tcPr>
            <w:tcW w:w="7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ascii="宋体" w:hAnsi="宋体" w:cs="宋体"/>
                <w:sz w:val="22"/>
                <w:szCs w:val="22"/>
              </w:rPr>
            </w:pPr>
            <w:r>
              <w:rPr>
                <w:rFonts w:hint="eastAsia" w:ascii="宋体" w:hAnsi="宋体" w:cs="宋体"/>
                <w:color w:val="auto"/>
                <w:sz w:val="22"/>
                <w:szCs w:val="22"/>
                <w:lang w:bidi="ar"/>
              </w:rPr>
              <w:t>2</w:t>
            </w:r>
          </w:p>
        </w:tc>
        <w:tc>
          <w:tcPr>
            <w:tcW w:w="1382"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cs="宋体"/>
                <w:sz w:val="22"/>
                <w:szCs w:val="22"/>
              </w:rPr>
            </w:pPr>
            <w:r>
              <w:rPr>
                <w:rFonts w:hint="eastAsia" w:ascii="宋体" w:hAnsi="宋体" w:cs="宋体"/>
                <w:color w:val="auto"/>
                <w:sz w:val="22"/>
                <w:szCs w:val="22"/>
              </w:rPr>
              <w:t>安全方案</w:t>
            </w:r>
          </w:p>
        </w:tc>
        <w:tc>
          <w:tcPr>
            <w:tcW w:w="63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ascii="宋体" w:hAnsi="宋体" w:cs="宋体"/>
                <w:color w:val="auto"/>
                <w:sz w:val="22"/>
                <w:szCs w:val="22"/>
              </w:rPr>
            </w:pPr>
            <w:r>
              <w:rPr>
                <w:rFonts w:hint="eastAsia" w:ascii="宋体" w:hAnsi="宋体" w:cs="宋体"/>
                <w:color w:val="auto"/>
                <w:sz w:val="22"/>
                <w:szCs w:val="22"/>
              </w:rPr>
              <w:t>针对本项目的特点，提供全面的安全解决方案。</w:t>
            </w:r>
          </w:p>
          <w:p>
            <w:pPr>
              <w:keepNext w:val="0"/>
              <w:keepLines w:val="0"/>
              <w:pageBreakBefore w:val="0"/>
              <w:widowControl w:val="0"/>
              <w:kinsoku/>
              <w:wordWrap/>
              <w:overflowPunct/>
              <w:topLinePunct w:val="0"/>
              <w:autoSpaceDE/>
              <w:autoSpaceDN/>
              <w:bidi w:val="0"/>
              <w:adjustRightInd w:val="0"/>
              <w:spacing w:line="360" w:lineRule="auto"/>
              <w:textAlignment w:val="auto"/>
              <w:rPr>
                <w:rFonts w:ascii="宋体" w:hAnsi="宋体" w:cs="宋体"/>
                <w:color w:val="auto"/>
                <w:sz w:val="22"/>
                <w:szCs w:val="22"/>
              </w:rPr>
            </w:pPr>
            <w:r>
              <w:rPr>
                <w:rFonts w:hint="eastAsia" w:ascii="宋体" w:hAnsi="宋体" w:cs="宋体"/>
                <w:color w:val="auto"/>
                <w:sz w:val="22"/>
                <w:szCs w:val="22"/>
              </w:rPr>
              <w:t>优：方案完整合理、可行性强，得8分；</w:t>
            </w:r>
          </w:p>
          <w:p>
            <w:pPr>
              <w:keepNext w:val="0"/>
              <w:keepLines w:val="0"/>
              <w:pageBreakBefore w:val="0"/>
              <w:widowControl w:val="0"/>
              <w:kinsoku/>
              <w:wordWrap/>
              <w:overflowPunct/>
              <w:topLinePunct w:val="0"/>
              <w:autoSpaceDE/>
              <w:autoSpaceDN/>
              <w:bidi w:val="0"/>
              <w:adjustRightInd w:val="0"/>
              <w:spacing w:line="360" w:lineRule="auto"/>
              <w:textAlignment w:val="auto"/>
              <w:rPr>
                <w:rFonts w:ascii="宋体" w:hAnsi="宋体" w:cs="宋体"/>
                <w:color w:val="auto"/>
                <w:sz w:val="22"/>
                <w:szCs w:val="22"/>
              </w:rPr>
            </w:pPr>
            <w:r>
              <w:rPr>
                <w:rFonts w:hint="eastAsia" w:ascii="宋体" w:hAnsi="宋体" w:cs="宋体"/>
                <w:color w:val="auto"/>
                <w:sz w:val="22"/>
                <w:szCs w:val="22"/>
              </w:rPr>
              <w:t>良：方案完整、可行性一般，得5分；</w:t>
            </w:r>
          </w:p>
          <w:p>
            <w:pPr>
              <w:keepNext w:val="0"/>
              <w:keepLines w:val="0"/>
              <w:pageBreakBefore w:val="0"/>
              <w:widowControl w:val="0"/>
              <w:kinsoku/>
              <w:wordWrap/>
              <w:overflowPunct/>
              <w:topLinePunct w:val="0"/>
              <w:autoSpaceDE/>
              <w:autoSpaceDN/>
              <w:bidi w:val="0"/>
              <w:spacing w:line="360" w:lineRule="auto"/>
              <w:ind w:right="-34"/>
              <w:textAlignment w:val="auto"/>
              <w:rPr>
                <w:rFonts w:ascii="宋体" w:hAnsi="宋体" w:cs="宋体"/>
                <w:color w:val="auto"/>
                <w:sz w:val="22"/>
                <w:szCs w:val="22"/>
              </w:rPr>
            </w:pPr>
            <w:r>
              <w:rPr>
                <w:rFonts w:hint="eastAsia" w:ascii="宋体" w:hAnsi="宋体" w:cs="宋体"/>
                <w:color w:val="auto"/>
                <w:sz w:val="22"/>
                <w:szCs w:val="22"/>
              </w:rPr>
              <w:t>差：方案基本完整、可行性较差，得2分；</w:t>
            </w:r>
          </w:p>
          <w:p>
            <w:pPr>
              <w:pStyle w:val="91"/>
              <w:keepNext w:val="0"/>
              <w:keepLines w:val="0"/>
              <w:pageBreakBefore w:val="0"/>
              <w:widowControl w:val="0"/>
              <w:kinsoku/>
              <w:wordWrap/>
              <w:overflowPunct/>
              <w:topLinePunct w:val="0"/>
              <w:autoSpaceDE/>
              <w:autoSpaceDN/>
              <w:bidi w:val="0"/>
              <w:spacing w:before="0" w:beforeAutospacing="0" w:after="0" w:line="360" w:lineRule="auto"/>
              <w:textAlignment w:val="auto"/>
              <w:rPr>
                <w:rFonts w:ascii="宋体" w:hAnsi="宋体" w:cs="宋体"/>
                <w:sz w:val="22"/>
                <w:szCs w:val="22"/>
              </w:rPr>
            </w:pPr>
            <w:r>
              <w:rPr>
                <w:rFonts w:hint="eastAsia" w:ascii="宋体" w:hAnsi="宋体" w:cs="宋体"/>
                <w:color w:val="auto"/>
                <w:sz w:val="22"/>
                <w:szCs w:val="22"/>
              </w:rPr>
              <w:t>无提供方案则不得分。</w:t>
            </w:r>
          </w:p>
        </w:tc>
        <w:tc>
          <w:tcPr>
            <w:tcW w:w="8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ascii="宋体" w:hAnsi="宋体" w:cs="宋体"/>
                <w:sz w:val="22"/>
                <w:szCs w:val="22"/>
              </w:rPr>
            </w:pPr>
            <w:r>
              <w:rPr>
                <w:rFonts w:hint="eastAsia" w:ascii="宋体" w:hAnsi="宋体" w:cs="宋体"/>
                <w:color w:val="auto"/>
                <w:sz w:val="22"/>
                <w:szCs w:val="22"/>
                <w:lang w:bidi="ar"/>
              </w:rPr>
              <w:t>8分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55" w:hRule="atLeast"/>
        </w:trPr>
        <w:tc>
          <w:tcPr>
            <w:tcW w:w="7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ascii="宋体" w:hAnsi="宋体" w:cs="宋体"/>
                <w:sz w:val="22"/>
                <w:szCs w:val="22"/>
                <w:lang w:bidi="ar"/>
              </w:rPr>
            </w:pPr>
            <w:r>
              <w:rPr>
                <w:rFonts w:hint="eastAsia" w:ascii="宋体" w:hAnsi="宋体" w:cs="宋体"/>
                <w:color w:val="auto"/>
                <w:sz w:val="22"/>
                <w:szCs w:val="22"/>
                <w:lang w:bidi="ar"/>
              </w:rPr>
              <w:t>3</w:t>
            </w:r>
          </w:p>
        </w:tc>
        <w:tc>
          <w:tcPr>
            <w:tcW w:w="1382"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cs="宋体"/>
                <w:sz w:val="22"/>
                <w:szCs w:val="22"/>
              </w:rPr>
            </w:pPr>
            <w:r>
              <w:rPr>
                <w:rFonts w:hint="eastAsia" w:ascii="宋体" w:hAnsi="宋体" w:cs="宋体"/>
                <w:color w:val="auto"/>
                <w:sz w:val="22"/>
                <w:szCs w:val="22"/>
              </w:rPr>
              <w:t>实施方案</w:t>
            </w:r>
          </w:p>
        </w:tc>
        <w:tc>
          <w:tcPr>
            <w:tcW w:w="63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ascii="宋体" w:hAnsi="宋体" w:cs="宋体"/>
                <w:color w:val="auto"/>
                <w:sz w:val="22"/>
                <w:szCs w:val="22"/>
              </w:rPr>
            </w:pPr>
            <w:r>
              <w:rPr>
                <w:rFonts w:hint="eastAsia" w:ascii="宋体" w:hAnsi="宋体" w:cs="宋体"/>
                <w:color w:val="auto"/>
                <w:sz w:val="22"/>
                <w:szCs w:val="22"/>
              </w:rPr>
              <w:t>投标人应对项目实施组织计划、质量保证措施、项目实施进度计划和工期安排等提出合理方案</w:t>
            </w:r>
          </w:p>
          <w:p>
            <w:pPr>
              <w:keepNext w:val="0"/>
              <w:keepLines w:val="0"/>
              <w:pageBreakBefore w:val="0"/>
              <w:widowControl w:val="0"/>
              <w:kinsoku/>
              <w:wordWrap/>
              <w:overflowPunct/>
              <w:topLinePunct w:val="0"/>
              <w:autoSpaceDE/>
              <w:autoSpaceDN/>
              <w:bidi w:val="0"/>
              <w:spacing w:line="360" w:lineRule="auto"/>
              <w:textAlignment w:val="auto"/>
              <w:rPr>
                <w:rFonts w:ascii="宋体" w:hAnsi="宋体" w:cs="宋体"/>
                <w:color w:val="auto"/>
                <w:sz w:val="22"/>
                <w:szCs w:val="22"/>
              </w:rPr>
            </w:pPr>
            <w:r>
              <w:rPr>
                <w:rFonts w:hint="eastAsia" w:ascii="宋体" w:hAnsi="宋体" w:cs="宋体"/>
                <w:color w:val="auto"/>
                <w:sz w:val="22"/>
                <w:szCs w:val="22"/>
              </w:rPr>
              <w:t>优：方案完整合理、可行性强，得8分；</w:t>
            </w:r>
          </w:p>
          <w:p>
            <w:pPr>
              <w:keepNext w:val="0"/>
              <w:keepLines w:val="0"/>
              <w:pageBreakBefore w:val="0"/>
              <w:widowControl w:val="0"/>
              <w:kinsoku/>
              <w:wordWrap/>
              <w:overflowPunct/>
              <w:topLinePunct w:val="0"/>
              <w:autoSpaceDE/>
              <w:autoSpaceDN/>
              <w:bidi w:val="0"/>
              <w:spacing w:line="360" w:lineRule="auto"/>
              <w:textAlignment w:val="auto"/>
              <w:rPr>
                <w:rFonts w:ascii="宋体" w:hAnsi="宋体" w:cs="宋体"/>
                <w:color w:val="auto"/>
                <w:sz w:val="22"/>
                <w:szCs w:val="22"/>
              </w:rPr>
            </w:pPr>
            <w:r>
              <w:rPr>
                <w:rFonts w:hint="eastAsia" w:ascii="宋体" w:hAnsi="宋体" w:cs="宋体"/>
                <w:color w:val="auto"/>
                <w:sz w:val="22"/>
                <w:szCs w:val="22"/>
              </w:rPr>
              <w:t>良：方案完整、可行性一般，得5分；</w:t>
            </w:r>
          </w:p>
          <w:p>
            <w:pPr>
              <w:keepNext w:val="0"/>
              <w:keepLines w:val="0"/>
              <w:pageBreakBefore w:val="0"/>
              <w:widowControl w:val="0"/>
              <w:kinsoku/>
              <w:wordWrap/>
              <w:overflowPunct/>
              <w:topLinePunct w:val="0"/>
              <w:autoSpaceDE/>
              <w:autoSpaceDN/>
              <w:bidi w:val="0"/>
              <w:spacing w:line="360" w:lineRule="auto"/>
              <w:textAlignment w:val="auto"/>
              <w:rPr>
                <w:rFonts w:ascii="宋体" w:hAnsi="宋体" w:cs="宋体"/>
                <w:color w:val="auto"/>
                <w:sz w:val="22"/>
                <w:szCs w:val="22"/>
              </w:rPr>
            </w:pPr>
            <w:r>
              <w:rPr>
                <w:rFonts w:hint="eastAsia" w:ascii="宋体" w:hAnsi="宋体" w:cs="宋体"/>
                <w:color w:val="auto"/>
                <w:sz w:val="22"/>
                <w:szCs w:val="22"/>
              </w:rPr>
              <w:t>差：方案基本完整、可行性较差，得2分；</w:t>
            </w:r>
          </w:p>
          <w:p>
            <w:pPr>
              <w:keepNext w:val="0"/>
              <w:keepLines w:val="0"/>
              <w:pageBreakBefore w:val="0"/>
              <w:widowControl w:val="0"/>
              <w:kinsoku/>
              <w:wordWrap/>
              <w:overflowPunct/>
              <w:topLinePunct w:val="0"/>
              <w:autoSpaceDE/>
              <w:autoSpaceDN/>
              <w:bidi w:val="0"/>
              <w:spacing w:line="360" w:lineRule="auto"/>
              <w:textAlignment w:val="auto"/>
              <w:rPr>
                <w:rFonts w:ascii="宋体" w:hAnsi="宋体" w:cs="宋体"/>
                <w:sz w:val="22"/>
                <w:szCs w:val="22"/>
              </w:rPr>
            </w:pPr>
            <w:r>
              <w:rPr>
                <w:rFonts w:hint="eastAsia" w:ascii="宋体" w:hAnsi="宋体" w:cs="宋体"/>
                <w:color w:val="auto"/>
                <w:sz w:val="22"/>
                <w:szCs w:val="22"/>
              </w:rPr>
              <w:t>无提供方案则不得分。</w:t>
            </w:r>
          </w:p>
        </w:tc>
        <w:tc>
          <w:tcPr>
            <w:tcW w:w="8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ascii="宋体" w:hAnsi="宋体" w:cs="宋体"/>
                <w:sz w:val="22"/>
                <w:szCs w:val="22"/>
                <w:lang w:bidi="ar"/>
              </w:rPr>
            </w:pPr>
            <w:r>
              <w:rPr>
                <w:rFonts w:hint="eastAsia" w:ascii="宋体" w:hAnsi="宋体" w:cs="宋体"/>
                <w:color w:val="auto"/>
                <w:sz w:val="22"/>
                <w:szCs w:val="22"/>
                <w:lang w:bidi="ar"/>
              </w:rPr>
              <w:t>8分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55" w:hRule="atLeast"/>
        </w:trPr>
        <w:tc>
          <w:tcPr>
            <w:tcW w:w="70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ascii="宋体" w:hAnsi="宋体" w:cs="宋体"/>
                <w:sz w:val="22"/>
                <w:szCs w:val="22"/>
                <w:lang w:bidi="ar"/>
              </w:rPr>
            </w:pPr>
            <w:r>
              <w:rPr>
                <w:rFonts w:hint="eastAsia" w:ascii="宋体" w:hAnsi="宋体" w:cs="宋体"/>
                <w:color w:val="auto"/>
                <w:sz w:val="22"/>
                <w:szCs w:val="22"/>
                <w:lang w:bidi="ar"/>
              </w:rPr>
              <w:t>4</w:t>
            </w:r>
          </w:p>
        </w:tc>
        <w:tc>
          <w:tcPr>
            <w:tcW w:w="1382"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cs="宋体"/>
                <w:sz w:val="22"/>
                <w:szCs w:val="22"/>
              </w:rPr>
            </w:pPr>
            <w:r>
              <w:rPr>
                <w:rFonts w:hint="eastAsia" w:ascii="宋体" w:hAnsi="宋体" w:cs="宋体"/>
                <w:color w:val="auto"/>
                <w:sz w:val="22"/>
                <w:szCs w:val="22"/>
              </w:rPr>
              <w:t>项目团队</w:t>
            </w:r>
          </w:p>
        </w:tc>
        <w:tc>
          <w:tcPr>
            <w:tcW w:w="63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spacing w:line="360" w:lineRule="auto"/>
              <w:textAlignment w:val="auto"/>
              <w:rPr>
                <w:rFonts w:ascii="宋体" w:hAnsi="宋体" w:cs="宋体"/>
                <w:color w:val="auto"/>
                <w:sz w:val="22"/>
                <w:szCs w:val="22"/>
              </w:rPr>
            </w:pPr>
            <w:r>
              <w:rPr>
                <w:rFonts w:hint="eastAsia" w:ascii="宋体" w:hAnsi="宋体" w:cs="宋体"/>
                <w:color w:val="auto"/>
                <w:sz w:val="22"/>
                <w:szCs w:val="22"/>
              </w:rPr>
              <w:t>项目负责人（项目经理）有不少于10年的企业供应链或招标采购系统项目管理经验，具备组织协调本项目相关资源能力，具备高级项目经理证书或PMP管理证书：</w:t>
            </w:r>
          </w:p>
          <w:p>
            <w:pPr>
              <w:keepNext w:val="0"/>
              <w:keepLines w:val="0"/>
              <w:pageBreakBefore w:val="0"/>
              <w:widowControl w:val="0"/>
              <w:numPr>
                <w:ilvl w:val="0"/>
                <w:numId w:val="0"/>
              </w:numPr>
              <w:kinsoku/>
              <w:wordWrap/>
              <w:overflowPunct/>
              <w:topLinePunct w:val="0"/>
              <w:autoSpaceDE/>
              <w:autoSpaceDN/>
              <w:bidi w:val="0"/>
              <w:spacing w:line="360" w:lineRule="auto"/>
              <w:textAlignment w:val="auto"/>
              <w:rPr>
                <w:rFonts w:ascii="宋体" w:hAnsi="宋体" w:cs="宋体"/>
                <w:color w:val="auto"/>
                <w:sz w:val="22"/>
                <w:szCs w:val="22"/>
              </w:rPr>
            </w:pPr>
            <w:r>
              <w:rPr>
                <w:rFonts w:hint="eastAsia" w:ascii="宋体" w:hAnsi="宋体" w:cs="宋体"/>
                <w:color w:val="auto"/>
                <w:sz w:val="22"/>
                <w:szCs w:val="22"/>
              </w:rPr>
              <w:t>满足要求的：2分；</w:t>
            </w:r>
          </w:p>
          <w:p>
            <w:pPr>
              <w:keepNext w:val="0"/>
              <w:keepLines w:val="0"/>
              <w:pageBreakBefore w:val="0"/>
              <w:widowControl w:val="0"/>
              <w:numPr>
                <w:ilvl w:val="0"/>
                <w:numId w:val="0"/>
              </w:numPr>
              <w:kinsoku/>
              <w:wordWrap/>
              <w:overflowPunct/>
              <w:topLinePunct w:val="0"/>
              <w:autoSpaceDE/>
              <w:autoSpaceDN/>
              <w:bidi w:val="0"/>
              <w:spacing w:line="360" w:lineRule="auto"/>
              <w:textAlignment w:val="auto"/>
              <w:rPr>
                <w:rFonts w:ascii="宋体" w:hAnsi="宋体" w:cs="宋体"/>
                <w:color w:val="auto"/>
                <w:sz w:val="22"/>
                <w:szCs w:val="22"/>
              </w:rPr>
            </w:pPr>
            <w:r>
              <w:rPr>
                <w:rFonts w:hint="eastAsia" w:ascii="宋体" w:hAnsi="宋体" w:cs="宋体"/>
                <w:color w:val="auto"/>
                <w:sz w:val="22"/>
                <w:szCs w:val="22"/>
              </w:rPr>
              <w:t>不满足要求的：0分。</w:t>
            </w:r>
          </w:p>
          <w:p>
            <w:pPr>
              <w:keepNext w:val="0"/>
              <w:keepLines w:val="0"/>
              <w:pageBreakBefore w:val="0"/>
              <w:widowControl w:val="0"/>
              <w:kinsoku/>
              <w:wordWrap/>
              <w:overflowPunct/>
              <w:topLinePunct w:val="0"/>
              <w:autoSpaceDE/>
              <w:autoSpaceDN/>
              <w:bidi w:val="0"/>
              <w:spacing w:line="360" w:lineRule="auto"/>
              <w:textAlignment w:val="auto"/>
              <w:rPr>
                <w:rFonts w:ascii="宋体" w:hAnsi="宋体" w:cs="宋体"/>
                <w:color w:val="auto"/>
                <w:sz w:val="22"/>
                <w:szCs w:val="22"/>
              </w:rPr>
            </w:pPr>
            <w:r>
              <w:rPr>
                <w:rFonts w:hint="eastAsia" w:ascii="宋体" w:hAnsi="宋体" w:cs="宋体"/>
                <w:color w:val="auto"/>
                <w:sz w:val="22"/>
                <w:szCs w:val="22"/>
              </w:rPr>
              <w:t>2、项目拟派团队成员投入情况及人员：具备5年或以上供应链或招标采购项目经验，具备资质情况及职责安排合理，团队成员具有PMP证书或由中华人民共和国人力资源和社会保障部、工业和信息化部颁发的计算机技术与软件专业技术资格（水平）中级或以上证书（专业不限）5名或以上。</w:t>
            </w:r>
          </w:p>
          <w:p>
            <w:pPr>
              <w:keepNext w:val="0"/>
              <w:keepLines w:val="0"/>
              <w:pageBreakBefore w:val="0"/>
              <w:widowControl w:val="0"/>
              <w:kinsoku/>
              <w:wordWrap/>
              <w:overflowPunct/>
              <w:topLinePunct w:val="0"/>
              <w:autoSpaceDE/>
              <w:autoSpaceDN/>
              <w:bidi w:val="0"/>
              <w:spacing w:line="360" w:lineRule="auto"/>
              <w:textAlignment w:val="auto"/>
              <w:rPr>
                <w:rFonts w:ascii="宋体" w:hAnsi="宋体" w:cs="宋体"/>
                <w:color w:val="auto"/>
                <w:sz w:val="22"/>
                <w:szCs w:val="22"/>
              </w:rPr>
            </w:pPr>
            <w:r>
              <w:rPr>
                <w:rFonts w:hint="eastAsia" w:ascii="宋体" w:hAnsi="宋体" w:cs="宋体"/>
                <w:color w:val="auto"/>
                <w:sz w:val="22"/>
                <w:szCs w:val="22"/>
              </w:rPr>
              <w:t>（1）满足要求的：3分；</w:t>
            </w:r>
          </w:p>
          <w:p>
            <w:pPr>
              <w:keepNext w:val="0"/>
              <w:keepLines w:val="0"/>
              <w:pageBreakBefore w:val="0"/>
              <w:widowControl w:val="0"/>
              <w:kinsoku/>
              <w:wordWrap/>
              <w:overflowPunct/>
              <w:topLinePunct w:val="0"/>
              <w:autoSpaceDE/>
              <w:autoSpaceDN/>
              <w:bidi w:val="0"/>
              <w:spacing w:line="360" w:lineRule="auto"/>
              <w:textAlignment w:val="auto"/>
              <w:rPr>
                <w:rFonts w:ascii="宋体" w:hAnsi="宋体" w:cs="宋体"/>
                <w:color w:val="auto"/>
                <w:sz w:val="22"/>
                <w:szCs w:val="22"/>
              </w:rPr>
            </w:pPr>
            <w:r>
              <w:rPr>
                <w:rFonts w:hint="eastAsia" w:ascii="宋体" w:hAnsi="宋体" w:cs="宋体"/>
                <w:color w:val="auto"/>
                <w:sz w:val="22"/>
                <w:szCs w:val="22"/>
              </w:rPr>
              <w:t>（2）不满足要求的：0分。</w:t>
            </w:r>
          </w:p>
          <w:p>
            <w:pPr>
              <w:keepNext w:val="0"/>
              <w:keepLines w:val="0"/>
              <w:pageBreakBefore w:val="0"/>
              <w:widowControl w:val="0"/>
              <w:kinsoku/>
              <w:wordWrap/>
              <w:overflowPunct/>
              <w:topLinePunct w:val="0"/>
              <w:autoSpaceDE/>
              <w:autoSpaceDN/>
              <w:bidi w:val="0"/>
              <w:spacing w:line="360" w:lineRule="auto"/>
              <w:textAlignment w:val="auto"/>
              <w:rPr>
                <w:rFonts w:ascii="宋体" w:hAnsi="宋体" w:cs="宋体"/>
                <w:color w:val="auto"/>
                <w:sz w:val="22"/>
                <w:szCs w:val="22"/>
              </w:rPr>
            </w:pPr>
            <w:r>
              <w:rPr>
                <w:rFonts w:hint="eastAsia" w:ascii="宋体" w:hAnsi="宋体" w:cs="宋体"/>
                <w:color w:val="auto"/>
                <w:sz w:val="22"/>
                <w:szCs w:val="22"/>
              </w:rPr>
              <w:t>注：</w:t>
            </w:r>
          </w:p>
          <w:p>
            <w:pPr>
              <w:keepNext w:val="0"/>
              <w:keepLines w:val="0"/>
              <w:pageBreakBefore w:val="0"/>
              <w:widowControl w:val="0"/>
              <w:kinsoku/>
              <w:wordWrap/>
              <w:overflowPunct/>
              <w:topLinePunct w:val="0"/>
              <w:autoSpaceDE/>
              <w:autoSpaceDN/>
              <w:bidi w:val="0"/>
              <w:spacing w:line="360" w:lineRule="auto"/>
              <w:textAlignment w:val="auto"/>
              <w:rPr>
                <w:rFonts w:ascii="宋体" w:hAnsi="宋体" w:cs="宋体"/>
                <w:b/>
                <w:color w:val="auto"/>
                <w:sz w:val="22"/>
                <w:szCs w:val="22"/>
              </w:rPr>
            </w:pPr>
            <w:r>
              <w:rPr>
                <w:rFonts w:hint="eastAsia" w:ascii="宋体" w:hAnsi="宋体" w:cs="宋体"/>
                <w:b/>
                <w:color w:val="auto"/>
                <w:sz w:val="22"/>
                <w:szCs w:val="22"/>
              </w:rPr>
              <w:t>①项目经验需提供项目组成员承担过双方签章的合同证明复印件（签订日期、双方签字、盖章）并加盖投标人公章，否则评审时不予认可。</w:t>
            </w:r>
          </w:p>
          <w:p>
            <w:pPr>
              <w:keepNext w:val="0"/>
              <w:keepLines w:val="0"/>
              <w:pageBreakBefore w:val="0"/>
              <w:widowControl w:val="0"/>
              <w:kinsoku/>
              <w:wordWrap/>
              <w:overflowPunct/>
              <w:topLinePunct w:val="0"/>
              <w:autoSpaceDE/>
              <w:autoSpaceDN/>
              <w:bidi w:val="0"/>
              <w:spacing w:line="360" w:lineRule="auto"/>
              <w:textAlignment w:val="auto"/>
              <w:rPr>
                <w:rFonts w:ascii="宋体" w:hAnsi="宋体" w:cs="宋体"/>
                <w:sz w:val="22"/>
                <w:szCs w:val="22"/>
              </w:rPr>
            </w:pPr>
            <w:r>
              <w:rPr>
                <w:rFonts w:hint="eastAsia" w:ascii="宋体" w:hAnsi="宋体" w:cs="宋体"/>
                <w:b/>
                <w:color w:val="auto"/>
                <w:sz w:val="22"/>
                <w:szCs w:val="22"/>
              </w:rPr>
              <w:t>②</w:t>
            </w:r>
            <w:r>
              <w:rPr>
                <w:rFonts w:hint="eastAsia" w:ascii="宋体" w:hAnsi="宋体" w:eastAsia="宋体" w:cs="宋体"/>
                <w:b/>
                <w:color w:val="auto"/>
                <w:kern w:val="2"/>
                <w:sz w:val="22"/>
                <w:szCs w:val="22"/>
                <w:highlight w:val="none"/>
                <w:lang w:val="en-US" w:eastAsia="zh-CN" w:bidi="ar"/>
              </w:rPr>
              <w:t>投标文件中须提供拟投入本项目的团队</w:t>
            </w:r>
            <w:r>
              <w:rPr>
                <w:rFonts w:hint="eastAsia" w:ascii="宋体" w:hAnsi="宋体" w:cs="宋体"/>
                <w:b/>
                <w:color w:val="auto"/>
                <w:kern w:val="2"/>
                <w:sz w:val="22"/>
                <w:szCs w:val="22"/>
                <w:highlight w:val="none"/>
                <w:lang w:val="en-US" w:eastAsia="zh-CN" w:bidi="ar"/>
              </w:rPr>
              <w:t>人员</w:t>
            </w:r>
            <w:r>
              <w:rPr>
                <w:rFonts w:hint="eastAsia" w:ascii="宋体" w:hAnsi="宋体" w:eastAsia="宋体" w:cs="宋体"/>
                <w:b/>
                <w:color w:val="auto"/>
                <w:kern w:val="2"/>
                <w:sz w:val="22"/>
                <w:szCs w:val="22"/>
                <w:highlight w:val="none"/>
                <w:lang w:val="en-US" w:eastAsia="zh-CN" w:bidi="ar"/>
              </w:rPr>
              <w:t>名单及上述证书复印件、</w:t>
            </w:r>
            <w:r>
              <w:rPr>
                <w:rFonts w:hint="eastAsia" w:ascii="宋体" w:hAnsi="宋体" w:eastAsia="宋体" w:cs="宋体"/>
                <w:b/>
                <w:bCs w:val="0"/>
                <w:color w:val="auto"/>
                <w:kern w:val="2"/>
                <w:sz w:val="22"/>
                <w:szCs w:val="22"/>
                <w:highlight w:val="none"/>
                <w:lang w:val="en-US" w:eastAsia="zh-CN" w:bidi="ar"/>
              </w:rPr>
              <w:t>社保机构出具的投标截止日前不含投标当月的投标人为其缴纳的近三个月的社保证明复印件</w:t>
            </w:r>
            <w:r>
              <w:rPr>
                <w:rFonts w:hint="eastAsia" w:ascii="宋体" w:hAnsi="宋体" w:eastAsia="宋体" w:cs="宋体"/>
                <w:b/>
                <w:bCs/>
                <w:color w:val="auto"/>
                <w:kern w:val="2"/>
                <w:sz w:val="22"/>
                <w:szCs w:val="22"/>
                <w:highlight w:val="none"/>
                <w:lang w:val="en-US" w:eastAsia="zh-CN" w:bidi="ar"/>
              </w:rPr>
              <w:t>加盖投标人公章</w:t>
            </w:r>
            <w:r>
              <w:rPr>
                <w:rFonts w:hint="eastAsia" w:ascii="宋体" w:hAnsi="宋体" w:cs="宋体"/>
                <w:b/>
                <w:color w:val="auto"/>
                <w:sz w:val="22"/>
                <w:szCs w:val="22"/>
              </w:rPr>
              <w:t>，否则评审时不予认可。</w:t>
            </w:r>
          </w:p>
        </w:tc>
        <w:tc>
          <w:tcPr>
            <w:tcW w:w="8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ascii="宋体" w:hAnsi="宋体" w:cs="宋体"/>
                <w:sz w:val="22"/>
                <w:szCs w:val="22"/>
                <w:lang w:bidi="ar"/>
              </w:rPr>
            </w:pPr>
            <w:r>
              <w:rPr>
                <w:rFonts w:hint="eastAsia" w:ascii="宋体" w:hAnsi="宋体" w:cs="宋体"/>
                <w:color w:val="auto"/>
                <w:sz w:val="22"/>
                <w:szCs w:val="22"/>
                <w:lang w:bidi="ar"/>
              </w:rPr>
              <w:t>5分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34" w:hRule="atLeast"/>
        </w:trPr>
        <w:tc>
          <w:tcPr>
            <w:tcW w:w="709" w:type="dxa"/>
            <w:vMerge w:val="restart"/>
            <w:tcBorders>
              <w:top w:val="nil"/>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ascii="宋体" w:hAnsi="宋体" w:cs="宋体"/>
                <w:sz w:val="22"/>
                <w:szCs w:val="22"/>
                <w:lang w:bidi="ar"/>
              </w:rPr>
            </w:pPr>
            <w:r>
              <w:rPr>
                <w:rFonts w:hint="eastAsia" w:ascii="宋体" w:hAnsi="宋体" w:cs="宋体"/>
                <w:color w:val="auto"/>
                <w:sz w:val="22"/>
                <w:szCs w:val="22"/>
                <w:lang w:bidi="ar"/>
              </w:rPr>
              <w:t>5</w:t>
            </w:r>
          </w:p>
        </w:tc>
        <w:tc>
          <w:tcPr>
            <w:tcW w:w="1382" w:type="dxa"/>
            <w:vMerge w:val="restart"/>
            <w:tcBorders>
              <w:top w:val="nil"/>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cs="宋体"/>
                <w:sz w:val="22"/>
                <w:szCs w:val="22"/>
              </w:rPr>
            </w:pPr>
            <w:r>
              <w:rPr>
                <w:rFonts w:hint="eastAsia" w:ascii="宋体" w:hAnsi="宋体" w:cs="宋体"/>
                <w:color w:val="auto"/>
                <w:sz w:val="22"/>
                <w:szCs w:val="22"/>
              </w:rPr>
              <w:t>系统演示</w:t>
            </w:r>
          </w:p>
        </w:tc>
        <w:tc>
          <w:tcPr>
            <w:tcW w:w="63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right="-34"/>
              <w:textAlignment w:val="auto"/>
              <w:rPr>
                <w:rFonts w:ascii="宋体" w:hAnsi="宋体" w:cs="宋体"/>
                <w:color w:val="auto"/>
                <w:sz w:val="22"/>
                <w:szCs w:val="22"/>
              </w:rPr>
            </w:pPr>
            <w:r>
              <w:rPr>
                <w:rFonts w:hint="eastAsia" w:ascii="宋体" w:hAnsi="宋体" w:cs="宋体"/>
                <w:color w:val="auto"/>
                <w:sz w:val="22"/>
                <w:szCs w:val="22"/>
              </w:rPr>
              <w:t>1、功能演示，16分。按用户需求书中的功能模块【招标采购过程管理（1个）</w:t>
            </w:r>
            <w:r>
              <w:rPr>
                <w:rFonts w:hint="eastAsia" w:ascii="宋体" w:hAnsi="宋体" w:cs="宋体"/>
                <w:color w:val="auto"/>
                <w:sz w:val="22"/>
                <w:szCs w:val="22"/>
                <w:lang w:eastAsia="zh-CN"/>
              </w:rPr>
              <w:t>、</w:t>
            </w:r>
            <w:r>
              <w:rPr>
                <w:rFonts w:hint="eastAsia" w:ascii="宋体" w:hAnsi="宋体" w:cs="宋体"/>
                <w:color w:val="auto"/>
                <w:sz w:val="22"/>
                <w:szCs w:val="22"/>
              </w:rPr>
              <w:t>非招标采购过程管理（1个）、商城系统（1个）、合同履约管理系统（1个）、归档管理系统（1个）、采购监督管理（1个）、供应商管理及考评（1个）、专家管理及考评（1个）共8个功能模块】进行演示，不能完全满足的扣2分/个，16分扣完为止。</w:t>
            </w:r>
          </w:p>
          <w:p>
            <w:pPr>
              <w:keepNext w:val="0"/>
              <w:keepLines w:val="0"/>
              <w:pageBreakBefore w:val="0"/>
              <w:widowControl w:val="0"/>
              <w:kinsoku/>
              <w:wordWrap/>
              <w:overflowPunct/>
              <w:topLinePunct w:val="0"/>
              <w:autoSpaceDE/>
              <w:autoSpaceDN/>
              <w:bidi w:val="0"/>
              <w:spacing w:line="360" w:lineRule="auto"/>
              <w:ind w:right="-34"/>
              <w:textAlignment w:val="auto"/>
              <w:rPr>
                <w:rFonts w:ascii="宋体" w:hAnsi="宋体" w:cs="宋体"/>
                <w:b/>
                <w:color w:val="auto"/>
                <w:sz w:val="22"/>
                <w:szCs w:val="22"/>
              </w:rPr>
            </w:pPr>
            <w:r>
              <w:rPr>
                <w:rFonts w:hint="eastAsia" w:ascii="宋体" w:hAnsi="宋体" w:cs="宋体"/>
                <w:b/>
                <w:color w:val="auto"/>
                <w:sz w:val="22"/>
                <w:szCs w:val="22"/>
                <w:lang w:val="en-US" w:eastAsia="zh-CN"/>
              </w:rPr>
              <w:t>无</w:t>
            </w:r>
            <w:r>
              <w:rPr>
                <w:rFonts w:hint="eastAsia" w:ascii="宋体" w:hAnsi="宋体" w:cs="宋体"/>
                <w:b/>
                <w:color w:val="auto"/>
                <w:sz w:val="22"/>
                <w:szCs w:val="22"/>
              </w:rPr>
              <w:t>演示</w:t>
            </w:r>
            <w:r>
              <w:rPr>
                <w:rFonts w:hint="eastAsia" w:ascii="宋体" w:hAnsi="宋体" w:cs="宋体"/>
                <w:b/>
                <w:color w:val="auto"/>
                <w:sz w:val="22"/>
                <w:szCs w:val="22"/>
                <w:lang w:val="en-US" w:eastAsia="zh-CN"/>
              </w:rPr>
              <w:t>得</w:t>
            </w:r>
            <w:r>
              <w:rPr>
                <w:rFonts w:hint="eastAsia" w:ascii="宋体" w:hAnsi="宋体" w:cs="宋体"/>
                <w:b/>
                <w:color w:val="auto"/>
                <w:sz w:val="22"/>
                <w:szCs w:val="22"/>
              </w:rPr>
              <w:t xml:space="preserve">0分。 </w:t>
            </w:r>
          </w:p>
          <w:p>
            <w:pPr>
              <w:keepNext w:val="0"/>
              <w:keepLines w:val="0"/>
              <w:pageBreakBefore w:val="0"/>
              <w:widowControl w:val="0"/>
              <w:kinsoku/>
              <w:wordWrap/>
              <w:overflowPunct/>
              <w:topLinePunct w:val="0"/>
              <w:autoSpaceDE/>
              <w:autoSpaceDN/>
              <w:bidi w:val="0"/>
              <w:spacing w:line="360" w:lineRule="auto"/>
              <w:ind w:right="-34"/>
              <w:textAlignment w:val="auto"/>
              <w:rPr>
                <w:rFonts w:hint="eastAsia" w:ascii="宋体" w:hAnsi="宋体" w:eastAsia="宋体" w:cs="宋体"/>
                <w:b/>
                <w:bCs/>
                <w:color w:val="auto"/>
                <w:sz w:val="22"/>
                <w:szCs w:val="22"/>
              </w:rPr>
            </w:pPr>
            <w:r>
              <w:rPr>
                <w:rFonts w:hint="eastAsia" w:ascii="宋体" w:hAnsi="宋体" w:cs="宋体"/>
                <w:b/>
                <w:color w:val="auto"/>
                <w:sz w:val="22"/>
                <w:szCs w:val="22"/>
              </w:rPr>
              <w:t>注：</w:t>
            </w:r>
            <w:r>
              <w:rPr>
                <w:rFonts w:hint="eastAsia" w:ascii="宋体" w:hAnsi="宋体" w:eastAsia="宋体" w:cs="宋体"/>
                <w:color w:val="auto"/>
                <w:sz w:val="22"/>
                <w:szCs w:val="22"/>
              </w:rPr>
              <w:t>1、投标人须在现场对</w:t>
            </w:r>
            <w:r>
              <w:rPr>
                <w:rFonts w:hint="eastAsia" w:ascii="宋体" w:hAnsi="宋体" w:cs="宋体"/>
                <w:color w:val="auto"/>
                <w:sz w:val="22"/>
                <w:szCs w:val="22"/>
                <w:lang w:val="en-US" w:eastAsia="zh-CN"/>
              </w:rPr>
              <w:t>上述功能模块</w:t>
            </w:r>
            <w:r>
              <w:rPr>
                <w:rFonts w:hint="eastAsia" w:ascii="宋体" w:hAnsi="宋体" w:eastAsia="宋体" w:cs="宋体"/>
                <w:color w:val="auto"/>
                <w:sz w:val="22"/>
                <w:szCs w:val="22"/>
              </w:rPr>
              <w:t>（共8项）进行演示（演示时间10分钟），要求如下：</w:t>
            </w:r>
          </w:p>
          <w:p>
            <w:pPr>
              <w:pStyle w:val="98"/>
              <w:keepNext w:val="0"/>
              <w:keepLines w:val="0"/>
              <w:pageBreakBefore w:val="0"/>
              <w:widowControl w:val="0"/>
              <w:kinsoku/>
              <w:wordWrap/>
              <w:overflowPunct/>
              <w:topLinePunct w:val="0"/>
              <w:autoSpaceDE/>
              <w:autoSpaceDN/>
              <w:bidi w:val="0"/>
              <w:adjustRightInd w:val="0"/>
              <w:snapToGrid w:val="0"/>
              <w:spacing w:after="0"/>
              <w:ind w:firstLine="42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2、投标人需现场提供软件或设备现场演示供专家评审，现场对演示点进行逐条演示，必须使用系统环境演示，PPT、Word、录制视频等演示方式不得分。</w:t>
            </w:r>
          </w:p>
          <w:p>
            <w:pPr>
              <w:pStyle w:val="98"/>
              <w:keepNext w:val="0"/>
              <w:keepLines w:val="0"/>
              <w:pageBreakBefore w:val="0"/>
              <w:widowControl w:val="0"/>
              <w:kinsoku/>
              <w:wordWrap/>
              <w:overflowPunct/>
              <w:topLinePunct w:val="0"/>
              <w:autoSpaceDE/>
              <w:autoSpaceDN/>
              <w:bidi w:val="0"/>
              <w:adjustRightInd w:val="0"/>
              <w:snapToGrid w:val="0"/>
              <w:spacing w:after="0"/>
              <w:ind w:firstLine="42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3、演示时间：现场计时，不得超过1</w:t>
            </w:r>
            <w:r>
              <w:rPr>
                <w:rFonts w:hint="eastAsia" w:ascii="宋体" w:hAnsi="宋体" w:eastAsia="宋体" w:cs="宋体"/>
                <w:color w:val="auto"/>
                <w:sz w:val="22"/>
                <w:szCs w:val="22"/>
                <w:lang w:val="en-US" w:eastAsia="zh-CN"/>
              </w:rPr>
              <w:t>0</w:t>
            </w:r>
            <w:r>
              <w:rPr>
                <w:rFonts w:hint="eastAsia" w:ascii="宋体" w:hAnsi="宋体" w:eastAsia="宋体" w:cs="宋体"/>
                <w:color w:val="auto"/>
                <w:sz w:val="22"/>
                <w:szCs w:val="22"/>
              </w:rPr>
              <w:t>分钟，在规定时间内演示，超过演示时间则停止演示。</w:t>
            </w:r>
          </w:p>
          <w:p>
            <w:pPr>
              <w:pStyle w:val="98"/>
              <w:keepNext w:val="0"/>
              <w:keepLines w:val="0"/>
              <w:pageBreakBefore w:val="0"/>
              <w:widowControl w:val="0"/>
              <w:kinsoku/>
              <w:wordWrap/>
              <w:overflowPunct/>
              <w:topLinePunct w:val="0"/>
              <w:autoSpaceDE/>
              <w:autoSpaceDN/>
              <w:bidi w:val="0"/>
              <w:adjustRightInd w:val="0"/>
              <w:snapToGrid w:val="0"/>
              <w:spacing w:after="0"/>
              <w:ind w:firstLine="42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4、演示设备：电脑及相关演示设备供应商自带（投影仪投标现场已具备，供应商不需另行准备）。</w:t>
            </w:r>
          </w:p>
          <w:p>
            <w:pPr>
              <w:pStyle w:val="98"/>
              <w:keepNext w:val="0"/>
              <w:keepLines w:val="0"/>
              <w:pageBreakBefore w:val="0"/>
              <w:widowControl w:val="0"/>
              <w:kinsoku/>
              <w:wordWrap/>
              <w:overflowPunct/>
              <w:topLinePunct w:val="0"/>
              <w:autoSpaceDE/>
              <w:autoSpaceDN/>
              <w:bidi w:val="0"/>
              <w:adjustRightInd w:val="0"/>
              <w:snapToGrid w:val="0"/>
              <w:spacing w:after="0"/>
              <w:ind w:firstLine="440" w:firstLineChars="200"/>
              <w:textAlignment w:val="auto"/>
              <w:rPr>
                <w:rFonts w:ascii="宋体" w:hAnsi="宋体"/>
                <w:sz w:val="22"/>
                <w:szCs w:val="22"/>
              </w:rPr>
            </w:pPr>
            <w:r>
              <w:rPr>
                <w:rFonts w:hint="eastAsia" w:ascii="宋体" w:hAnsi="宋体" w:eastAsia="宋体" w:cs="宋体"/>
                <w:color w:val="auto"/>
                <w:sz w:val="22"/>
                <w:szCs w:val="22"/>
              </w:rPr>
              <w:t>5、演示顺序：按投标人递交投标文件的签到顺序。</w:t>
            </w:r>
          </w:p>
        </w:tc>
        <w:tc>
          <w:tcPr>
            <w:tcW w:w="8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ascii="宋体" w:hAnsi="宋体" w:cs="宋体"/>
                <w:sz w:val="22"/>
                <w:szCs w:val="22"/>
                <w:lang w:bidi="ar"/>
              </w:rPr>
            </w:pPr>
            <w:r>
              <w:rPr>
                <w:rFonts w:hint="eastAsia" w:ascii="宋体" w:hAnsi="宋体" w:cs="宋体"/>
                <w:color w:val="auto"/>
                <w:sz w:val="22"/>
                <w:szCs w:val="22"/>
                <w:lang w:bidi="ar"/>
              </w:rPr>
              <w:t>16分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34" w:hRule="atLeast"/>
        </w:trPr>
        <w:tc>
          <w:tcPr>
            <w:tcW w:w="70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sz w:val="22"/>
                <w:szCs w:val="22"/>
              </w:rPr>
            </w:pPr>
          </w:p>
        </w:tc>
        <w:tc>
          <w:tcPr>
            <w:tcW w:w="138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sz w:val="22"/>
                <w:szCs w:val="22"/>
              </w:rPr>
            </w:pPr>
          </w:p>
        </w:tc>
        <w:tc>
          <w:tcPr>
            <w:tcW w:w="63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right="-34"/>
              <w:textAlignment w:val="auto"/>
              <w:rPr>
                <w:rFonts w:ascii="宋体" w:hAnsi="宋体" w:cs="宋体"/>
                <w:color w:val="auto"/>
                <w:sz w:val="22"/>
                <w:szCs w:val="22"/>
              </w:rPr>
            </w:pPr>
            <w:r>
              <w:rPr>
                <w:rFonts w:hint="eastAsia" w:ascii="宋体" w:hAnsi="宋体" w:cs="宋体"/>
                <w:color w:val="auto"/>
                <w:sz w:val="22"/>
                <w:szCs w:val="22"/>
              </w:rPr>
              <w:t>2、根据拟投入本项目的项目负责人或团队主要成员到现场演示内容的表现进行打分（必须为项目团队成员，否则不得分）：</w:t>
            </w:r>
          </w:p>
          <w:p>
            <w:pPr>
              <w:keepNext w:val="0"/>
              <w:keepLines w:val="0"/>
              <w:pageBreakBefore w:val="0"/>
              <w:widowControl w:val="0"/>
              <w:kinsoku/>
              <w:wordWrap/>
              <w:overflowPunct/>
              <w:topLinePunct w:val="0"/>
              <w:autoSpaceDE/>
              <w:autoSpaceDN/>
              <w:bidi w:val="0"/>
              <w:spacing w:line="360" w:lineRule="auto"/>
              <w:ind w:right="-34"/>
              <w:textAlignment w:val="auto"/>
              <w:rPr>
                <w:rFonts w:ascii="宋体" w:hAnsi="宋体" w:cs="宋体"/>
                <w:color w:val="auto"/>
                <w:sz w:val="22"/>
                <w:szCs w:val="22"/>
              </w:rPr>
            </w:pPr>
            <w:r>
              <w:rPr>
                <w:rFonts w:hint="eastAsia" w:ascii="宋体" w:hAnsi="宋体" w:cs="宋体"/>
                <w:color w:val="auto"/>
                <w:sz w:val="22"/>
                <w:szCs w:val="22"/>
              </w:rPr>
              <w:t>演示内容准备充分、表述清晰、逻辑性强得10分；</w:t>
            </w:r>
          </w:p>
          <w:p>
            <w:pPr>
              <w:keepNext w:val="0"/>
              <w:keepLines w:val="0"/>
              <w:pageBreakBefore w:val="0"/>
              <w:widowControl w:val="0"/>
              <w:kinsoku/>
              <w:wordWrap/>
              <w:overflowPunct/>
              <w:topLinePunct w:val="0"/>
              <w:autoSpaceDE/>
              <w:autoSpaceDN/>
              <w:bidi w:val="0"/>
              <w:spacing w:line="360" w:lineRule="auto"/>
              <w:ind w:right="-34"/>
              <w:textAlignment w:val="auto"/>
              <w:rPr>
                <w:rFonts w:ascii="宋体" w:hAnsi="宋体" w:cs="宋体"/>
                <w:color w:val="auto"/>
                <w:sz w:val="22"/>
                <w:szCs w:val="22"/>
              </w:rPr>
            </w:pPr>
            <w:r>
              <w:rPr>
                <w:rFonts w:hint="eastAsia" w:ascii="宋体" w:hAnsi="宋体" w:cs="宋体"/>
                <w:color w:val="auto"/>
                <w:sz w:val="22"/>
                <w:szCs w:val="22"/>
              </w:rPr>
              <w:t>演示内容准备一般、表述较为清晰、逻辑性一般得7分；</w:t>
            </w:r>
          </w:p>
          <w:p>
            <w:pPr>
              <w:keepNext w:val="0"/>
              <w:keepLines w:val="0"/>
              <w:pageBreakBefore w:val="0"/>
              <w:widowControl w:val="0"/>
              <w:kinsoku/>
              <w:wordWrap/>
              <w:overflowPunct/>
              <w:topLinePunct w:val="0"/>
              <w:autoSpaceDE/>
              <w:autoSpaceDN/>
              <w:bidi w:val="0"/>
              <w:spacing w:line="360" w:lineRule="auto"/>
              <w:ind w:right="-34"/>
              <w:textAlignment w:val="auto"/>
              <w:rPr>
                <w:rFonts w:ascii="宋体" w:hAnsi="宋体" w:cs="宋体"/>
                <w:color w:val="auto"/>
                <w:sz w:val="22"/>
                <w:szCs w:val="22"/>
              </w:rPr>
            </w:pPr>
            <w:r>
              <w:rPr>
                <w:rFonts w:hint="eastAsia" w:ascii="宋体" w:hAnsi="宋体" w:cs="宋体"/>
                <w:color w:val="auto"/>
                <w:sz w:val="22"/>
                <w:szCs w:val="22"/>
              </w:rPr>
              <w:t>演示内容准备较差、表述一般、逻辑性差得5分；</w:t>
            </w:r>
          </w:p>
          <w:p>
            <w:pPr>
              <w:keepNext w:val="0"/>
              <w:keepLines w:val="0"/>
              <w:pageBreakBefore w:val="0"/>
              <w:widowControl w:val="0"/>
              <w:kinsoku/>
              <w:wordWrap/>
              <w:overflowPunct/>
              <w:topLinePunct w:val="0"/>
              <w:autoSpaceDE/>
              <w:autoSpaceDN/>
              <w:bidi w:val="0"/>
              <w:spacing w:line="360" w:lineRule="auto"/>
              <w:ind w:right="-34"/>
              <w:textAlignment w:val="auto"/>
              <w:rPr>
                <w:rFonts w:hint="eastAsia" w:ascii="宋体" w:hAnsi="宋体" w:eastAsia="宋体" w:cs="宋体"/>
                <w:color w:val="auto"/>
                <w:sz w:val="22"/>
                <w:szCs w:val="22"/>
                <w:lang w:eastAsia="zh-CN"/>
              </w:rPr>
            </w:pPr>
            <w:r>
              <w:rPr>
                <w:rFonts w:hint="eastAsia" w:ascii="宋体" w:hAnsi="宋体" w:cs="宋体"/>
                <w:color w:val="auto"/>
                <w:sz w:val="22"/>
                <w:szCs w:val="22"/>
              </w:rPr>
              <w:t>演示内容准备差、表述差、逻辑性差得1分</w:t>
            </w:r>
            <w:r>
              <w:rPr>
                <w:rFonts w:hint="eastAsia" w:ascii="宋体" w:hAnsi="宋体" w:cs="宋体"/>
                <w:color w:val="auto"/>
                <w:sz w:val="22"/>
                <w:szCs w:val="22"/>
                <w:lang w:eastAsia="zh-CN"/>
              </w:rPr>
              <w:t>。</w:t>
            </w:r>
          </w:p>
          <w:p>
            <w:pPr>
              <w:keepNext w:val="0"/>
              <w:keepLines w:val="0"/>
              <w:pageBreakBefore w:val="0"/>
              <w:widowControl w:val="0"/>
              <w:kinsoku/>
              <w:wordWrap/>
              <w:overflowPunct/>
              <w:topLinePunct w:val="0"/>
              <w:autoSpaceDE/>
              <w:autoSpaceDN/>
              <w:bidi w:val="0"/>
              <w:spacing w:line="360" w:lineRule="auto"/>
              <w:ind w:right="-34" w:rightChars="0"/>
              <w:textAlignment w:val="auto"/>
              <w:rPr>
                <w:sz w:val="22"/>
                <w:szCs w:val="22"/>
              </w:rPr>
            </w:pPr>
            <w:r>
              <w:rPr>
                <w:rFonts w:hint="eastAsia" w:ascii="宋体" w:hAnsi="宋体" w:cs="宋体"/>
                <w:color w:val="auto"/>
                <w:sz w:val="22"/>
                <w:szCs w:val="22"/>
                <w:lang w:val="en-US" w:eastAsia="zh-CN"/>
              </w:rPr>
              <w:t>其他情况得0分</w:t>
            </w:r>
            <w:r>
              <w:rPr>
                <w:rFonts w:hint="eastAsia" w:ascii="宋体" w:hAnsi="宋体" w:cs="宋体"/>
                <w:color w:val="auto"/>
                <w:sz w:val="22"/>
                <w:szCs w:val="22"/>
              </w:rPr>
              <w:t>。</w:t>
            </w:r>
          </w:p>
        </w:tc>
        <w:tc>
          <w:tcPr>
            <w:tcW w:w="8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ascii="宋体" w:hAnsi="宋体" w:cs="宋体"/>
                <w:sz w:val="22"/>
                <w:szCs w:val="22"/>
              </w:rPr>
            </w:pPr>
            <w:r>
              <w:rPr>
                <w:rFonts w:hint="eastAsia" w:ascii="宋体" w:hAnsi="宋体" w:cs="宋体"/>
                <w:color w:val="auto"/>
                <w:sz w:val="22"/>
                <w:szCs w:val="22"/>
              </w:rPr>
              <w:t>10分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63" w:hRule="atLeast"/>
        </w:trPr>
        <w:tc>
          <w:tcPr>
            <w:tcW w:w="84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800"/>
                <w:tab w:val="left" w:pos="2340"/>
              </w:tabs>
              <w:kinsoku/>
              <w:wordWrap/>
              <w:overflowPunct/>
              <w:topLinePunct w:val="0"/>
              <w:autoSpaceDE/>
              <w:autoSpaceDN/>
              <w:bidi w:val="0"/>
              <w:snapToGrid w:val="0"/>
              <w:spacing w:line="360" w:lineRule="auto"/>
              <w:ind w:firstLine="434" w:firstLineChars="0"/>
              <w:jc w:val="center"/>
              <w:textAlignment w:val="auto"/>
              <w:rPr>
                <w:rFonts w:ascii="宋体" w:hAnsi="宋体" w:cs="宋体"/>
                <w:b/>
                <w:kern w:val="0"/>
                <w:sz w:val="22"/>
                <w:szCs w:val="22"/>
              </w:rPr>
            </w:pPr>
            <w:r>
              <w:rPr>
                <w:rFonts w:hint="eastAsia" w:ascii="宋体" w:hAnsi="宋体" w:cs="宋体"/>
                <w:b/>
                <w:color w:val="auto"/>
                <w:kern w:val="0"/>
                <w:sz w:val="22"/>
                <w:szCs w:val="22"/>
                <w:lang w:bidi="ar"/>
              </w:rPr>
              <w:t>合计</w:t>
            </w:r>
          </w:p>
        </w:tc>
        <w:tc>
          <w:tcPr>
            <w:tcW w:w="8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800"/>
                <w:tab w:val="left" w:pos="2340"/>
              </w:tabs>
              <w:kinsoku/>
              <w:wordWrap/>
              <w:overflowPunct/>
              <w:topLinePunct w:val="0"/>
              <w:autoSpaceDE/>
              <w:autoSpaceDN/>
              <w:bidi w:val="0"/>
              <w:snapToGrid w:val="0"/>
              <w:spacing w:line="360" w:lineRule="auto"/>
              <w:jc w:val="center"/>
              <w:textAlignment w:val="auto"/>
              <w:rPr>
                <w:rFonts w:ascii="宋体" w:hAnsi="宋体" w:cs="宋体"/>
                <w:b/>
                <w:kern w:val="0"/>
                <w:sz w:val="22"/>
                <w:szCs w:val="22"/>
              </w:rPr>
            </w:pPr>
            <w:r>
              <w:rPr>
                <w:rFonts w:hint="eastAsia" w:ascii="宋体" w:hAnsi="宋体" w:cs="宋体"/>
                <w:b/>
                <w:color w:val="auto"/>
                <w:kern w:val="0"/>
                <w:sz w:val="22"/>
                <w:szCs w:val="22"/>
                <w:lang w:bidi="ar"/>
              </w:rPr>
              <w:t>55分</w:t>
            </w:r>
          </w:p>
        </w:tc>
      </w:tr>
    </w:tbl>
    <w:p>
      <w:pPr>
        <w:pStyle w:val="53"/>
        <w:keepNext w:val="0"/>
        <w:tabs>
          <w:tab w:val="left" w:pos="142"/>
        </w:tabs>
        <w:spacing w:after="0" w:line="360" w:lineRule="auto"/>
        <w:ind w:left="424" w:leftChars="202" w:firstLine="453"/>
        <w:rPr>
          <w:sz w:val="22"/>
          <w:szCs w:val="22"/>
        </w:rPr>
      </w:pPr>
      <w:r>
        <w:rPr>
          <w:sz w:val="22"/>
          <w:szCs w:val="22"/>
        </w:rPr>
        <w:t>备注：</w:t>
      </w:r>
    </w:p>
    <w:p>
      <w:pPr>
        <w:pStyle w:val="53"/>
        <w:keepNext w:val="0"/>
        <w:tabs>
          <w:tab w:val="left" w:pos="142"/>
        </w:tabs>
        <w:spacing w:after="0" w:line="360" w:lineRule="auto"/>
        <w:ind w:left="424" w:leftChars="202" w:firstLine="453"/>
        <w:rPr>
          <w:rFonts w:ascii="宋体" w:hAnsi="宋体" w:cs="宋体"/>
          <w:sz w:val="22"/>
          <w:szCs w:val="22"/>
        </w:rPr>
      </w:pPr>
      <w:r>
        <w:rPr>
          <w:rFonts w:hint="eastAsia" w:ascii="宋体" w:hAnsi="宋体" w:cs="宋体"/>
          <w:sz w:val="22"/>
          <w:szCs w:val="22"/>
        </w:rPr>
        <w:t>（1）招标文件要求提交的与评价指标体系相关的各类有效资料，投标人如未按要求提交的，该项评分为零分。</w:t>
      </w:r>
    </w:p>
    <w:p>
      <w:pPr>
        <w:pStyle w:val="53"/>
        <w:keepNext w:val="0"/>
        <w:tabs>
          <w:tab w:val="left" w:pos="142"/>
        </w:tabs>
        <w:spacing w:after="0" w:line="360" w:lineRule="auto"/>
        <w:ind w:left="424" w:leftChars="202" w:firstLine="453"/>
        <w:rPr>
          <w:rFonts w:ascii="宋体" w:hAnsi="宋体" w:cs="宋体"/>
          <w:sz w:val="22"/>
          <w:szCs w:val="22"/>
        </w:rPr>
      </w:pPr>
      <w:r>
        <w:rPr>
          <w:rFonts w:hint="eastAsia" w:ascii="宋体" w:hAnsi="宋体" w:cs="宋体"/>
          <w:sz w:val="22"/>
          <w:szCs w:val="22"/>
        </w:rPr>
        <w:t>（2）技术商务得分为评委评分分值的算术平均值（四舍五入后，小数点后保留两位有效数）。</w:t>
      </w:r>
    </w:p>
    <w:p>
      <w:pPr>
        <w:pStyle w:val="53"/>
        <w:keepNext w:val="0"/>
        <w:tabs>
          <w:tab w:val="left" w:pos="0"/>
          <w:tab w:val="left" w:pos="360"/>
          <w:tab w:val="left" w:pos="907"/>
          <w:tab w:val="left" w:pos="1134"/>
        </w:tabs>
        <w:spacing w:after="0" w:line="360" w:lineRule="auto"/>
        <w:rPr>
          <w:b/>
          <w:sz w:val="22"/>
          <w:szCs w:val="22"/>
        </w:rPr>
      </w:pPr>
      <w:r>
        <w:rPr>
          <w:rFonts w:hint="eastAsia" w:ascii="宋体" w:hAnsi="宋体" w:eastAsia="宋体" w:cs="宋体"/>
          <w:b/>
          <w:color w:val="auto"/>
          <w:sz w:val="22"/>
          <w:szCs w:val="22"/>
          <w:lang w:val="en-US" w:eastAsia="zh-CN"/>
        </w:rPr>
        <w:t>3.2.3</w:t>
      </w:r>
      <w:r>
        <w:rPr>
          <w:rFonts w:hint="eastAsia" w:ascii="宋体" w:hAnsi="宋体" w:eastAsia="宋体" w:cs="宋体"/>
          <w:b/>
          <w:color w:val="auto"/>
          <w:sz w:val="22"/>
          <w:szCs w:val="22"/>
        </w:rPr>
        <w:t>价格评分标准：</w:t>
      </w:r>
      <w:r>
        <w:rPr>
          <w:b/>
          <w:sz w:val="22"/>
          <w:szCs w:val="22"/>
        </w:rPr>
        <w:t>（总分：</w:t>
      </w:r>
      <w:r>
        <w:rPr>
          <w:b/>
          <w:i/>
          <w:sz w:val="22"/>
          <w:szCs w:val="22"/>
          <w:u w:val="single"/>
        </w:rPr>
        <w:t>10</w:t>
      </w:r>
      <w:r>
        <w:rPr>
          <w:b/>
          <w:sz w:val="22"/>
          <w:szCs w:val="22"/>
        </w:rPr>
        <w:t>分）</w:t>
      </w:r>
    </w:p>
    <w:p>
      <w:pPr>
        <w:spacing w:line="360" w:lineRule="auto"/>
        <w:ind w:firstLine="880" w:firstLineChars="400"/>
        <w:rPr>
          <w:rFonts w:ascii="Times New Roman" w:hAnsi="Times New Roman"/>
          <w:bCs/>
          <w:sz w:val="22"/>
          <w:szCs w:val="22"/>
        </w:rPr>
      </w:pPr>
      <w:r>
        <w:rPr>
          <w:rFonts w:ascii="Times New Roman" w:hAnsi="Times New Roman"/>
          <w:bCs/>
          <w:sz w:val="22"/>
          <w:szCs w:val="22"/>
        </w:rPr>
        <w:t>综合评分法中的价格分统一采用低价优先法计算，即满足招标文件要求（通过资格性、 符合性审查）且投标价格最低的有效投标报价（指修正后报价，下同）为评标基准价，其价格分为满分。各投标人的价格分统一按照下列公式计算：</w:t>
      </w:r>
    </w:p>
    <w:p>
      <w:pPr>
        <w:spacing w:line="360" w:lineRule="auto"/>
        <w:ind w:left="850" w:leftChars="405"/>
        <w:rPr>
          <w:rFonts w:ascii="Times New Roman" w:hAnsi="Times New Roman"/>
          <w:b/>
          <w:bCs w:val="0"/>
          <w:sz w:val="22"/>
          <w:szCs w:val="22"/>
        </w:rPr>
      </w:pPr>
      <w:r>
        <w:rPr>
          <w:rFonts w:ascii="Times New Roman" w:hAnsi="Times New Roman"/>
          <w:b/>
          <w:bCs w:val="0"/>
          <w:sz w:val="22"/>
          <w:szCs w:val="22"/>
        </w:rPr>
        <w:t>价格得分＝（评标基准价/评标价）×价格分值</w:t>
      </w:r>
    </w:p>
    <w:p>
      <w:pPr>
        <w:spacing w:line="360" w:lineRule="auto"/>
        <w:ind w:firstLine="853" w:firstLineChars="386"/>
        <w:rPr>
          <w:rFonts w:ascii="Times New Roman" w:hAnsi="Times New Roman"/>
          <w:b/>
          <w:bCs w:val="0"/>
          <w:sz w:val="22"/>
          <w:szCs w:val="22"/>
        </w:rPr>
      </w:pPr>
      <w:r>
        <w:rPr>
          <w:rFonts w:ascii="Times New Roman" w:hAnsi="Times New Roman"/>
          <w:b/>
          <w:bCs w:val="0"/>
          <w:sz w:val="22"/>
          <w:szCs w:val="22"/>
        </w:rPr>
        <w:t>评标价：按招标文件规定条款的原则校核修正后的价格；</w:t>
      </w:r>
    </w:p>
    <w:p>
      <w:pPr>
        <w:spacing w:line="360" w:lineRule="auto"/>
        <w:ind w:firstLine="853" w:firstLineChars="386"/>
        <w:rPr>
          <w:rFonts w:ascii="Times New Roman" w:hAnsi="Times New Roman"/>
          <w:b/>
          <w:bCs w:val="0"/>
          <w:sz w:val="22"/>
          <w:szCs w:val="22"/>
        </w:rPr>
      </w:pPr>
      <w:r>
        <w:rPr>
          <w:rFonts w:ascii="Times New Roman" w:hAnsi="Times New Roman"/>
          <w:b/>
          <w:bCs w:val="0"/>
          <w:sz w:val="22"/>
          <w:szCs w:val="22"/>
        </w:rPr>
        <w:t>评标基准价：各有效投标人的最低评标价。</w:t>
      </w:r>
    </w:p>
    <w:p>
      <w:pPr>
        <w:pStyle w:val="53"/>
        <w:keepNext w:val="0"/>
        <w:tabs>
          <w:tab w:val="left" w:pos="142"/>
        </w:tabs>
        <w:spacing w:after="0" w:line="360" w:lineRule="auto"/>
        <w:ind w:left="424" w:leftChars="202" w:firstLine="453"/>
        <w:rPr>
          <w:rFonts w:ascii="宋体" w:hAnsi="宋体" w:cs="宋体"/>
          <w:bCs/>
          <w:sz w:val="22"/>
          <w:szCs w:val="22"/>
        </w:rPr>
      </w:pPr>
      <w:r>
        <w:rPr>
          <w:rFonts w:hint="eastAsia" w:ascii="宋体" w:hAnsi="宋体" w:cs="宋体"/>
          <w:bCs/>
          <w:sz w:val="22"/>
          <w:szCs w:val="22"/>
        </w:rPr>
        <w:t>3.2价格核准：评标委员会详细分析、核准价格表，检查其是否存在计算上或累加上的算术错误，对于投标文件中不构成实质性偏差的不正规、不一致或不规则，评标委员会可以接受，但这种接受不能损害或影响任何投标人的相对排序。如果投标人不接受修正后的投标价格，则其投标将被拒绝。</w:t>
      </w:r>
    </w:p>
    <w:p>
      <w:pPr>
        <w:pStyle w:val="53"/>
        <w:keepNext w:val="0"/>
        <w:tabs>
          <w:tab w:val="left" w:pos="142"/>
        </w:tabs>
        <w:spacing w:after="0" w:line="360" w:lineRule="auto"/>
        <w:ind w:left="424" w:leftChars="202" w:firstLine="453"/>
        <w:rPr>
          <w:rFonts w:ascii="宋体" w:hAnsi="宋体" w:cs="宋体"/>
          <w:sz w:val="22"/>
          <w:szCs w:val="22"/>
        </w:rPr>
      </w:pPr>
      <w:r>
        <w:rPr>
          <w:rFonts w:hint="eastAsia" w:ascii="宋体" w:hAnsi="宋体" w:cs="宋体"/>
          <w:bCs/>
          <w:sz w:val="22"/>
          <w:szCs w:val="22"/>
        </w:rPr>
        <w:t>3.3评标委员会对投标人的</w:t>
      </w:r>
      <w:r>
        <w:rPr>
          <w:rFonts w:hint="eastAsia"/>
          <w:bCs/>
          <w:sz w:val="22"/>
          <w:szCs w:val="22"/>
        </w:rPr>
        <w:t>投标报价进行评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bookmarkEnd w:id="412"/>
    <w:p/>
    <w:p>
      <w:r>
        <w:br w:type="page"/>
      </w:r>
    </w:p>
    <w:p>
      <w:pPr>
        <w:pStyle w:val="91"/>
      </w:pPr>
    </w:p>
    <w:p/>
    <w:p>
      <w:pPr>
        <w:pStyle w:val="2"/>
      </w:pPr>
    </w:p>
    <w:p/>
    <w:p>
      <w:pPr>
        <w:pStyle w:val="2"/>
      </w:pPr>
    </w:p>
    <w:p/>
    <w:p>
      <w:pPr>
        <w:pStyle w:val="2"/>
      </w:pPr>
    </w:p>
    <w:p/>
    <w:p/>
    <w:p/>
    <w:p/>
    <w:p>
      <w:pPr>
        <w:pStyle w:val="3"/>
        <w:numPr>
          <w:ilvl w:val="0"/>
          <w:numId w:val="54"/>
        </w:numPr>
        <w:jc w:val="center"/>
        <w:rPr>
          <w:rFonts w:ascii="宋体" w:hAnsi="宋体"/>
        </w:rPr>
      </w:pPr>
      <w:bookmarkStart w:id="428" w:name="_Toc4108"/>
      <w:bookmarkStart w:id="429" w:name="_Toc18632"/>
      <w:bookmarkStart w:id="430" w:name="_Toc8520"/>
      <w:bookmarkStart w:id="431" w:name="_Toc2293"/>
      <w:bookmarkStart w:id="432" w:name="_Toc23340"/>
      <w:bookmarkStart w:id="433" w:name="_Toc15734"/>
      <w:bookmarkStart w:id="434" w:name="_Toc441844109"/>
      <w:r>
        <w:rPr>
          <w:rFonts w:hint="eastAsia" w:ascii="宋体" w:hAnsi="宋体"/>
        </w:rPr>
        <w:t>用户需求书</w:t>
      </w:r>
      <w:bookmarkEnd w:id="428"/>
      <w:bookmarkEnd w:id="429"/>
      <w:bookmarkEnd w:id="430"/>
      <w:bookmarkEnd w:id="431"/>
      <w:bookmarkEnd w:id="432"/>
      <w:bookmarkEnd w:id="433"/>
      <w:bookmarkEnd w:id="434"/>
    </w:p>
    <w:p/>
    <w:p/>
    <w:p/>
    <w:p/>
    <w:p/>
    <w:p/>
    <w:p/>
    <w:p/>
    <w:p/>
    <w:p/>
    <w:p/>
    <w:p/>
    <w:p/>
    <w:p/>
    <w:p/>
    <w:p/>
    <w:p/>
    <w:p/>
    <w:p/>
    <w:p/>
    <w:p/>
    <w:p/>
    <w:p>
      <w:pPr>
        <w:widowControl/>
        <w:jc w:val="left"/>
      </w:pPr>
      <w:r>
        <w:br w:type="page"/>
      </w:r>
    </w:p>
    <w:p>
      <w:pPr>
        <w:pStyle w:val="10"/>
        <w:jc w:val="center"/>
        <w:rPr>
          <w:rFonts w:ascii="黑体" w:hAnsi="黑体" w:eastAsia="黑体" w:cs="黑体"/>
          <w:sz w:val="22"/>
          <w:szCs w:val="22"/>
        </w:rPr>
      </w:pPr>
      <w:r>
        <w:rPr>
          <w:rFonts w:hint="eastAsia" w:ascii="黑体" w:hAnsi="黑体" w:eastAsia="黑体" w:cs="黑体"/>
          <w:sz w:val="22"/>
          <w:szCs w:val="22"/>
        </w:rPr>
        <w:t>用户需求</w:t>
      </w:r>
    </w:p>
    <w:tbl>
      <w:tblPr>
        <w:tblStyle w:val="34"/>
        <w:tblW w:w="9056" w:type="dxa"/>
        <w:tblCellSpacing w:w="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732"/>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CellSpacing w:w="0" w:type="dxa"/>
        </w:trPr>
        <w:tc>
          <w:tcPr>
            <w:tcW w:w="1732" w:type="dxa"/>
            <w:vAlign w:val="center"/>
          </w:tcPr>
          <w:p>
            <w:pPr>
              <w:spacing w:line="360" w:lineRule="auto"/>
              <w:rPr>
                <w:rFonts w:ascii="宋体" w:hAnsi="宋体" w:cs="宋体"/>
                <w:sz w:val="22"/>
                <w:szCs w:val="22"/>
              </w:rPr>
            </w:pPr>
            <w:r>
              <w:rPr>
                <w:rFonts w:hint="eastAsia" w:ascii="宋体" w:hAnsi="宋体" w:cs="宋体"/>
                <w:sz w:val="22"/>
                <w:szCs w:val="22"/>
              </w:rPr>
              <w:t>需求名称</w:t>
            </w:r>
          </w:p>
        </w:tc>
        <w:tc>
          <w:tcPr>
            <w:tcW w:w="7324" w:type="dxa"/>
            <w:vAlign w:val="center"/>
          </w:tcPr>
          <w:p>
            <w:pPr>
              <w:pStyle w:val="53"/>
              <w:keepNext w:val="0"/>
              <w:spacing w:after="0" w:line="360" w:lineRule="auto"/>
              <w:rPr>
                <w:rFonts w:ascii="宋体" w:hAnsi="宋体" w:cs="宋体"/>
                <w:sz w:val="22"/>
                <w:szCs w:val="22"/>
              </w:rPr>
            </w:pPr>
            <w:r>
              <w:rPr>
                <w:rFonts w:hint="eastAsia" w:ascii="宋体" w:hAnsi="宋体" w:cs="宋体"/>
                <w:sz w:val="22"/>
                <w:szCs w:val="22"/>
              </w:rPr>
              <w:t>需求说明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5" w:hRule="atLeast"/>
          <w:tblCellSpacing w:w="0" w:type="dxa"/>
        </w:trPr>
        <w:tc>
          <w:tcPr>
            <w:tcW w:w="1732" w:type="dxa"/>
            <w:vAlign w:val="center"/>
          </w:tcPr>
          <w:p>
            <w:pPr>
              <w:spacing w:line="360" w:lineRule="auto"/>
              <w:rPr>
                <w:rFonts w:hint="eastAsia" w:ascii="宋体" w:hAnsi="宋体" w:eastAsia="宋体" w:cs="宋体"/>
                <w:sz w:val="22"/>
                <w:szCs w:val="22"/>
                <w:lang w:eastAsia="zh-CN"/>
              </w:rPr>
            </w:pPr>
            <w:r>
              <w:rPr>
                <w:rFonts w:hint="eastAsia" w:ascii="宋体" w:hAnsi="宋体" w:cs="宋体"/>
                <w:sz w:val="22"/>
                <w:szCs w:val="22"/>
              </w:rPr>
              <w:t>★</w:t>
            </w:r>
            <w:r>
              <w:rPr>
                <w:rFonts w:hint="eastAsia" w:ascii="宋体" w:hAnsi="宋体" w:cs="宋体"/>
                <w:sz w:val="22"/>
                <w:szCs w:val="22"/>
                <w:lang w:eastAsia="zh-CN"/>
              </w:rPr>
              <w:t>工期</w:t>
            </w:r>
          </w:p>
        </w:tc>
        <w:tc>
          <w:tcPr>
            <w:tcW w:w="7324" w:type="dxa"/>
            <w:vAlign w:val="center"/>
          </w:tcPr>
          <w:p>
            <w:pPr>
              <w:ind w:left="220" w:hanging="220" w:hangingChars="100"/>
              <w:rPr>
                <w:rFonts w:ascii="宋体" w:hAnsi="宋体" w:cs="宋体"/>
                <w:sz w:val="22"/>
                <w:szCs w:val="22"/>
              </w:rPr>
            </w:pPr>
            <w:r>
              <w:rPr>
                <w:rFonts w:hint="eastAsia" w:ascii="宋体" w:hAnsi="宋体" w:cs="宋体"/>
                <w:sz w:val="22"/>
                <w:szCs w:val="22"/>
              </w:rPr>
              <w:t>合同签订后，4个月内完成系统功能上线，</w:t>
            </w:r>
            <w:r>
              <w:rPr>
                <w:rFonts w:hint="eastAsia" w:ascii="宋体" w:hAnsi="宋体" w:cs="宋体"/>
                <w:sz w:val="22"/>
                <w:szCs w:val="22"/>
                <w:lang w:eastAsia="zh-CN"/>
              </w:rPr>
              <w:t>运行维护期</w:t>
            </w:r>
            <w:r>
              <w:rPr>
                <w:rFonts w:hint="eastAsia" w:ascii="宋体" w:hAnsi="宋体" w:cs="宋体"/>
                <w:sz w:val="22"/>
                <w:szCs w:val="22"/>
                <w:lang w:val="en-US" w:eastAsia="zh-CN"/>
              </w:rPr>
              <w:t>4年</w:t>
            </w:r>
            <w:r>
              <w:rPr>
                <w:rFonts w:hint="eastAsia" w:ascii="宋体" w:hAnsi="宋体" w:cs="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7" w:hRule="atLeast"/>
          <w:tblCellSpacing w:w="0" w:type="dxa"/>
        </w:trPr>
        <w:tc>
          <w:tcPr>
            <w:tcW w:w="1732" w:type="dxa"/>
            <w:vAlign w:val="center"/>
          </w:tcPr>
          <w:p>
            <w:pPr>
              <w:spacing w:line="360" w:lineRule="auto"/>
              <w:ind w:left="220" w:hanging="220" w:hangingChars="100"/>
              <w:rPr>
                <w:rFonts w:ascii="宋体" w:hAnsi="宋体" w:cs="宋体"/>
                <w:sz w:val="22"/>
                <w:szCs w:val="22"/>
              </w:rPr>
            </w:pPr>
            <w:r>
              <w:rPr>
                <w:rFonts w:hint="eastAsia" w:ascii="宋体" w:hAnsi="宋体" w:cs="宋体"/>
                <w:sz w:val="22"/>
                <w:szCs w:val="22"/>
              </w:rPr>
              <w:t>★付款方法和条件</w:t>
            </w:r>
          </w:p>
        </w:tc>
        <w:tc>
          <w:tcPr>
            <w:tcW w:w="7324" w:type="dxa"/>
            <w:vAlign w:val="center"/>
          </w:tcPr>
          <w:p>
            <w:pPr>
              <w:spacing w:line="360" w:lineRule="auto"/>
              <w:rPr>
                <w:rFonts w:hint="eastAsia" w:ascii="宋体" w:hAnsi="宋体" w:eastAsia="宋体" w:cs="宋体"/>
                <w:sz w:val="22"/>
                <w:szCs w:val="22"/>
              </w:rPr>
            </w:pPr>
            <w:r>
              <w:rPr>
                <w:rFonts w:hint="eastAsia" w:ascii="宋体" w:hAnsi="宋体" w:eastAsia="宋体" w:cs="宋体"/>
                <w:sz w:val="22"/>
                <w:szCs w:val="22"/>
                <w:lang w:val="en-US" w:eastAsia="zh-CN"/>
              </w:rPr>
              <w:t>1</w:t>
            </w:r>
            <w:r>
              <w:rPr>
                <w:rFonts w:hint="eastAsia" w:ascii="宋体" w:hAnsi="宋体" w:eastAsia="宋体" w:cs="宋体"/>
                <w:sz w:val="22"/>
                <w:szCs w:val="22"/>
              </w:rPr>
              <w:t>、预付款：合同签订生效后30个工作日内，</w:t>
            </w:r>
            <w:r>
              <w:rPr>
                <w:rFonts w:hint="eastAsia" w:ascii="宋体" w:hAnsi="宋体" w:eastAsia="宋体" w:cs="宋体"/>
                <w:sz w:val="22"/>
                <w:szCs w:val="22"/>
                <w:lang w:eastAsia="zh-CN"/>
              </w:rPr>
              <w:t>招标人</w:t>
            </w:r>
            <w:r>
              <w:rPr>
                <w:rFonts w:hint="eastAsia" w:ascii="宋体" w:hAnsi="宋体" w:eastAsia="宋体" w:cs="宋体"/>
                <w:sz w:val="22"/>
                <w:szCs w:val="22"/>
              </w:rPr>
              <w:t>向</w:t>
            </w:r>
            <w:r>
              <w:rPr>
                <w:rFonts w:hint="eastAsia" w:ascii="宋体" w:hAnsi="宋体" w:eastAsia="宋体" w:cs="宋体"/>
                <w:sz w:val="22"/>
                <w:szCs w:val="22"/>
                <w:lang w:eastAsia="zh-CN"/>
              </w:rPr>
              <w:t>中标人</w:t>
            </w:r>
            <w:r>
              <w:rPr>
                <w:rFonts w:hint="eastAsia" w:ascii="宋体" w:hAnsi="宋体" w:eastAsia="宋体" w:cs="宋体"/>
                <w:sz w:val="22"/>
                <w:szCs w:val="22"/>
              </w:rPr>
              <w:t>支付合同款10%作为预付款，支付前</w:t>
            </w:r>
            <w:r>
              <w:rPr>
                <w:rFonts w:hint="eastAsia" w:ascii="宋体" w:hAnsi="宋体" w:eastAsia="宋体" w:cs="宋体"/>
                <w:sz w:val="22"/>
                <w:szCs w:val="22"/>
                <w:lang w:eastAsia="zh-CN"/>
              </w:rPr>
              <w:t>中标人</w:t>
            </w:r>
            <w:r>
              <w:rPr>
                <w:rFonts w:hint="eastAsia" w:ascii="宋体" w:hAnsi="宋体" w:eastAsia="宋体" w:cs="宋体"/>
                <w:sz w:val="22"/>
                <w:szCs w:val="22"/>
              </w:rPr>
              <w:t>提供相应增值税发票给</w:t>
            </w:r>
            <w:r>
              <w:rPr>
                <w:rFonts w:hint="eastAsia" w:ascii="宋体" w:hAnsi="宋体" w:eastAsia="宋体" w:cs="宋体"/>
                <w:sz w:val="22"/>
                <w:szCs w:val="22"/>
                <w:lang w:eastAsia="zh-CN"/>
              </w:rPr>
              <w:t>招标人</w:t>
            </w:r>
            <w:r>
              <w:rPr>
                <w:rFonts w:hint="eastAsia" w:ascii="宋体" w:hAnsi="宋体" w:eastAsia="宋体" w:cs="宋体"/>
                <w:sz w:val="22"/>
                <w:szCs w:val="22"/>
              </w:rPr>
              <w:t>。</w:t>
            </w:r>
          </w:p>
          <w:p>
            <w:pPr>
              <w:spacing w:line="360" w:lineRule="auto"/>
              <w:rPr>
                <w:rFonts w:hint="eastAsia" w:ascii="宋体" w:hAnsi="宋体" w:eastAsia="宋体" w:cs="宋体"/>
                <w:sz w:val="22"/>
                <w:szCs w:val="22"/>
              </w:rPr>
            </w:pPr>
            <w:r>
              <w:rPr>
                <w:rFonts w:hint="eastAsia" w:ascii="宋体" w:hAnsi="宋体" w:eastAsia="宋体" w:cs="宋体"/>
                <w:sz w:val="22"/>
                <w:szCs w:val="22"/>
              </w:rPr>
              <w:t>2、进度款：进度款支付的方式和时间如下：</w:t>
            </w:r>
          </w:p>
          <w:p>
            <w:pPr>
              <w:spacing w:line="360" w:lineRule="auto"/>
              <w:rPr>
                <w:rFonts w:hint="eastAsia" w:ascii="宋体" w:hAnsi="宋体" w:eastAsia="宋体" w:cs="宋体"/>
                <w:sz w:val="22"/>
                <w:szCs w:val="22"/>
              </w:rPr>
            </w:pPr>
            <w:r>
              <w:rPr>
                <w:rFonts w:hint="eastAsia" w:ascii="宋体" w:hAnsi="宋体" w:eastAsia="宋体" w:cs="宋体"/>
                <w:sz w:val="22"/>
                <w:szCs w:val="22"/>
              </w:rPr>
              <w:t>1）项目系统功能《采购链建设内容》上线后30个工作日内，</w:t>
            </w:r>
            <w:r>
              <w:rPr>
                <w:rFonts w:hint="eastAsia" w:ascii="宋体" w:hAnsi="宋体" w:eastAsia="宋体" w:cs="宋体"/>
                <w:sz w:val="22"/>
                <w:szCs w:val="22"/>
                <w:lang w:eastAsia="zh-CN"/>
              </w:rPr>
              <w:t>招标人</w:t>
            </w:r>
            <w:r>
              <w:rPr>
                <w:rFonts w:hint="eastAsia" w:ascii="宋体" w:hAnsi="宋体" w:eastAsia="宋体" w:cs="宋体"/>
                <w:sz w:val="22"/>
                <w:szCs w:val="22"/>
              </w:rPr>
              <w:t>支付合同款10%给</w:t>
            </w:r>
            <w:r>
              <w:rPr>
                <w:rFonts w:hint="eastAsia" w:ascii="宋体" w:hAnsi="宋体" w:eastAsia="宋体" w:cs="宋体"/>
                <w:sz w:val="22"/>
                <w:szCs w:val="22"/>
                <w:lang w:eastAsia="zh-CN"/>
              </w:rPr>
              <w:t>中标人</w:t>
            </w:r>
            <w:r>
              <w:rPr>
                <w:rFonts w:hint="eastAsia" w:ascii="宋体" w:hAnsi="宋体" w:eastAsia="宋体" w:cs="宋体"/>
                <w:sz w:val="22"/>
                <w:szCs w:val="22"/>
              </w:rPr>
              <w:t>，支付前</w:t>
            </w:r>
            <w:r>
              <w:rPr>
                <w:rFonts w:hint="eastAsia" w:ascii="宋体" w:hAnsi="宋体" w:eastAsia="宋体" w:cs="宋体"/>
                <w:sz w:val="22"/>
                <w:szCs w:val="22"/>
                <w:lang w:eastAsia="zh-CN"/>
              </w:rPr>
              <w:t>中标人</w:t>
            </w:r>
            <w:r>
              <w:rPr>
                <w:rFonts w:hint="eastAsia" w:ascii="宋体" w:hAnsi="宋体" w:eastAsia="宋体" w:cs="宋体"/>
                <w:sz w:val="22"/>
                <w:szCs w:val="22"/>
              </w:rPr>
              <w:t>提供相应增值税发票给</w:t>
            </w:r>
            <w:r>
              <w:rPr>
                <w:rFonts w:hint="eastAsia" w:ascii="宋体" w:hAnsi="宋体" w:eastAsia="宋体" w:cs="宋体"/>
                <w:sz w:val="22"/>
                <w:szCs w:val="22"/>
                <w:lang w:eastAsia="zh-CN"/>
              </w:rPr>
              <w:t>招标人</w:t>
            </w:r>
            <w:r>
              <w:rPr>
                <w:rFonts w:hint="eastAsia" w:ascii="宋体" w:hAnsi="宋体" w:eastAsia="宋体" w:cs="宋体"/>
                <w:sz w:val="22"/>
                <w:szCs w:val="22"/>
              </w:rPr>
              <w:t>；</w:t>
            </w:r>
          </w:p>
          <w:p>
            <w:pPr>
              <w:spacing w:line="360" w:lineRule="auto"/>
              <w:rPr>
                <w:rFonts w:hint="eastAsia" w:ascii="宋体" w:hAnsi="宋体" w:eastAsia="宋体" w:cs="宋体"/>
                <w:sz w:val="22"/>
                <w:szCs w:val="22"/>
              </w:rPr>
            </w:pPr>
            <w:r>
              <w:rPr>
                <w:rFonts w:hint="eastAsia" w:ascii="宋体" w:hAnsi="宋体" w:eastAsia="宋体" w:cs="宋体"/>
                <w:sz w:val="22"/>
                <w:szCs w:val="22"/>
              </w:rPr>
              <w:t>2）项目系统功能《物资链建设内容》上线后30个工作日内，</w:t>
            </w:r>
            <w:r>
              <w:rPr>
                <w:rFonts w:hint="eastAsia" w:ascii="宋体" w:hAnsi="宋体" w:eastAsia="宋体" w:cs="宋体"/>
                <w:sz w:val="22"/>
                <w:szCs w:val="22"/>
                <w:lang w:eastAsia="zh-CN"/>
              </w:rPr>
              <w:t>招标人</w:t>
            </w:r>
            <w:r>
              <w:rPr>
                <w:rFonts w:hint="eastAsia" w:ascii="宋体" w:hAnsi="宋体" w:eastAsia="宋体" w:cs="宋体"/>
                <w:sz w:val="22"/>
                <w:szCs w:val="22"/>
              </w:rPr>
              <w:t>支付合同款10%给</w:t>
            </w:r>
            <w:r>
              <w:rPr>
                <w:rFonts w:hint="eastAsia" w:ascii="宋体" w:hAnsi="宋体" w:eastAsia="宋体" w:cs="宋体"/>
                <w:sz w:val="22"/>
                <w:szCs w:val="22"/>
                <w:lang w:eastAsia="zh-CN"/>
              </w:rPr>
              <w:t>中标人</w:t>
            </w:r>
            <w:r>
              <w:rPr>
                <w:rFonts w:hint="eastAsia" w:ascii="宋体" w:hAnsi="宋体" w:eastAsia="宋体" w:cs="宋体"/>
                <w:sz w:val="22"/>
                <w:szCs w:val="22"/>
              </w:rPr>
              <w:t>，支付前</w:t>
            </w:r>
            <w:r>
              <w:rPr>
                <w:rFonts w:hint="eastAsia" w:ascii="宋体" w:hAnsi="宋体" w:eastAsia="宋体" w:cs="宋体"/>
                <w:sz w:val="22"/>
                <w:szCs w:val="22"/>
                <w:lang w:eastAsia="zh-CN"/>
              </w:rPr>
              <w:t>中标人</w:t>
            </w:r>
            <w:r>
              <w:rPr>
                <w:rFonts w:hint="eastAsia" w:ascii="宋体" w:hAnsi="宋体" w:eastAsia="宋体" w:cs="宋体"/>
                <w:sz w:val="22"/>
                <w:szCs w:val="22"/>
              </w:rPr>
              <w:t>提供相应增值税发票给</w:t>
            </w:r>
            <w:r>
              <w:rPr>
                <w:rFonts w:hint="eastAsia" w:ascii="宋体" w:hAnsi="宋体" w:eastAsia="宋体" w:cs="宋体"/>
                <w:sz w:val="22"/>
                <w:szCs w:val="22"/>
                <w:lang w:eastAsia="zh-CN"/>
              </w:rPr>
              <w:t>招标人</w:t>
            </w:r>
            <w:r>
              <w:rPr>
                <w:rFonts w:hint="eastAsia" w:ascii="宋体" w:hAnsi="宋体" w:eastAsia="宋体" w:cs="宋体"/>
                <w:sz w:val="22"/>
                <w:szCs w:val="22"/>
              </w:rPr>
              <w:t>；</w:t>
            </w:r>
          </w:p>
          <w:p>
            <w:pPr>
              <w:spacing w:line="360" w:lineRule="auto"/>
              <w:rPr>
                <w:rFonts w:hint="eastAsia" w:ascii="宋体" w:hAnsi="宋体" w:eastAsia="宋体" w:cs="宋体"/>
                <w:sz w:val="22"/>
                <w:szCs w:val="22"/>
              </w:rPr>
            </w:pPr>
            <w:r>
              <w:rPr>
                <w:rFonts w:hint="eastAsia" w:ascii="宋体" w:hAnsi="宋体" w:eastAsia="宋体" w:cs="宋体"/>
                <w:sz w:val="22"/>
                <w:szCs w:val="22"/>
              </w:rPr>
              <w:t>3）项目系统功能《信息链建设内容》上线后30个工作日内，</w:t>
            </w:r>
            <w:r>
              <w:rPr>
                <w:rFonts w:hint="eastAsia" w:ascii="宋体" w:hAnsi="宋体" w:eastAsia="宋体" w:cs="宋体"/>
                <w:sz w:val="22"/>
                <w:szCs w:val="22"/>
                <w:lang w:eastAsia="zh-CN"/>
              </w:rPr>
              <w:t>招标人</w:t>
            </w:r>
            <w:r>
              <w:rPr>
                <w:rFonts w:hint="eastAsia" w:ascii="宋体" w:hAnsi="宋体" w:eastAsia="宋体" w:cs="宋体"/>
                <w:sz w:val="22"/>
                <w:szCs w:val="22"/>
              </w:rPr>
              <w:t>支付合同款10%给</w:t>
            </w:r>
            <w:r>
              <w:rPr>
                <w:rFonts w:hint="eastAsia" w:ascii="宋体" w:hAnsi="宋体" w:eastAsia="宋体" w:cs="宋体"/>
                <w:sz w:val="22"/>
                <w:szCs w:val="22"/>
                <w:lang w:eastAsia="zh-CN"/>
              </w:rPr>
              <w:t>中标人</w:t>
            </w:r>
            <w:r>
              <w:rPr>
                <w:rFonts w:hint="eastAsia" w:ascii="宋体" w:hAnsi="宋体" w:eastAsia="宋体" w:cs="宋体"/>
                <w:sz w:val="22"/>
                <w:szCs w:val="22"/>
              </w:rPr>
              <w:t>，支付</w:t>
            </w:r>
            <w:r>
              <w:rPr>
                <w:rFonts w:hint="eastAsia" w:ascii="宋体" w:hAnsi="宋体" w:eastAsia="宋体" w:cs="宋体"/>
                <w:sz w:val="22"/>
                <w:szCs w:val="22"/>
                <w:lang w:eastAsia="zh-CN"/>
              </w:rPr>
              <w:t>中标人</w:t>
            </w:r>
            <w:r>
              <w:rPr>
                <w:rFonts w:hint="eastAsia" w:ascii="宋体" w:hAnsi="宋体" w:eastAsia="宋体" w:cs="宋体"/>
                <w:sz w:val="22"/>
                <w:szCs w:val="22"/>
              </w:rPr>
              <w:t>提供相应增值税发票给</w:t>
            </w:r>
            <w:r>
              <w:rPr>
                <w:rFonts w:hint="eastAsia" w:ascii="宋体" w:hAnsi="宋体" w:eastAsia="宋体" w:cs="宋体"/>
                <w:sz w:val="22"/>
                <w:szCs w:val="22"/>
                <w:lang w:eastAsia="zh-CN"/>
              </w:rPr>
              <w:t>招标人</w:t>
            </w:r>
            <w:r>
              <w:rPr>
                <w:rFonts w:hint="eastAsia" w:ascii="宋体" w:hAnsi="宋体" w:eastAsia="宋体" w:cs="宋体"/>
                <w:sz w:val="22"/>
                <w:szCs w:val="22"/>
              </w:rPr>
              <w:t>。</w:t>
            </w:r>
          </w:p>
          <w:p>
            <w:pPr>
              <w:spacing w:line="360" w:lineRule="auto"/>
              <w:rPr>
                <w:rFonts w:hint="eastAsia" w:ascii="宋体" w:hAnsi="宋体" w:eastAsia="宋体" w:cs="宋体"/>
                <w:sz w:val="22"/>
                <w:szCs w:val="22"/>
              </w:rPr>
            </w:pPr>
            <w:r>
              <w:rPr>
                <w:rFonts w:hint="eastAsia" w:ascii="宋体" w:hAnsi="宋体" w:eastAsia="宋体" w:cs="宋体"/>
                <w:sz w:val="22"/>
                <w:szCs w:val="22"/>
              </w:rPr>
              <w:t>3、系统进入运行维护期，剩余尾款不计利息。</w:t>
            </w:r>
          </w:p>
          <w:p>
            <w:pPr>
              <w:spacing w:line="360" w:lineRule="auto"/>
              <w:rPr>
                <w:rFonts w:hint="eastAsia" w:ascii="宋体" w:hAnsi="宋体" w:eastAsia="宋体" w:cs="宋体"/>
                <w:color w:val="auto"/>
                <w:sz w:val="22"/>
                <w:szCs w:val="22"/>
              </w:rPr>
            </w:pPr>
            <w:r>
              <w:rPr>
                <w:rFonts w:hint="eastAsia" w:ascii="宋体" w:hAnsi="宋体" w:eastAsia="宋体" w:cs="宋体"/>
                <w:sz w:val="22"/>
                <w:szCs w:val="22"/>
              </w:rPr>
              <w:t>4、剩余余款按日历年支付，以</w:t>
            </w:r>
            <w:r>
              <w:rPr>
                <w:rFonts w:hint="eastAsia" w:ascii="宋体" w:hAnsi="宋体" w:cs="宋体"/>
                <w:sz w:val="22"/>
                <w:szCs w:val="22"/>
                <w:lang w:eastAsia="zh-CN"/>
              </w:rPr>
              <w:t>系统上线</w:t>
            </w:r>
            <w:r>
              <w:rPr>
                <w:rFonts w:hint="eastAsia" w:ascii="宋体" w:hAnsi="宋体" w:eastAsia="宋体" w:cs="宋体"/>
                <w:sz w:val="22"/>
                <w:szCs w:val="22"/>
              </w:rPr>
              <w:t>时间点为节点，支付条件为</w:t>
            </w:r>
            <w:r>
              <w:rPr>
                <w:rFonts w:hint="eastAsia" w:ascii="宋体" w:hAnsi="宋体" w:eastAsia="宋体" w:cs="宋体"/>
                <w:sz w:val="22"/>
                <w:szCs w:val="22"/>
                <w:lang w:eastAsia="zh-CN"/>
              </w:rPr>
              <w:t>中标人</w:t>
            </w:r>
            <w:r>
              <w:rPr>
                <w:rFonts w:hint="eastAsia" w:ascii="宋体" w:hAnsi="宋体" w:eastAsia="宋体" w:cs="宋体"/>
                <w:sz w:val="22"/>
                <w:szCs w:val="22"/>
              </w:rPr>
              <w:t>保证本次招标《用户需求书》项下功能的正常运行和优化。</w:t>
            </w:r>
            <w:r>
              <w:rPr>
                <w:rFonts w:hint="eastAsia" w:ascii="宋体" w:hAnsi="宋体" w:eastAsia="宋体" w:cs="宋体"/>
                <w:color w:val="auto"/>
                <w:sz w:val="22"/>
                <w:szCs w:val="22"/>
                <w:highlight w:val="none"/>
              </w:rPr>
              <w:t>由双方按中标价格及运行维护考核结果结算费用，每年度由中标人根据招标人提供的考核结果，计算出上一年度应付金额，经双方确认后，由中标人开具等额有效的增值税专用发票，招标人收到发票后</w:t>
            </w:r>
            <w:r>
              <w:rPr>
                <w:rFonts w:hint="eastAsia" w:ascii="宋体" w:hAnsi="宋体" w:eastAsia="宋体" w:cs="宋体"/>
                <w:color w:val="auto"/>
                <w:sz w:val="22"/>
                <w:szCs w:val="22"/>
              </w:rPr>
              <w:t>的20个工作日内支付上一年度的运行维护费给中标人：</w:t>
            </w:r>
          </w:p>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第二年招标人最高支付合同总金额的</w:t>
            </w:r>
            <w:r>
              <w:rPr>
                <w:rFonts w:hint="eastAsia" w:ascii="宋体" w:hAnsi="宋体" w:eastAsia="宋体" w:cs="宋体"/>
                <w:color w:val="auto"/>
                <w:sz w:val="22"/>
                <w:szCs w:val="22"/>
                <w:lang w:val="en-US" w:eastAsia="zh-CN"/>
              </w:rPr>
              <w:t>15</w:t>
            </w:r>
            <w:r>
              <w:rPr>
                <w:rFonts w:hint="eastAsia" w:ascii="宋体" w:hAnsi="宋体" w:eastAsia="宋体" w:cs="宋体"/>
                <w:color w:val="auto"/>
                <w:sz w:val="22"/>
                <w:szCs w:val="22"/>
              </w:rPr>
              <w:t>%；</w:t>
            </w:r>
          </w:p>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第三年招标人最高支付合同总金额的</w:t>
            </w:r>
            <w:r>
              <w:rPr>
                <w:rFonts w:hint="eastAsia" w:ascii="宋体" w:hAnsi="宋体" w:eastAsia="宋体" w:cs="宋体"/>
                <w:color w:val="auto"/>
                <w:sz w:val="22"/>
                <w:szCs w:val="22"/>
                <w:lang w:val="en-US" w:eastAsia="zh-CN"/>
              </w:rPr>
              <w:t>15</w:t>
            </w:r>
            <w:r>
              <w:rPr>
                <w:rFonts w:hint="eastAsia" w:ascii="宋体" w:hAnsi="宋体" w:eastAsia="宋体" w:cs="宋体"/>
                <w:color w:val="auto"/>
                <w:sz w:val="22"/>
                <w:szCs w:val="22"/>
              </w:rPr>
              <w:t>%；</w:t>
            </w:r>
          </w:p>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第四年招标人最高支付合同总金额的</w:t>
            </w:r>
            <w:r>
              <w:rPr>
                <w:rFonts w:hint="eastAsia" w:ascii="宋体" w:hAnsi="宋体" w:eastAsia="宋体" w:cs="宋体"/>
                <w:color w:val="auto"/>
                <w:sz w:val="22"/>
                <w:szCs w:val="22"/>
                <w:lang w:val="en-US" w:eastAsia="zh-CN"/>
              </w:rPr>
              <w:t>15</w:t>
            </w:r>
            <w:r>
              <w:rPr>
                <w:rFonts w:hint="eastAsia" w:ascii="宋体" w:hAnsi="宋体" w:eastAsia="宋体" w:cs="宋体"/>
                <w:color w:val="auto"/>
                <w:sz w:val="22"/>
                <w:szCs w:val="22"/>
              </w:rPr>
              <w:t>%；</w:t>
            </w:r>
          </w:p>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第五年招标人最高支付合同总金额的</w:t>
            </w:r>
            <w:r>
              <w:rPr>
                <w:rFonts w:hint="eastAsia" w:ascii="宋体" w:hAnsi="宋体" w:eastAsia="宋体" w:cs="宋体"/>
                <w:color w:val="auto"/>
                <w:sz w:val="22"/>
                <w:szCs w:val="22"/>
                <w:lang w:val="en-US" w:eastAsia="zh-CN"/>
              </w:rPr>
              <w:t>15</w:t>
            </w:r>
            <w:r>
              <w:rPr>
                <w:rFonts w:hint="eastAsia" w:ascii="宋体" w:hAnsi="宋体" w:eastAsia="宋体" w:cs="宋体"/>
                <w:color w:val="auto"/>
                <w:sz w:val="22"/>
                <w:szCs w:val="22"/>
              </w:rPr>
              <w:t>%。</w:t>
            </w:r>
          </w:p>
          <w:p>
            <w:pPr>
              <w:spacing w:line="360" w:lineRule="auto"/>
              <w:rPr>
                <w:rFonts w:hint="eastAsia" w:ascii="宋体" w:hAnsi="宋体" w:cs="宋体"/>
                <w:sz w:val="22"/>
                <w:szCs w:val="22"/>
              </w:rPr>
            </w:pPr>
            <w:r>
              <w:rPr>
                <w:rFonts w:hint="eastAsia" w:ascii="宋体" w:hAnsi="宋体" w:cs="宋体"/>
                <w:sz w:val="22"/>
                <w:szCs w:val="22"/>
              </w:rPr>
              <w:t>5、支付总额为中标通知书上中标总金额为止。</w:t>
            </w:r>
          </w:p>
          <w:p>
            <w:pPr>
              <w:spacing w:line="360" w:lineRule="auto"/>
              <w:rPr>
                <w:rFonts w:ascii="宋体" w:hAnsi="宋体" w:cs="宋体"/>
                <w:sz w:val="22"/>
                <w:szCs w:val="22"/>
              </w:rPr>
            </w:pPr>
            <w:r>
              <w:rPr>
                <w:rFonts w:hint="eastAsia" w:ascii="宋体" w:hAnsi="宋体" w:cs="宋体"/>
                <w:sz w:val="22"/>
                <w:szCs w:val="22"/>
              </w:rPr>
              <w:t>6、本次招标费用包含系统的三级等保和三星检测费用，每笔费用由</w:t>
            </w:r>
            <w:r>
              <w:rPr>
                <w:rFonts w:hint="eastAsia" w:ascii="宋体" w:hAnsi="宋体" w:cs="宋体"/>
                <w:sz w:val="22"/>
                <w:szCs w:val="22"/>
                <w:lang w:eastAsia="zh-CN"/>
              </w:rPr>
              <w:t>中标人</w:t>
            </w:r>
            <w:r>
              <w:rPr>
                <w:rFonts w:hint="eastAsia" w:ascii="宋体" w:hAnsi="宋体" w:cs="宋体"/>
                <w:sz w:val="22"/>
                <w:szCs w:val="22"/>
              </w:rPr>
              <w:t>支付给第三方后30日内，</w:t>
            </w:r>
            <w:r>
              <w:rPr>
                <w:rFonts w:hint="eastAsia" w:ascii="宋体" w:hAnsi="宋体" w:cs="宋体"/>
                <w:sz w:val="22"/>
                <w:szCs w:val="22"/>
                <w:lang w:eastAsia="zh-CN"/>
              </w:rPr>
              <w:t>招标人</w:t>
            </w:r>
            <w:r>
              <w:rPr>
                <w:rFonts w:hint="eastAsia" w:ascii="宋体" w:hAnsi="宋体" w:cs="宋体"/>
                <w:sz w:val="22"/>
                <w:szCs w:val="22"/>
              </w:rPr>
              <w:t>将相应笔费用支付给</w:t>
            </w:r>
            <w:r>
              <w:rPr>
                <w:rFonts w:hint="eastAsia" w:ascii="宋体" w:hAnsi="宋体" w:cs="宋体"/>
                <w:sz w:val="22"/>
                <w:szCs w:val="22"/>
                <w:lang w:eastAsia="zh-CN"/>
              </w:rPr>
              <w:t>中标人</w:t>
            </w:r>
            <w:r>
              <w:rPr>
                <w:rFonts w:hint="eastAsia" w:ascii="宋体" w:hAnsi="宋体" w:cs="宋体"/>
                <w:sz w:val="22"/>
                <w:szCs w:val="22"/>
              </w:rPr>
              <w:t>。两笔费用的总额将在第五年未支付合同总额15%中扣减。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8" w:hRule="atLeast"/>
          <w:tblCellSpacing w:w="0" w:type="dxa"/>
        </w:trPr>
        <w:tc>
          <w:tcPr>
            <w:tcW w:w="1732" w:type="dxa"/>
            <w:vAlign w:val="center"/>
          </w:tcPr>
          <w:p>
            <w:pPr>
              <w:spacing w:line="360" w:lineRule="auto"/>
              <w:rPr>
                <w:rFonts w:ascii="宋体" w:hAnsi="宋体" w:cs="宋体"/>
                <w:sz w:val="22"/>
                <w:szCs w:val="22"/>
              </w:rPr>
            </w:pPr>
            <w:r>
              <w:rPr>
                <w:rFonts w:hint="eastAsia" w:ascii="宋体" w:hAnsi="宋体" w:cs="宋体"/>
                <w:sz w:val="22"/>
                <w:szCs w:val="22"/>
              </w:rPr>
              <w:t>★投标有效期</w:t>
            </w:r>
          </w:p>
        </w:tc>
        <w:tc>
          <w:tcPr>
            <w:tcW w:w="7324" w:type="dxa"/>
            <w:vAlign w:val="center"/>
          </w:tcPr>
          <w:p>
            <w:pPr>
              <w:spacing w:line="360" w:lineRule="auto"/>
              <w:rPr>
                <w:rFonts w:ascii="宋体" w:hAnsi="宋体" w:cs="宋体"/>
                <w:sz w:val="22"/>
                <w:szCs w:val="22"/>
              </w:rPr>
            </w:pPr>
            <w:r>
              <w:rPr>
                <w:rFonts w:hint="eastAsia" w:ascii="宋体" w:hAnsi="宋体" w:cs="宋体"/>
                <w:sz w:val="22"/>
                <w:szCs w:val="22"/>
              </w:rPr>
              <w:t>自开标日起120个日历日。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8" w:hRule="atLeast"/>
          <w:tblCellSpacing w:w="0" w:type="dxa"/>
        </w:trPr>
        <w:tc>
          <w:tcPr>
            <w:tcW w:w="1732" w:type="dxa"/>
            <w:vAlign w:val="center"/>
          </w:tcPr>
          <w:p>
            <w:pPr>
              <w:spacing w:line="360" w:lineRule="auto"/>
              <w:rPr>
                <w:rFonts w:ascii="宋体" w:hAnsi="宋体" w:cs="宋体"/>
                <w:sz w:val="22"/>
                <w:szCs w:val="22"/>
              </w:rPr>
            </w:pPr>
            <w:r>
              <w:rPr>
                <w:rFonts w:hint="eastAsia" w:ascii="宋体" w:hAnsi="宋体" w:cs="宋体"/>
                <w:sz w:val="22"/>
                <w:szCs w:val="22"/>
              </w:rPr>
              <w:t>合同签订</w:t>
            </w:r>
          </w:p>
        </w:tc>
        <w:tc>
          <w:tcPr>
            <w:tcW w:w="7324" w:type="dxa"/>
            <w:vAlign w:val="center"/>
          </w:tcPr>
          <w:p>
            <w:pPr>
              <w:spacing w:line="360" w:lineRule="auto"/>
              <w:rPr>
                <w:rFonts w:ascii="宋体" w:hAnsi="宋体" w:cs="宋体"/>
                <w:sz w:val="22"/>
                <w:szCs w:val="22"/>
              </w:rPr>
            </w:pPr>
            <w:r>
              <w:rPr>
                <w:rFonts w:hint="eastAsia" w:ascii="宋体" w:hAnsi="宋体" w:cs="宋体"/>
                <w:sz w:val="22"/>
                <w:szCs w:val="22"/>
              </w:rPr>
              <w:t>由</w:t>
            </w:r>
            <w:r>
              <w:rPr>
                <w:rFonts w:hint="eastAsia" w:ascii="宋体" w:hAnsi="宋体" w:cs="宋体"/>
                <w:bCs/>
                <w:sz w:val="22"/>
                <w:szCs w:val="22"/>
                <w:u w:val="single"/>
              </w:rPr>
              <w:t>东莞市数据互联有限公司</w:t>
            </w:r>
            <w:r>
              <w:rPr>
                <w:rFonts w:hint="eastAsia" w:ascii="宋体" w:hAnsi="宋体" w:cs="宋体"/>
                <w:sz w:val="22"/>
                <w:szCs w:val="22"/>
              </w:rPr>
              <w:t>与中标人签订合同。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8" w:hRule="atLeast"/>
          <w:tblCellSpacing w:w="0" w:type="dxa"/>
        </w:trPr>
        <w:tc>
          <w:tcPr>
            <w:tcW w:w="1732" w:type="dxa"/>
            <w:vAlign w:val="center"/>
          </w:tcPr>
          <w:p>
            <w:pPr>
              <w:spacing w:line="360" w:lineRule="auto"/>
              <w:rPr>
                <w:rFonts w:ascii="宋体" w:hAnsi="宋体" w:cs="宋体"/>
                <w:sz w:val="22"/>
                <w:szCs w:val="22"/>
              </w:rPr>
            </w:pPr>
            <w:r>
              <w:rPr>
                <w:rFonts w:hint="eastAsia" w:ascii="宋体" w:hAnsi="宋体" w:cs="宋体"/>
                <w:sz w:val="22"/>
                <w:szCs w:val="22"/>
              </w:rPr>
              <w:t>合同条款</w:t>
            </w:r>
          </w:p>
        </w:tc>
        <w:tc>
          <w:tcPr>
            <w:tcW w:w="7324" w:type="dxa"/>
            <w:vAlign w:val="center"/>
          </w:tcPr>
          <w:p>
            <w:pPr>
              <w:spacing w:line="360" w:lineRule="auto"/>
              <w:rPr>
                <w:rFonts w:ascii="宋体" w:hAnsi="宋体" w:cs="宋体"/>
                <w:sz w:val="22"/>
                <w:szCs w:val="22"/>
              </w:rPr>
            </w:pPr>
            <w:r>
              <w:rPr>
                <w:rFonts w:hint="eastAsia" w:ascii="宋体" w:hAnsi="宋体" w:cs="宋体"/>
                <w:sz w:val="22"/>
                <w:szCs w:val="22"/>
              </w:rPr>
              <w:t>1.投标人实质响应合同各条款。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blCellSpacing w:w="0" w:type="dxa"/>
        </w:trPr>
        <w:tc>
          <w:tcPr>
            <w:tcW w:w="1732" w:type="dxa"/>
            <w:vAlign w:val="center"/>
          </w:tcPr>
          <w:p>
            <w:pPr>
              <w:spacing w:line="360" w:lineRule="auto"/>
              <w:rPr>
                <w:rFonts w:ascii="宋体" w:hAnsi="宋体" w:cs="宋体"/>
                <w:sz w:val="22"/>
                <w:szCs w:val="22"/>
              </w:rPr>
            </w:pPr>
            <w:r>
              <w:rPr>
                <w:rFonts w:hint="eastAsia" w:ascii="宋体" w:hAnsi="宋体" w:cs="宋体"/>
                <w:sz w:val="22"/>
                <w:szCs w:val="22"/>
              </w:rPr>
              <w:t>重要说明</w:t>
            </w:r>
          </w:p>
        </w:tc>
        <w:tc>
          <w:tcPr>
            <w:tcW w:w="7324" w:type="dxa"/>
            <w:vAlign w:val="center"/>
          </w:tcPr>
          <w:p>
            <w:pPr>
              <w:numPr>
                <w:ilvl w:val="0"/>
                <w:numId w:val="55"/>
              </w:numPr>
              <w:spacing w:line="360" w:lineRule="auto"/>
              <w:ind w:left="222" w:leftChars="1" w:hanging="220" w:hangingChars="100"/>
              <w:rPr>
                <w:rFonts w:ascii="宋体" w:hAnsi="宋体" w:cs="宋体"/>
                <w:sz w:val="22"/>
                <w:szCs w:val="22"/>
              </w:rPr>
            </w:pPr>
            <w:r>
              <w:rPr>
                <w:rFonts w:hint="eastAsia" w:ascii="宋体" w:hAnsi="宋体" w:cs="宋体"/>
                <w:sz w:val="22"/>
                <w:szCs w:val="22"/>
              </w:rPr>
              <w:t>招标文件中标注“★”号的为重要要求或关键指标，对这些重要要求或关键指标的任何偏离或不满足将导致废标。</w:t>
            </w:r>
          </w:p>
        </w:tc>
      </w:tr>
    </w:tbl>
    <w:p>
      <w:pPr>
        <w:spacing w:line="360" w:lineRule="auto"/>
        <w:rPr>
          <w:rFonts w:ascii="宋体" w:hAnsi="宋体" w:cs="宋体"/>
          <w:b/>
          <w:sz w:val="22"/>
          <w:szCs w:val="28"/>
        </w:rPr>
      </w:pPr>
    </w:p>
    <w:p>
      <w:pPr>
        <w:pStyle w:val="4"/>
        <w:numPr>
          <w:ilvl w:val="0"/>
          <w:numId w:val="56"/>
        </w:numPr>
        <w:snapToGrid w:val="0"/>
        <w:spacing w:before="0" w:after="0" w:line="360" w:lineRule="auto"/>
        <w:ind w:left="360"/>
        <w:rPr>
          <w:rFonts w:hint="eastAsia" w:ascii="宋体" w:hAnsi="宋体" w:eastAsia="宋体" w:cs="宋体"/>
          <w:sz w:val="22"/>
          <w:szCs w:val="22"/>
        </w:rPr>
      </w:pPr>
      <w:bookmarkStart w:id="435" w:name="_Toc19119"/>
      <w:bookmarkStart w:id="436" w:name="_Toc30381"/>
      <w:bookmarkStart w:id="437" w:name="_Toc28752"/>
      <w:r>
        <w:rPr>
          <w:rFonts w:hint="eastAsia" w:ascii="宋体" w:hAnsi="宋体" w:eastAsia="宋体" w:cs="宋体"/>
          <w:sz w:val="22"/>
          <w:szCs w:val="22"/>
        </w:rPr>
        <w:br w:type="page"/>
      </w:r>
      <w:bookmarkStart w:id="438" w:name="_Toc110411476"/>
      <w:bookmarkStart w:id="439" w:name="_Toc21528"/>
      <w:bookmarkStart w:id="440" w:name="_Toc110279031"/>
      <w:bookmarkStart w:id="441" w:name="_Toc8249"/>
      <w:bookmarkStart w:id="442" w:name="_Toc475542399"/>
      <w:bookmarkStart w:id="443" w:name="_Toc24453"/>
      <w:bookmarkStart w:id="444" w:name="_Toc514862828"/>
      <w:bookmarkStart w:id="445" w:name="_Toc510943653"/>
      <w:bookmarkStart w:id="446" w:name="_Toc96"/>
      <w:r>
        <w:rPr>
          <w:rFonts w:hint="eastAsia" w:ascii="宋体" w:hAnsi="宋体" w:eastAsia="宋体" w:cs="宋体"/>
          <w:sz w:val="22"/>
          <w:szCs w:val="22"/>
        </w:rPr>
        <w:t>项目背景</w:t>
      </w:r>
      <w:bookmarkEnd w:id="438"/>
      <w:bookmarkEnd w:id="439"/>
      <w:bookmarkEnd w:id="440"/>
      <w:bookmarkEnd w:id="441"/>
    </w:p>
    <w:p>
      <w:pPr>
        <w:pStyle w:val="94"/>
        <w:snapToGrid w:val="0"/>
        <w:spacing w:before="0" w:after="0"/>
        <w:ind w:firstLine="440"/>
        <w:rPr>
          <w:rFonts w:hint="eastAsia" w:cs="宋体"/>
          <w:sz w:val="22"/>
          <w:szCs w:val="22"/>
        </w:rPr>
      </w:pPr>
      <w:bookmarkStart w:id="447" w:name="_Toc71555175"/>
      <w:bookmarkStart w:id="448" w:name="_Toc27872"/>
      <w:bookmarkStart w:id="449" w:name="_Toc6920"/>
      <w:r>
        <w:rPr>
          <w:rFonts w:hint="eastAsia" w:cs="宋体"/>
          <w:sz w:val="22"/>
          <w:szCs w:val="22"/>
        </w:rPr>
        <w:t>2017年，国家发展改革委、工业和信息化部、住房城乡建设部、交通运输部、水利部、商务部共同制定了《“互联网+”招标采购行动方案（2017-2019年）》（发改法规〔2017〕357号）（以下简称《行动方案》）。《行动方案》明确“培育‘互联网+’招标采购内生动力，推动招标采购从线下交易到线上交易的转变，实现招标投标行业与互联网的深度融合”、“推动市场大数据充分聚合、深入挖掘和广泛运用”、“依托电子招标投标系统，充分发挥‘互联网+’监管优势，实现平台技术创新与监管体制机制创新同步推进，推动动态监督和大数据监管，强化事中事后监管和信用管理”、“鼓励中央企业和省属国有企业的交易平台按照规定与国家或省级公共服务平台，以及相应的行政监督平台连接并交互招标信息”等行动方案。</w:t>
      </w:r>
    </w:p>
    <w:p>
      <w:pPr>
        <w:pStyle w:val="94"/>
        <w:snapToGrid w:val="0"/>
        <w:spacing w:before="0" w:after="0"/>
        <w:ind w:firstLine="440"/>
        <w:rPr>
          <w:rFonts w:hint="eastAsia" w:cs="宋体"/>
          <w:sz w:val="22"/>
          <w:szCs w:val="22"/>
        </w:rPr>
      </w:pPr>
      <w:r>
        <w:rPr>
          <w:rStyle w:val="95"/>
          <w:rFonts w:hint="eastAsia" w:cs="宋体"/>
          <w:sz w:val="22"/>
          <w:szCs w:val="22"/>
        </w:rPr>
        <w:t>根据《关于开展对标世界一流管理提升行动的通知》“按照国企改革三年行动部署和对标世界一流管理提升行动安排”的要求，结合集团公司的战略发展定位及招标采购管控要求，为提升集团招标采购过程的监督和管理水平，交投集团亟需改变招采与供应链线下管理模式，搭建全流程可视、全链条协同、全业务数字化的供应链服务平台，降低交易成本，全面提升物资供应的质量、效率和监管水平，推动交投集团数字化转型。</w:t>
      </w:r>
    </w:p>
    <w:p>
      <w:pPr>
        <w:pStyle w:val="4"/>
        <w:numPr>
          <w:ilvl w:val="0"/>
          <w:numId w:val="56"/>
        </w:numPr>
        <w:snapToGrid w:val="0"/>
        <w:spacing w:before="0" w:after="0" w:line="360" w:lineRule="auto"/>
        <w:ind w:left="360"/>
        <w:rPr>
          <w:rFonts w:hint="eastAsia" w:ascii="宋体" w:hAnsi="宋体" w:eastAsia="宋体" w:cs="宋体"/>
          <w:sz w:val="22"/>
          <w:szCs w:val="22"/>
        </w:rPr>
      </w:pPr>
      <w:bookmarkStart w:id="450" w:name="_Toc7542"/>
      <w:bookmarkStart w:id="451" w:name="_Toc110279032"/>
      <w:bookmarkStart w:id="452" w:name="_Toc110411477"/>
      <w:bookmarkStart w:id="453" w:name="_Toc19798"/>
      <w:r>
        <w:rPr>
          <w:rFonts w:hint="eastAsia" w:ascii="宋体" w:hAnsi="宋体" w:eastAsia="宋体" w:cs="宋体"/>
          <w:sz w:val="22"/>
          <w:szCs w:val="22"/>
        </w:rPr>
        <w:t>项目建设</w:t>
      </w:r>
      <w:bookmarkEnd w:id="447"/>
      <w:r>
        <w:rPr>
          <w:rFonts w:hint="eastAsia" w:ascii="宋体" w:hAnsi="宋体" w:eastAsia="宋体" w:cs="宋体"/>
          <w:sz w:val="22"/>
          <w:szCs w:val="22"/>
        </w:rPr>
        <w:t>内容</w:t>
      </w:r>
      <w:bookmarkEnd w:id="448"/>
      <w:bookmarkEnd w:id="449"/>
      <w:bookmarkEnd w:id="450"/>
      <w:bookmarkEnd w:id="451"/>
      <w:bookmarkEnd w:id="452"/>
      <w:bookmarkEnd w:id="453"/>
    </w:p>
    <w:p>
      <w:pPr>
        <w:pStyle w:val="4"/>
        <w:numPr>
          <w:ilvl w:val="1"/>
          <w:numId w:val="57"/>
        </w:numPr>
        <w:tabs>
          <w:tab w:val="clear" w:pos="420"/>
        </w:tabs>
        <w:snapToGrid w:val="0"/>
        <w:spacing w:before="0" w:after="0" w:line="360" w:lineRule="auto"/>
        <w:rPr>
          <w:rFonts w:hint="eastAsia" w:ascii="宋体" w:hAnsi="宋体" w:eastAsia="宋体" w:cs="宋体"/>
          <w:sz w:val="22"/>
          <w:szCs w:val="22"/>
        </w:rPr>
      </w:pPr>
      <w:bookmarkStart w:id="454" w:name="_Toc5226"/>
      <w:bookmarkStart w:id="455" w:name="_Toc9657"/>
      <w:bookmarkStart w:id="456" w:name="_Toc28159"/>
      <w:bookmarkStart w:id="457" w:name="_Toc20894"/>
      <w:bookmarkStart w:id="458" w:name="_Toc110279033"/>
      <w:bookmarkStart w:id="459" w:name="_Toc71555176"/>
      <w:r>
        <w:rPr>
          <w:rFonts w:hint="eastAsia" w:ascii="宋体" w:hAnsi="宋体" w:eastAsia="宋体" w:cs="宋体"/>
          <w:sz w:val="22"/>
          <w:szCs w:val="22"/>
        </w:rPr>
        <w:t>建设目标</w:t>
      </w:r>
      <w:bookmarkEnd w:id="454"/>
      <w:bookmarkEnd w:id="455"/>
      <w:bookmarkEnd w:id="456"/>
      <w:bookmarkEnd w:id="457"/>
      <w:bookmarkEnd w:id="458"/>
    </w:p>
    <w:p>
      <w:pPr>
        <w:snapToGrid w:val="0"/>
        <w:spacing w:line="360" w:lineRule="auto"/>
        <w:ind w:right="126" w:rightChars="60" w:firstLine="440" w:firstLineChars="200"/>
        <w:rPr>
          <w:rFonts w:hint="eastAsia" w:ascii="宋体" w:hAnsi="宋体" w:cs="宋体"/>
          <w:sz w:val="22"/>
          <w:szCs w:val="22"/>
        </w:rPr>
      </w:pPr>
      <w:r>
        <w:rPr>
          <w:rFonts w:hint="eastAsia" w:ascii="宋体" w:hAnsi="宋体" w:cs="宋体"/>
          <w:sz w:val="22"/>
          <w:szCs w:val="22"/>
        </w:rPr>
        <w:t>以建设现代化供应链为主线，以提升采购质量为中心，以深化物资服务为重点，以提高供应链管理水平为基础，深化资源统筹和协同配合，搭建集团公司供应链服务系统，构建“采购链”、“物资链”、“信息链”三大业务链，打造供应链业务全生命周期管理体系，实现招标采购作业标准化、流程规范化、管理数字化，推动集团公司供应链管理向智慧卓越转变。</w:t>
      </w:r>
    </w:p>
    <w:p>
      <w:pPr>
        <w:pStyle w:val="96"/>
        <w:snapToGrid w:val="0"/>
        <w:spacing w:line="360" w:lineRule="auto"/>
        <w:ind w:firstLine="420"/>
        <w:rPr>
          <w:rFonts w:hint="eastAsia" w:ascii="宋体" w:hAnsi="宋体" w:cs="宋体"/>
          <w:sz w:val="22"/>
          <w:szCs w:val="22"/>
        </w:rPr>
      </w:pPr>
      <w:r>
        <w:rPr>
          <w:rFonts w:hint="eastAsia" w:ascii="宋体" w:hAnsi="宋体" w:cs="宋体"/>
          <w:sz w:val="22"/>
          <w:szCs w:val="22"/>
        </w:rPr>
        <w:t>（1）提升企业经营管理水平</w:t>
      </w:r>
    </w:p>
    <w:p>
      <w:pPr>
        <w:pStyle w:val="96"/>
        <w:snapToGrid w:val="0"/>
        <w:spacing w:line="360" w:lineRule="auto"/>
        <w:ind w:firstLine="420"/>
        <w:rPr>
          <w:rFonts w:hint="eastAsia" w:ascii="宋体" w:hAnsi="宋体" w:cs="宋体"/>
          <w:sz w:val="22"/>
          <w:szCs w:val="22"/>
        </w:rPr>
      </w:pPr>
      <w:r>
        <w:rPr>
          <w:rFonts w:hint="eastAsia" w:ascii="宋体" w:hAnsi="宋体" w:cs="宋体"/>
          <w:sz w:val="22"/>
          <w:szCs w:val="22"/>
        </w:rPr>
        <w:t>通过供应链服务平台，以数字供应管理实现全面全程掌控、以规模化运作降低物资采购成本，以规范、公开的交易方式规避了廉政风险。通过对交易行为、交易数据的数字化管理，发挥集团云网资源优势，推动交投集团供应链数据的采集汇聚和应用场景开发，加快集团供给侧数字化转型，提升了集团整体经营规模和经营效益。</w:t>
      </w:r>
    </w:p>
    <w:p>
      <w:pPr>
        <w:pStyle w:val="96"/>
        <w:snapToGrid w:val="0"/>
        <w:spacing w:line="360" w:lineRule="auto"/>
        <w:ind w:firstLine="420"/>
        <w:rPr>
          <w:rFonts w:hint="eastAsia" w:ascii="宋体" w:hAnsi="宋体" w:cs="宋体"/>
          <w:sz w:val="22"/>
          <w:szCs w:val="22"/>
        </w:rPr>
      </w:pPr>
      <w:r>
        <w:rPr>
          <w:rFonts w:hint="eastAsia" w:ascii="宋体" w:hAnsi="宋体" w:cs="宋体"/>
          <w:sz w:val="22"/>
          <w:szCs w:val="22"/>
        </w:rPr>
        <w:t>（2）搭建物资全生命周期管理</w:t>
      </w:r>
    </w:p>
    <w:p>
      <w:pPr>
        <w:pStyle w:val="96"/>
        <w:snapToGrid w:val="0"/>
        <w:spacing w:line="360" w:lineRule="auto"/>
        <w:ind w:firstLine="420"/>
        <w:rPr>
          <w:rFonts w:hint="eastAsia" w:ascii="宋体" w:hAnsi="宋体" w:cs="宋体"/>
          <w:sz w:val="22"/>
          <w:szCs w:val="22"/>
        </w:rPr>
      </w:pPr>
      <w:r>
        <w:rPr>
          <w:rFonts w:hint="eastAsia" w:ascii="宋体" w:hAnsi="宋体" w:cs="宋体"/>
          <w:sz w:val="22"/>
          <w:szCs w:val="22"/>
        </w:rPr>
        <w:t>采购链：平台从采购需求、采购计划、预算管理、项目立项、公告发布、文件编制、开评标等采购流程线上处理，实现采购链数据全周期管理，通过数据分析优化采购需求，明确项目预算，达到提高采购质量与效率，降低企业运营成本的效果。</w:t>
      </w:r>
    </w:p>
    <w:p>
      <w:pPr>
        <w:pStyle w:val="96"/>
        <w:snapToGrid w:val="0"/>
        <w:spacing w:line="360" w:lineRule="auto"/>
        <w:ind w:firstLine="420"/>
        <w:rPr>
          <w:rFonts w:hint="eastAsia" w:ascii="宋体" w:hAnsi="宋体" w:cs="宋体"/>
          <w:sz w:val="22"/>
          <w:szCs w:val="22"/>
        </w:rPr>
      </w:pPr>
      <w:r>
        <w:rPr>
          <w:rFonts w:hint="eastAsia" w:ascii="宋体" w:hAnsi="宋体" w:cs="宋体"/>
          <w:sz w:val="22"/>
          <w:szCs w:val="22"/>
        </w:rPr>
        <w:t>物资链：平台通过物料标准体系、物料品类库、物料智能化识别、物料价格库、物料数据共享等功能，实现企业物料数据的编码、入库、查询、分析等全生命周期智能化管理，实现企业物料动态数据可视化。</w:t>
      </w:r>
    </w:p>
    <w:p>
      <w:pPr>
        <w:pStyle w:val="96"/>
        <w:snapToGrid w:val="0"/>
        <w:spacing w:line="360" w:lineRule="auto"/>
        <w:ind w:firstLine="420"/>
        <w:rPr>
          <w:rFonts w:hint="eastAsia" w:ascii="宋体" w:hAnsi="宋体" w:cs="宋体"/>
          <w:sz w:val="22"/>
          <w:szCs w:val="22"/>
        </w:rPr>
      </w:pPr>
      <w:r>
        <w:rPr>
          <w:rFonts w:hint="eastAsia" w:ascii="宋体" w:hAnsi="宋体" w:cs="宋体"/>
          <w:sz w:val="22"/>
          <w:szCs w:val="22"/>
        </w:rPr>
        <w:t>信息链：平台联通需求管理、采购管理、物资管理、供应商管理等业务模块，实现企业信息互联互通、信息共享，打破数据孤岛，构建招采供应链生态。</w:t>
      </w:r>
    </w:p>
    <w:bookmarkEnd w:id="459"/>
    <w:p>
      <w:pPr>
        <w:keepNext/>
        <w:keepLines/>
        <w:numPr>
          <w:ilvl w:val="1"/>
          <w:numId w:val="57"/>
        </w:numPr>
        <w:snapToGrid w:val="0"/>
        <w:spacing w:line="360" w:lineRule="auto"/>
        <w:jc w:val="left"/>
        <w:outlineLvl w:val="1"/>
        <w:rPr>
          <w:rFonts w:hint="eastAsia" w:ascii="宋体" w:hAnsi="宋体" w:cs="宋体"/>
          <w:b/>
          <w:bCs/>
          <w:sz w:val="22"/>
          <w:szCs w:val="22"/>
        </w:rPr>
      </w:pPr>
      <w:bookmarkStart w:id="460" w:name="_Toc110279034"/>
      <w:bookmarkStart w:id="461" w:name="_Toc16615"/>
      <w:bookmarkStart w:id="462" w:name="_Toc19916"/>
      <w:bookmarkStart w:id="463" w:name="_Toc16308"/>
      <w:bookmarkStart w:id="464" w:name="_Toc525772520"/>
      <w:bookmarkStart w:id="465" w:name="_Toc428523576"/>
      <w:bookmarkStart w:id="466" w:name="_Toc430000862"/>
      <w:bookmarkStart w:id="467" w:name="_Toc427866564"/>
      <w:bookmarkStart w:id="468" w:name="_Toc429933065"/>
      <w:bookmarkStart w:id="469" w:name="_Toc524788648"/>
      <w:bookmarkStart w:id="470" w:name="_Toc59535211"/>
      <w:bookmarkStart w:id="471" w:name="_Toc428388327"/>
      <w:r>
        <w:rPr>
          <w:rFonts w:hint="eastAsia" w:ascii="宋体" w:hAnsi="宋体" w:cs="宋体"/>
          <w:b/>
          <w:bCs/>
          <w:sz w:val="22"/>
          <w:szCs w:val="22"/>
        </w:rPr>
        <w:t>采购链建设内容</w:t>
      </w:r>
      <w:bookmarkEnd w:id="460"/>
      <w:bookmarkEnd w:id="461"/>
      <w:bookmarkEnd w:id="462"/>
    </w:p>
    <w:p>
      <w:pPr>
        <w:keepNext/>
        <w:keepLines/>
        <w:numPr>
          <w:ilvl w:val="2"/>
          <w:numId w:val="57"/>
        </w:numPr>
        <w:snapToGrid w:val="0"/>
        <w:spacing w:line="360" w:lineRule="auto"/>
        <w:jc w:val="left"/>
        <w:outlineLvl w:val="2"/>
        <w:rPr>
          <w:rFonts w:hint="eastAsia" w:ascii="宋体" w:hAnsi="宋体" w:cs="宋体"/>
          <w:b/>
          <w:bCs/>
          <w:sz w:val="22"/>
          <w:szCs w:val="22"/>
        </w:rPr>
      </w:pPr>
      <w:bookmarkStart w:id="472" w:name="_Toc29442"/>
      <w:bookmarkStart w:id="473" w:name="_Toc7908"/>
      <w:r>
        <w:rPr>
          <w:rFonts w:hint="eastAsia" w:ascii="宋体" w:hAnsi="宋体" w:cs="宋体"/>
          <w:b/>
          <w:bCs/>
          <w:sz w:val="22"/>
          <w:szCs w:val="22"/>
        </w:rPr>
        <w:t>供应链平台统一门户网站</w:t>
      </w:r>
      <w:bookmarkEnd w:id="463"/>
      <w:bookmarkEnd w:id="472"/>
      <w:bookmarkEnd w:id="473"/>
    </w:p>
    <w:p>
      <w:pPr>
        <w:snapToGrid w:val="0"/>
        <w:spacing w:line="360" w:lineRule="auto"/>
        <w:ind w:firstLine="440" w:firstLineChars="200"/>
        <w:jc w:val="left"/>
        <w:rPr>
          <w:rFonts w:hint="eastAsia" w:ascii="宋体" w:hAnsi="宋体" w:cs="宋体"/>
          <w:kern w:val="0"/>
          <w:sz w:val="22"/>
          <w:szCs w:val="22"/>
        </w:rPr>
      </w:pPr>
      <w:r>
        <w:rPr>
          <w:rFonts w:hint="eastAsia" w:ascii="宋体" w:hAnsi="宋体" w:cs="宋体"/>
          <w:kern w:val="0"/>
          <w:sz w:val="22"/>
          <w:szCs w:val="22"/>
        </w:rPr>
        <w:t>需满足以下要求：</w:t>
      </w:r>
    </w:p>
    <w:p>
      <w:pPr>
        <w:numPr>
          <w:ilvl w:val="0"/>
          <w:numId w:val="58"/>
        </w:numPr>
        <w:snapToGrid w:val="0"/>
        <w:spacing w:line="360" w:lineRule="auto"/>
        <w:ind w:left="0" w:firstLine="440" w:firstLineChars="200"/>
        <w:jc w:val="left"/>
        <w:rPr>
          <w:rFonts w:hint="eastAsia" w:ascii="宋体" w:hAnsi="宋体" w:cs="宋体"/>
          <w:kern w:val="0"/>
          <w:sz w:val="22"/>
          <w:szCs w:val="22"/>
        </w:rPr>
      </w:pPr>
      <w:r>
        <w:rPr>
          <w:rFonts w:hint="eastAsia" w:ascii="宋体" w:hAnsi="宋体" w:cs="宋体"/>
          <w:kern w:val="0"/>
          <w:sz w:val="22"/>
          <w:szCs w:val="22"/>
        </w:rPr>
        <w:t>采购网站应包括采购门户网站和内容管理系统。</w:t>
      </w:r>
    </w:p>
    <w:p>
      <w:pPr>
        <w:numPr>
          <w:ilvl w:val="0"/>
          <w:numId w:val="58"/>
        </w:numPr>
        <w:snapToGrid w:val="0"/>
        <w:spacing w:line="360" w:lineRule="auto"/>
        <w:ind w:left="0" w:firstLine="440" w:firstLineChars="200"/>
        <w:jc w:val="left"/>
        <w:rPr>
          <w:rFonts w:hint="eastAsia" w:ascii="宋体" w:hAnsi="宋体" w:cs="宋体"/>
          <w:kern w:val="0"/>
          <w:sz w:val="22"/>
          <w:szCs w:val="22"/>
        </w:rPr>
      </w:pPr>
      <w:r>
        <w:rPr>
          <w:rFonts w:hint="eastAsia" w:ascii="宋体" w:hAnsi="宋体" w:cs="宋体"/>
          <w:kern w:val="0"/>
          <w:sz w:val="22"/>
          <w:szCs w:val="22"/>
        </w:rPr>
        <w:t>门户网站展示和宣传采购信息以及公司其他信息，后台管理系统进行门户网站栏目的设计维护，应能够进行信息的分权限的发布审核。</w:t>
      </w:r>
    </w:p>
    <w:p>
      <w:pPr>
        <w:numPr>
          <w:ilvl w:val="0"/>
          <w:numId w:val="58"/>
        </w:numPr>
        <w:snapToGrid w:val="0"/>
        <w:spacing w:line="360" w:lineRule="auto"/>
        <w:ind w:left="0" w:firstLine="440" w:firstLineChars="200"/>
        <w:jc w:val="left"/>
        <w:rPr>
          <w:rFonts w:hint="eastAsia" w:ascii="宋体" w:hAnsi="宋体" w:cs="宋体"/>
          <w:kern w:val="0"/>
          <w:sz w:val="22"/>
          <w:szCs w:val="22"/>
        </w:rPr>
      </w:pPr>
      <w:r>
        <w:rPr>
          <w:rFonts w:hint="eastAsia" w:ascii="宋体" w:hAnsi="宋体" w:cs="宋体"/>
          <w:kern w:val="0"/>
          <w:sz w:val="22"/>
          <w:szCs w:val="22"/>
        </w:rPr>
        <w:t>应能对采购活动中产生的需要公告的信息及政策法规、采购指南、行业动态等信息进行发布。</w:t>
      </w:r>
    </w:p>
    <w:p>
      <w:pPr>
        <w:numPr>
          <w:ilvl w:val="0"/>
          <w:numId w:val="58"/>
        </w:numPr>
        <w:snapToGrid w:val="0"/>
        <w:spacing w:line="360" w:lineRule="auto"/>
        <w:ind w:left="0" w:firstLine="440" w:firstLineChars="200"/>
        <w:jc w:val="left"/>
        <w:rPr>
          <w:rFonts w:hint="eastAsia" w:ascii="宋体" w:hAnsi="宋体" w:cs="宋体"/>
          <w:kern w:val="0"/>
          <w:sz w:val="22"/>
          <w:szCs w:val="22"/>
        </w:rPr>
      </w:pPr>
      <w:r>
        <w:rPr>
          <w:rFonts w:hint="eastAsia" w:ascii="宋体" w:hAnsi="宋体" w:cs="宋体"/>
          <w:kern w:val="0"/>
          <w:sz w:val="22"/>
          <w:szCs w:val="22"/>
        </w:rPr>
        <w:t>应可对栏目属性信息和层次关系进行维护，可以添加、删除、修改栏目信息。</w:t>
      </w:r>
    </w:p>
    <w:p>
      <w:pPr>
        <w:numPr>
          <w:ilvl w:val="0"/>
          <w:numId w:val="58"/>
        </w:numPr>
        <w:snapToGrid w:val="0"/>
        <w:spacing w:line="360" w:lineRule="auto"/>
        <w:ind w:left="0" w:firstLine="440" w:firstLineChars="200"/>
        <w:contextualSpacing/>
        <w:jc w:val="left"/>
        <w:rPr>
          <w:rFonts w:hint="eastAsia" w:ascii="宋体" w:hAnsi="宋体" w:cs="宋体"/>
          <w:kern w:val="0"/>
          <w:sz w:val="22"/>
          <w:szCs w:val="22"/>
        </w:rPr>
      </w:pPr>
      <w:r>
        <w:rPr>
          <w:rFonts w:hint="eastAsia" w:ascii="宋体" w:hAnsi="宋体" w:cs="宋体"/>
          <w:kern w:val="0"/>
          <w:sz w:val="22"/>
          <w:szCs w:val="22"/>
        </w:rPr>
        <w:t>应能对栏目制定不同的网页模版文件。</w:t>
      </w:r>
    </w:p>
    <w:p>
      <w:pPr>
        <w:numPr>
          <w:ilvl w:val="0"/>
          <w:numId w:val="58"/>
        </w:numPr>
        <w:snapToGrid w:val="0"/>
        <w:spacing w:line="360" w:lineRule="auto"/>
        <w:ind w:left="0" w:firstLine="440" w:firstLineChars="200"/>
        <w:contextualSpacing/>
        <w:jc w:val="left"/>
        <w:rPr>
          <w:rFonts w:hint="eastAsia" w:ascii="宋体" w:hAnsi="宋体" w:cs="宋体"/>
          <w:kern w:val="0"/>
          <w:sz w:val="22"/>
          <w:szCs w:val="22"/>
        </w:rPr>
      </w:pPr>
      <w:r>
        <w:rPr>
          <w:rFonts w:hint="eastAsia" w:ascii="宋体" w:hAnsi="宋体" w:cs="宋体"/>
          <w:kern w:val="0"/>
          <w:sz w:val="22"/>
          <w:szCs w:val="22"/>
        </w:rPr>
        <w:t>应能对网站的各个栏目的内容进行维护。</w:t>
      </w:r>
    </w:p>
    <w:p>
      <w:pPr>
        <w:keepNext/>
        <w:keepLines/>
        <w:numPr>
          <w:ilvl w:val="2"/>
          <w:numId w:val="57"/>
        </w:numPr>
        <w:snapToGrid w:val="0"/>
        <w:spacing w:line="360" w:lineRule="auto"/>
        <w:jc w:val="left"/>
        <w:outlineLvl w:val="2"/>
        <w:rPr>
          <w:rFonts w:hint="eastAsia" w:ascii="宋体" w:hAnsi="宋体" w:cs="宋体"/>
          <w:b/>
          <w:bCs/>
          <w:sz w:val="22"/>
          <w:szCs w:val="22"/>
        </w:rPr>
      </w:pPr>
      <w:bookmarkStart w:id="474" w:name="_Toc19214"/>
      <w:bookmarkStart w:id="475" w:name="_Toc20975"/>
      <w:bookmarkStart w:id="476" w:name="_Toc24061"/>
      <w:r>
        <w:rPr>
          <w:rFonts w:hint="eastAsia" w:ascii="宋体" w:hAnsi="宋体" w:cs="宋体"/>
          <w:b/>
          <w:bCs/>
          <w:sz w:val="22"/>
          <w:szCs w:val="22"/>
        </w:rPr>
        <w:t>供应商管理</w:t>
      </w:r>
      <w:bookmarkEnd w:id="474"/>
      <w:bookmarkEnd w:id="475"/>
      <w:bookmarkEnd w:id="476"/>
    </w:p>
    <w:p>
      <w:pPr>
        <w:keepNext/>
        <w:keepLines/>
        <w:numPr>
          <w:ilvl w:val="3"/>
          <w:numId w:val="57"/>
        </w:numPr>
        <w:tabs>
          <w:tab w:val="left" w:pos="420"/>
          <w:tab w:val="clear" w:pos="0"/>
        </w:tabs>
        <w:adjustRightInd w:val="0"/>
        <w:snapToGrid w:val="0"/>
        <w:spacing w:line="360" w:lineRule="auto"/>
        <w:outlineLvl w:val="3"/>
        <w:rPr>
          <w:rFonts w:hint="eastAsia" w:ascii="宋体" w:hAnsi="宋体" w:cs="宋体"/>
          <w:b/>
          <w:bCs/>
          <w:sz w:val="22"/>
          <w:szCs w:val="22"/>
        </w:rPr>
      </w:pPr>
      <w:bookmarkStart w:id="477" w:name="_Toc518423622"/>
      <w:bookmarkStart w:id="478" w:name="_Toc2960589"/>
      <w:bookmarkStart w:id="479" w:name="_Toc10426"/>
      <w:bookmarkStart w:id="480" w:name="_Toc6276"/>
      <w:bookmarkStart w:id="481" w:name="_Toc29524"/>
      <w:bookmarkStart w:id="482" w:name="_Toc25831"/>
      <w:bookmarkStart w:id="483" w:name="_Toc9990"/>
      <w:bookmarkStart w:id="484" w:name="_Toc278"/>
      <w:bookmarkStart w:id="485" w:name="_Toc485031291"/>
      <w:r>
        <w:rPr>
          <w:rFonts w:hint="eastAsia" w:ascii="宋体" w:hAnsi="宋体" w:cs="宋体"/>
          <w:b/>
          <w:bCs/>
          <w:sz w:val="22"/>
          <w:szCs w:val="22"/>
        </w:rPr>
        <w:t>供应商</w:t>
      </w:r>
      <w:bookmarkEnd w:id="477"/>
      <w:r>
        <w:rPr>
          <w:rFonts w:hint="eastAsia" w:ascii="宋体" w:hAnsi="宋体" w:cs="宋体"/>
          <w:b/>
          <w:bCs/>
          <w:sz w:val="22"/>
          <w:szCs w:val="22"/>
        </w:rPr>
        <w:t>注册</w:t>
      </w:r>
      <w:bookmarkEnd w:id="478"/>
      <w:r>
        <w:rPr>
          <w:rFonts w:hint="eastAsia" w:ascii="宋体" w:hAnsi="宋体" w:cs="宋体"/>
          <w:b/>
          <w:bCs/>
          <w:sz w:val="22"/>
          <w:szCs w:val="22"/>
        </w:rPr>
        <w:t>及变更</w:t>
      </w:r>
      <w:bookmarkEnd w:id="479"/>
      <w:bookmarkEnd w:id="480"/>
      <w:bookmarkEnd w:id="481"/>
      <w:bookmarkEnd w:id="482"/>
      <w:bookmarkEnd w:id="483"/>
      <w:bookmarkEnd w:id="484"/>
    </w:p>
    <w:p>
      <w:pPr>
        <w:snapToGrid w:val="0"/>
        <w:spacing w:line="360" w:lineRule="auto"/>
        <w:ind w:firstLine="440" w:firstLineChars="200"/>
        <w:jc w:val="left"/>
        <w:rPr>
          <w:rFonts w:hint="eastAsia" w:ascii="宋体" w:hAnsi="宋体" w:cs="宋体"/>
          <w:kern w:val="0"/>
          <w:sz w:val="22"/>
          <w:szCs w:val="22"/>
        </w:rPr>
      </w:pPr>
      <w:r>
        <w:rPr>
          <w:rFonts w:hint="eastAsia" w:ascii="宋体" w:hAnsi="宋体" w:cs="宋体"/>
          <w:kern w:val="0"/>
          <w:sz w:val="22"/>
          <w:szCs w:val="22"/>
        </w:rPr>
        <w:t>需满足以下要求：</w:t>
      </w:r>
    </w:p>
    <w:p>
      <w:pPr>
        <w:numPr>
          <w:ilvl w:val="1"/>
          <w:numId w:val="59"/>
        </w:numPr>
        <w:snapToGrid w:val="0"/>
        <w:spacing w:line="360" w:lineRule="auto"/>
        <w:jc w:val="left"/>
        <w:rPr>
          <w:rFonts w:hint="eastAsia" w:ascii="宋体" w:hAnsi="宋体" w:cs="宋体"/>
          <w:kern w:val="0"/>
          <w:sz w:val="22"/>
          <w:szCs w:val="22"/>
        </w:rPr>
      </w:pPr>
      <w:r>
        <w:rPr>
          <w:rFonts w:hint="eastAsia" w:ascii="宋体" w:hAnsi="宋体" w:cs="宋体"/>
          <w:kern w:val="0"/>
          <w:sz w:val="22"/>
          <w:szCs w:val="22"/>
        </w:rPr>
        <w:t>供应商可实时登录门户网站对其信息进行补充、修改和更新。包括供应商基本信息、资质信息、联系人信息、业绩信息、银行帐号等信息的在线维护功能，支持供应商管理品类目录功能，为后续采购过程供应商邀请提供支撑。</w:t>
      </w:r>
    </w:p>
    <w:p>
      <w:pPr>
        <w:numPr>
          <w:ilvl w:val="1"/>
          <w:numId w:val="59"/>
        </w:numPr>
        <w:snapToGrid w:val="0"/>
        <w:spacing w:line="360" w:lineRule="auto"/>
        <w:jc w:val="left"/>
        <w:rPr>
          <w:rFonts w:hint="eastAsia" w:ascii="宋体" w:hAnsi="宋体" w:cs="宋体"/>
          <w:kern w:val="0"/>
          <w:sz w:val="22"/>
          <w:szCs w:val="22"/>
        </w:rPr>
      </w:pPr>
      <w:r>
        <w:rPr>
          <w:rFonts w:hint="eastAsia" w:ascii="宋体" w:hAnsi="宋体" w:cs="宋体"/>
          <w:kern w:val="0"/>
          <w:sz w:val="22"/>
          <w:szCs w:val="22"/>
        </w:rPr>
        <w:t>供应商注册、变更需提交申请，经审核通过后生效。</w:t>
      </w:r>
    </w:p>
    <w:p>
      <w:pPr>
        <w:numPr>
          <w:ilvl w:val="1"/>
          <w:numId w:val="59"/>
        </w:numPr>
        <w:snapToGrid w:val="0"/>
        <w:spacing w:line="360" w:lineRule="auto"/>
        <w:jc w:val="left"/>
        <w:rPr>
          <w:rFonts w:hint="eastAsia" w:ascii="宋体" w:hAnsi="宋体" w:cs="宋体"/>
          <w:kern w:val="0"/>
          <w:sz w:val="22"/>
          <w:szCs w:val="22"/>
        </w:rPr>
      </w:pPr>
      <w:r>
        <w:rPr>
          <w:rFonts w:hint="eastAsia" w:ascii="宋体" w:hAnsi="宋体" w:cs="宋体"/>
          <w:kern w:val="0"/>
          <w:sz w:val="22"/>
          <w:szCs w:val="22"/>
        </w:rPr>
        <w:t>系统提供供应商注册入库审核功能，对供应商填报提交的注册信息进行审核，审核通过后，成为注册供应商，如果未审核通过，可退回供应商修改。</w:t>
      </w:r>
    </w:p>
    <w:bookmarkEnd w:id="485"/>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bookmarkStart w:id="486" w:name="_Toc518423630"/>
      <w:bookmarkStart w:id="487" w:name="_Toc31784"/>
      <w:bookmarkStart w:id="488" w:name="_Toc8531"/>
      <w:bookmarkStart w:id="489" w:name="_Toc2960594"/>
      <w:bookmarkStart w:id="490" w:name="_Toc115"/>
      <w:bookmarkStart w:id="491" w:name="_Toc14968"/>
      <w:bookmarkStart w:id="492" w:name="_Toc7933"/>
      <w:bookmarkStart w:id="493" w:name="_Toc6303"/>
      <w:bookmarkStart w:id="494" w:name="_Toc485031293"/>
      <w:r>
        <w:rPr>
          <w:rFonts w:hint="eastAsia" w:ascii="宋体" w:hAnsi="宋体" w:cs="宋体"/>
          <w:b/>
          <w:bCs/>
          <w:sz w:val="22"/>
          <w:szCs w:val="22"/>
        </w:rPr>
        <w:t>供应商分类</w:t>
      </w:r>
      <w:bookmarkEnd w:id="486"/>
      <w:r>
        <w:rPr>
          <w:rFonts w:hint="eastAsia" w:ascii="宋体" w:hAnsi="宋体" w:cs="宋体"/>
          <w:b/>
          <w:bCs/>
          <w:sz w:val="22"/>
          <w:szCs w:val="22"/>
        </w:rPr>
        <w:t>管理</w:t>
      </w:r>
      <w:bookmarkEnd w:id="487"/>
      <w:bookmarkEnd w:id="488"/>
      <w:bookmarkEnd w:id="489"/>
      <w:bookmarkEnd w:id="490"/>
      <w:bookmarkEnd w:id="491"/>
      <w:bookmarkEnd w:id="492"/>
      <w:bookmarkEnd w:id="493"/>
    </w:p>
    <w:p>
      <w:pPr>
        <w:snapToGrid w:val="0"/>
        <w:spacing w:line="360" w:lineRule="auto"/>
        <w:ind w:firstLine="440" w:firstLineChars="200"/>
        <w:jc w:val="left"/>
        <w:rPr>
          <w:rFonts w:hint="eastAsia" w:ascii="宋体" w:hAnsi="宋体" w:cs="宋体"/>
          <w:kern w:val="0"/>
          <w:sz w:val="22"/>
          <w:szCs w:val="22"/>
        </w:rPr>
      </w:pPr>
      <w:r>
        <w:rPr>
          <w:rFonts w:hint="eastAsia" w:ascii="宋体" w:hAnsi="宋体" w:cs="宋体"/>
          <w:kern w:val="0"/>
          <w:sz w:val="22"/>
          <w:szCs w:val="22"/>
        </w:rPr>
        <w:t>可根据供应商经营品目、经营范围、使用单位进行分类管理。</w:t>
      </w:r>
      <w:bookmarkEnd w:id="494"/>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处罚管理</w:t>
      </w:r>
    </w:p>
    <w:p>
      <w:pPr>
        <w:snapToGrid w:val="0"/>
        <w:spacing w:line="360" w:lineRule="auto"/>
        <w:ind w:left="200" w:firstLine="220" w:firstLineChars="100"/>
        <w:rPr>
          <w:rFonts w:hint="eastAsia" w:ascii="宋体" w:hAnsi="宋体" w:cs="宋体"/>
          <w:sz w:val="22"/>
          <w:szCs w:val="22"/>
        </w:rPr>
      </w:pPr>
      <w:r>
        <w:rPr>
          <w:rFonts w:hint="eastAsia" w:ascii="宋体" w:hAnsi="宋体" w:cs="宋体"/>
          <w:sz w:val="22"/>
          <w:szCs w:val="22"/>
        </w:rPr>
        <w:t>提供供应商处罚信息登记管理、审批管理功能。</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风险管理</w:t>
      </w:r>
    </w:p>
    <w:p>
      <w:pPr>
        <w:snapToGrid w:val="0"/>
        <w:spacing w:line="360" w:lineRule="auto"/>
        <w:ind w:left="200" w:firstLine="220" w:firstLineChars="100"/>
        <w:rPr>
          <w:rFonts w:hint="eastAsia" w:ascii="宋体" w:hAnsi="宋体" w:cs="宋体"/>
          <w:sz w:val="22"/>
          <w:szCs w:val="22"/>
        </w:rPr>
      </w:pPr>
      <w:r>
        <w:rPr>
          <w:rFonts w:hint="eastAsia" w:ascii="宋体" w:hAnsi="宋体" w:cs="宋体"/>
          <w:sz w:val="22"/>
          <w:szCs w:val="22"/>
        </w:rPr>
        <w:t>提供供应商风险信息登记和预警提醒功能。</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bookmarkStart w:id="495" w:name="_Toc14534"/>
      <w:bookmarkStart w:id="496" w:name="_Toc2960596"/>
      <w:bookmarkStart w:id="497" w:name="_Toc19955"/>
      <w:bookmarkStart w:id="498" w:name="_Toc3494"/>
      <w:bookmarkStart w:id="499" w:name="_Toc12631"/>
      <w:bookmarkStart w:id="500" w:name="_Toc1068"/>
      <w:bookmarkStart w:id="501" w:name="_Toc27026"/>
      <w:r>
        <w:rPr>
          <w:rFonts w:hint="eastAsia" w:ascii="宋体" w:hAnsi="宋体" w:cs="宋体"/>
          <w:b/>
          <w:bCs/>
          <w:sz w:val="22"/>
          <w:szCs w:val="22"/>
        </w:rPr>
        <w:t>黑名单管理</w:t>
      </w:r>
      <w:bookmarkEnd w:id="495"/>
      <w:bookmarkEnd w:id="496"/>
      <w:bookmarkEnd w:id="497"/>
      <w:bookmarkEnd w:id="498"/>
      <w:bookmarkEnd w:id="499"/>
      <w:bookmarkEnd w:id="500"/>
      <w:bookmarkEnd w:id="501"/>
    </w:p>
    <w:p>
      <w:pPr>
        <w:snapToGrid w:val="0"/>
        <w:spacing w:line="360" w:lineRule="auto"/>
        <w:ind w:left="200" w:firstLine="220" w:firstLineChars="100"/>
        <w:rPr>
          <w:rFonts w:hint="eastAsia" w:ascii="宋体" w:hAnsi="宋体" w:cs="宋体"/>
          <w:sz w:val="22"/>
          <w:szCs w:val="22"/>
        </w:rPr>
      </w:pPr>
      <w:r>
        <w:rPr>
          <w:rFonts w:hint="eastAsia" w:ascii="宋体" w:hAnsi="宋体" w:cs="宋体"/>
          <w:sz w:val="22"/>
          <w:szCs w:val="22"/>
        </w:rPr>
        <w:t>应提供黑名单管理体系，支持集团各单位对供应商单独黑名单管理，并能通过多维度查询条件查询黑名单供应商。</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bookmarkStart w:id="502" w:name="_Toc518423625"/>
      <w:bookmarkStart w:id="503" w:name="_Toc20015"/>
      <w:bookmarkStart w:id="504" w:name="_Toc2960591"/>
      <w:bookmarkStart w:id="505" w:name="_Toc8833"/>
      <w:bookmarkStart w:id="506" w:name="_Toc23659"/>
      <w:bookmarkStart w:id="507" w:name="_Toc12388"/>
      <w:bookmarkStart w:id="508" w:name="_Toc13433"/>
      <w:bookmarkStart w:id="509" w:name="_Toc3848"/>
      <w:bookmarkStart w:id="510" w:name="_Toc2960597"/>
      <w:r>
        <w:rPr>
          <w:rFonts w:hint="eastAsia" w:ascii="宋体" w:hAnsi="宋体" w:cs="宋体"/>
          <w:b/>
          <w:bCs/>
          <w:sz w:val="22"/>
          <w:szCs w:val="22"/>
        </w:rPr>
        <w:t>供应商停用管理</w:t>
      </w:r>
      <w:bookmarkEnd w:id="502"/>
      <w:bookmarkEnd w:id="503"/>
      <w:bookmarkEnd w:id="504"/>
      <w:bookmarkEnd w:id="505"/>
      <w:bookmarkEnd w:id="506"/>
      <w:bookmarkEnd w:id="507"/>
      <w:bookmarkEnd w:id="508"/>
      <w:bookmarkEnd w:id="509"/>
    </w:p>
    <w:p>
      <w:pPr>
        <w:snapToGrid w:val="0"/>
        <w:spacing w:line="360" w:lineRule="auto"/>
        <w:ind w:firstLine="440" w:firstLineChars="200"/>
        <w:rPr>
          <w:rFonts w:hint="eastAsia" w:ascii="宋体" w:hAnsi="宋体" w:cs="宋体"/>
          <w:sz w:val="22"/>
          <w:szCs w:val="22"/>
        </w:rPr>
      </w:pPr>
      <w:r>
        <w:rPr>
          <w:rFonts w:hint="eastAsia" w:ascii="宋体" w:hAnsi="宋体" w:cs="宋体"/>
          <w:sz w:val="22"/>
          <w:szCs w:val="22"/>
        </w:rPr>
        <w:t>应能设置停用规则，自动将符合规则供应商进入停用状态，并可恢复为准入状态。</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bookmarkStart w:id="511" w:name="_Toc15711"/>
      <w:bookmarkStart w:id="512" w:name="_Toc2912"/>
      <w:bookmarkStart w:id="513" w:name="_Toc11111"/>
      <w:bookmarkStart w:id="514" w:name="_Toc16818"/>
      <w:bookmarkStart w:id="515" w:name="_Toc5632"/>
      <w:bookmarkStart w:id="516" w:name="_Toc13177"/>
      <w:r>
        <w:rPr>
          <w:rFonts w:hint="eastAsia" w:ascii="宋体" w:hAnsi="宋体" w:cs="宋体"/>
          <w:b/>
          <w:bCs/>
          <w:sz w:val="22"/>
          <w:szCs w:val="22"/>
        </w:rPr>
        <w:t>供应商密码重置</w:t>
      </w:r>
      <w:bookmarkEnd w:id="511"/>
      <w:bookmarkEnd w:id="512"/>
      <w:bookmarkEnd w:id="513"/>
      <w:bookmarkEnd w:id="514"/>
      <w:bookmarkEnd w:id="515"/>
      <w:bookmarkEnd w:id="516"/>
    </w:p>
    <w:p>
      <w:pPr>
        <w:snapToGrid w:val="0"/>
        <w:spacing w:line="360" w:lineRule="auto"/>
        <w:ind w:firstLine="440" w:firstLineChars="200"/>
        <w:rPr>
          <w:rFonts w:hint="eastAsia" w:ascii="宋体" w:hAnsi="宋体" w:cs="宋体"/>
          <w:sz w:val="22"/>
          <w:szCs w:val="22"/>
        </w:rPr>
      </w:pPr>
      <w:r>
        <w:rPr>
          <w:rFonts w:hint="eastAsia" w:ascii="宋体" w:hAnsi="宋体" w:cs="宋体"/>
          <w:sz w:val="22"/>
          <w:szCs w:val="22"/>
        </w:rPr>
        <w:t>提供供应商在线密码找回和后台密码重置功能。</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供应商日常管理</w:t>
      </w:r>
    </w:p>
    <w:p>
      <w:pPr>
        <w:numPr>
          <w:ilvl w:val="0"/>
          <w:numId w:val="60"/>
        </w:numPr>
        <w:snapToGrid w:val="0"/>
        <w:spacing w:line="360" w:lineRule="auto"/>
        <w:ind w:firstLine="440" w:firstLineChars="200"/>
        <w:rPr>
          <w:rFonts w:hint="eastAsia" w:ascii="宋体" w:hAnsi="宋体" w:cs="宋体"/>
          <w:kern w:val="0"/>
          <w:sz w:val="22"/>
          <w:szCs w:val="22"/>
          <w:lang w:bidi="en-US"/>
        </w:rPr>
      </w:pPr>
      <w:r>
        <w:rPr>
          <w:rFonts w:hint="eastAsia" w:ascii="宋体" w:hAnsi="宋体" w:cs="宋体"/>
          <w:kern w:val="0"/>
          <w:sz w:val="22"/>
          <w:szCs w:val="22"/>
          <w:lang w:bidi="en-US"/>
        </w:rPr>
        <w:t>满足对供应商查看管理功能。</w:t>
      </w:r>
    </w:p>
    <w:p>
      <w:pPr>
        <w:numPr>
          <w:ilvl w:val="0"/>
          <w:numId w:val="60"/>
        </w:numPr>
        <w:snapToGrid w:val="0"/>
        <w:spacing w:line="360" w:lineRule="auto"/>
        <w:ind w:firstLine="440" w:firstLineChars="200"/>
        <w:rPr>
          <w:rFonts w:hint="eastAsia" w:ascii="宋体" w:hAnsi="宋体" w:cs="宋体"/>
          <w:kern w:val="0"/>
          <w:sz w:val="22"/>
          <w:szCs w:val="22"/>
          <w:lang w:bidi="en-US"/>
        </w:rPr>
      </w:pPr>
      <w:r>
        <w:rPr>
          <w:rFonts w:hint="eastAsia" w:ascii="宋体" w:hAnsi="宋体" w:cs="宋体"/>
          <w:kern w:val="0"/>
          <w:sz w:val="22"/>
          <w:szCs w:val="22"/>
          <w:lang w:bidi="en-US"/>
        </w:rPr>
        <w:t>支持供应商信息数据的快速注册和查询操作。</w:t>
      </w:r>
    </w:p>
    <w:p>
      <w:pPr>
        <w:keepNext/>
        <w:keepLines/>
        <w:numPr>
          <w:ilvl w:val="2"/>
          <w:numId w:val="57"/>
        </w:numPr>
        <w:snapToGrid w:val="0"/>
        <w:spacing w:line="360" w:lineRule="auto"/>
        <w:jc w:val="left"/>
        <w:outlineLvl w:val="2"/>
        <w:rPr>
          <w:rFonts w:hint="eastAsia" w:ascii="宋体" w:hAnsi="宋体" w:cs="宋体"/>
          <w:b/>
          <w:bCs/>
          <w:sz w:val="22"/>
          <w:szCs w:val="22"/>
        </w:rPr>
      </w:pPr>
      <w:bookmarkStart w:id="517" w:name="_Toc25032"/>
      <w:bookmarkStart w:id="518" w:name="_Toc27918"/>
      <w:bookmarkStart w:id="519" w:name="_Toc15861"/>
      <w:bookmarkStart w:id="520" w:name="_Toc12984"/>
      <w:bookmarkStart w:id="521" w:name="_Toc4138"/>
      <w:bookmarkStart w:id="522" w:name="_Toc32323"/>
      <w:bookmarkStart w:id="523" w:name="_Toc15064"/>
      <w:bookmarkStart w:id="524" w:name="_Toc3468"/>
      <w:bookmarkStart w:id="525" w:name="_Toc6678"/>
      <w:bookmarkStart w:id="526" w:name="_Toc23061"/>
      <w:r>
        <w:rPr>
          <w:rFonts w:hint="eastAsia" w:ascii="宋体" w:hAnsi="宋体" w:cs="宋体"/>
          <w:b/>
          <w:bCs/>
          <w:sz w:val="22"/>
          <w:szCs w:val="22"/>
        </w:rPr>
        <w:t>供应商考评管理</w:t>
      </w:r>
      <w:bookmarkEnd w:id="517"/>
      <w:bookmarkEnd w:id="518"/>
      <w:bookmarkEnd w:id="519"/>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供应商入库评估</w:t>
      </w:r>
    </w:p>
    <w:p>
      <w:pPr>
        <w:snapToGrid w:val="0"/>
        <w:spacing w:line="360" w:lineRule="auto"/>
        <w:ind w:firstLine="440" w:firstLineChars="200"/>
        <w:jc w:val="left"/>
        <w:rPr>
          <w:rFonts w:hint="eastAsia" w:ascii="宋体" w:hAnsi="宋体" w:cs="宋体"/>
          <w:kern w:val="0"/>
          <w:sz w:val="22"/>
          <w:szCs w:val="22"/>
        </w:rPr>
      </w:pPr>
      <w:r>
        <w:rPr>
          <w:rFonts w:hint="eastAsia" w:ascii="宋体" w:hAnsi="宋体" w:cs="宋体"/>
          <w:kern w:val="0"/>
          <w:sz w:val="22"/>
          <w:szCs w:val="22"/>
        </w:rPr>
        <w:t>供应商入库评估主要用于入库时对供应商基本信息、财务指标、业务能力进行评估，根据采购目录的不同，制定不同的评分模板。在评估时，针对业务指标、财务等指标选择不同的评估人进行打分，最终汇总得出入库评估得分，可根据入库的得分情况区分供应商是否为合格供应商。</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供应商履约评估</w:t>
      </w:r>
    </w:p>
    <w:p>
      <w:pPr>
        <w:snapToGrid w:val="0"/>
        <w:spacing w:line="360" w:lineRule="auto"/>
        <w:ind w:firstLine="440" w:firstLineChars="200"/>
        <w:jc w:val="left"/>
        <w:rPr>
          <w:rFonts w:hint="eastAsia" w:ascii="宋体" w:hAnsi="宋体" w:cs="宋体"/>
          <w:kern w:val="0"/>
          <w:sz w:val="22"/>
          <w:szCs w:val="22"/>
        </w:rPr>
      </w:pPr>
      <w:r>
        <w:rPr>
          <w:rFonts w:hint="eastAsia" w:ascii="宋体" w:hAnsi="宋体" w:cs="宋体"/>
          <w:kern w:val="0"/>
          <w:sz w:val="22"/>
          <w:szCs w:val="22"/>
        </w:rPr>
        <w:t>供应商履约评估为供应商实际执行合同时在关键节点，如交货、上线、服务期满等时，对供应商进行的评估，主要衡量供应商的履约能力，由合同经办人在关键节点发生时，发起履约评估，选择对应的评估人，得出履约评估得分。</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供应商周期绩效评估</w:t>
      </w:r>
    </w:p>
    <w:p>
      <w:pPr>
        <w:snapToGrid w:val="0"/>
        <w:spacing w:line="360" w:lineRule="auto"/>
        <w:ind w:firstLine="440" w:firstLineChars="200"/>
        <w:jc w:val="left"/>
        <w:rPr>
          <w:rFonts w:hint="eastAsia" w:ascii="宋体" w:hAnsi="宋体" w:cs="宋体"/>
          <w:kern w:val="0"/>
          <w:sz w:val="22"/>
          <w:szCs w:val="22"/>
        </w:rPr>
      </w:pPr>
      <w:r>
        <w:rPr>
          <w:rFonts w:hint="eastAsia" w:ascii="宋体" w:hAnsi="宋体" w:cs="宋体"/>
          <w:kern w:val="0"/>
          <w:sz w:val="22"/>
          <w:szCs w:val="22"/>
        </w:rPr>
        <w:t>供应商周期评估是指以月、季度、半年度、年度为周期对供应商在周期内的表现进行评估，一次选取一批供应商。在评估时，针对业务指标、财务等指标选择不同的评估人进行打分。</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供应商日常评价</w:t>
      </w:r>
    </w:p>
    <w:p>
      <w:pPr>
        <w:snapToGrid w:val="0"/>
        <w:spacing w:line="360" w:lineRule="auto"/>
        <w:ind w:firstLine="440" w:firstLineChars="200"/>
        <w:jc w:val="left"/>
        <w:rPr>
          <w:rFonts w:hint="eastAsia" w:ascii="宋体" w:hAnsi="宋体" w:cs="宋体"/>
          <w:kern w:val="0"/>
          <w:sz w:val="22"/>
          <w:szCs w:val="22"/>
        </w:rPr>
      </w:pPr>
      <w:r>
        <w:rPr>
          <w:rFonts w:hint="eastAsia" w:ascii="宋体" w:hAnsi="宋体" w:cs="宋体"/>
          <w:kern w:val="0"/>
          <w:sz w:val="22"/>
          <w:szCs w:val="22"/>
        </w:rPr>
        <w:t>供应商日常评价是指在日常工作中，如果供应商发现表现优异或者出现事故，对供应商进行加分或者减分。</w:t>
      </w:r>
    </w:p>
    <w:p>
      <w:pPr>
        <w:keepNext/>
        <w:keepLines/>
        <w:numPr>
          <w:ilvl w:val="2"/>
          <w:numId w:val="57"/>
        </w:numPr>
        <w:snapToGrid w:val="0"/>
        <w:spacing w:line="360" w:lineRule="auto"/>
        <w:jc w:val="left"/>
        <w:outlineLvl w:val="2"/>
        <w:rPr>
          <w:rFonts w:hint="eastAsia" w:ascii="宋体" w:hAnsi="宋体" w:cs="宋体"/>
          <w:b/>
          <w:bCs/>
          <w:sz w:val="22"/>
          <w:szCs w:val="22"/>
        </w:rPr>
      </w:pPr>
      <w:bookmarkStart w:id="527" w:name="_Toc3319"/>
      <w:bookmarkStart w:id="528" w:name="_Toc17681"/>
      <w:r>
        <w:rPr>
          <w:rFonts w:hint="eastAsia" w:ascii="宋体" w:hAnsi="宋体" w:cs="宋体"/>
          <w:b/>
          <w:bCs/>
          <w:sz w:val="22"/>
          <w:szCs w:val="22"/>
        </w:rPr>
        <w:t>供应商信息查询和统计</w:t>
      </w:r>
      <w:bookmarkEnd w:id="520"/>
      <w:bookmarkEnd w:id="521"/>
      <w:bookmarkEnd w:id="522"/>
      <w:bookmarkEnd w:id="523"/>
      <w:bookmarkEnd w:id="524"/>
      <w:bookmarkEnd w:id="525"/>
      <w:bookmarkEnd w:id="526"/>
      <w:bookmarkEnd w:id="527"/>
      <w:bookmarkEnd w:id="528"/>
    </w:p>
    <w:p>
      <w:pPr>
        <w:snapToGrid w:val="0"/>
        <w:spacing w:line="360" w:lineRule="auto"/>
        <w:ind w:firstLine="440" w:firstLineChars="200"/>
        <w:rPr>
          <w:rFonts w:hint="eastAsia" w:ascii="宋体" w:hAnsi="宋体" w:cs="宋体"/>
          <w:kern w:val="0"/>
          <w:sz w:val="22"/>
          <w:szCs w:val="22"/>
          <w:lang w:bidi="en-US"/>
        </w:rPr>
      </w:pPr>
      <w:r>
        <w:rPr>
          <w:rFonts w:hint="eastAsia" w:ascii="宋体" w:hAnsi="宋体" w:cs="宋体"/>
          <w:kern w:val="0"/>
          <w:sz w:val="22"/>
          <w:szCs w:val="22"/>
          <w:lang w:bidi="en-US"/>
        </w:rPr>
        <w:t>需满足以下要求：</w:t>
      </w:r>
    </w:p>
    <w:p>
      <w:pPr>
        <w:numPr>
          <w:ilvl w:val="0"/>
          <w:numId w:val="61"/>
        </w:numPr>
        <w:snapToGrid w:val="0"/>
        <w:spacing w:line="360" w:lineRule="auto"/>
        <w:jc w:val="left"/>
        <w:rPr>
          <w:rFonts w:hint="eastAsia" w:ascii="宋体" w:hAnsi="宋体" w:cs="宋体"/>
          <w:kern w:val="0"/>
          <w:sz w:val="22"/>
          <w:szCs w:val="22"/>
          <w:lang w:bidi="en-US"/>
        </w:rPr>
      </w:pPr>
      <w:r>
        <w:rPr>
          <w:rFonts w:hint="eastAsia" w:ascii="宋体" w:hAnsi="宋体" w:cs="宋体"/>
          <w:kern w:val="0"/>
          <w:sz w:val="22"/>
          <w:szCs w:val="22"/>
          <w:lang w:bidi="en-US"/>
        </w:rPr>
        <w:t>应可进行供应商综合查询、供应商风险分析预警管理、供应商绩效分析等。</w:t>
      </w:r>
    </w:p>
    <w:p>
      <w:pPr>
        <w:numPr>
          <w:ilvl w:val="0"/>
          <w:numId w:val="61"/>
        </w:numPr>
        <w:snapToGrid w:val="0"/>
        <w:spacing w:line="360" w:lineRule="auto"/>
        <w:jc w:val="left"/>
        <w:rPr>
          <w:rFonts w:hint="eastAsia" w:ascii="宋体" w:hAnsi="宋体" w:cs="宋体"/>
          <w:kern w:val="0"/>
          <w:sz w:val="22"/>
          <w:szCs w:val="22"/>
          <w:lang w:bidi="en-US"/>
        </w:rPr>
      </w:pPr>
      <w:r>
        <w:rPr>
          <w:rFonts w:hint="eastAsia" w:ascii="宋体" w:hAnsi="宋体" w:cs="宋体"/>
          <w:kern w:val="0"/>
          <w:sz w:val="22"/>
          <w:szCs w:val="22"/>
          <w:lang w:bidi="en-US"/>
        </w:rPr>
        <w:t>对供应商报名、中标、合同签订情况、投诉等进行统计分析。</w:t>
      </w:r>
    </w:p>
    <w:p>
      <w:pPr>
        <w:numPr>
          <w:ilvl w:val="0"/>
          <w:numId w:val="61"/>
        </w:numPr>
        <w:snapToGrid w:val="0"/>
        <w:spacing w:line="360" w:lineRule="auto"/>
        <w:jc w:val="left"/>
        <w:rPr>
          <w:rFonts w:hint="eastAsia" w:ascii="宋体" w:hAnsi="宋体" w:cs="宋体"/>
          <w:kern w:val="0"/>
          <w:sz w:val="22"/>
          <w:szCs w:val="22"/>
          <w:lang w:bidi="en-US"/>
        </w:rPr>
      </w:pPr>
      <w:r>
        <w:rPr>
          <w:rFonts w:hint="eastAsia" w:ascii="宋体" w:hAnsi="宋体" w:cs="宋体"/>
          <w:kern w:val="0"/>
          <w:sz w:val="22"/>
          <w:szCs w:val="22"/>
          <w:lang w:bidi="en-US"/>
        </w:rPr>
        <w:t>按照采购金额、采购量等维度对供应商进行查询。</w:t>
      </w:r>
    </w:p>
    <w:p>
      <w:pPr>
        <w:numPr>
          <w:ilvl w:val="0"/>
          <w:numId w:val="61"/>
        </w:numPr>
        <w:snapToGrid w:val="0"/>
        <w:spacing w:line="360" w:lineRule="auto"/>
        <w:jc w:val="left"/>
        <w:rPr>
          <w:rFonts w:hint="eastAsia" w:ascii="宋体" w:hAnsi="宋体" w:cs="宋体"/>
          <w:kern w:val="0"/>
          <w:sz w:val="22"/>
          <w:szCs w:val="22"/>
          <w:lang w:bidi="en-US"/>
        </w:rPr>
      </w:pPr>
      <w:r>
        <w:rPr>
          <w:rFonts w:hint="eastAsia" w:ascii="宋体" w:hAnsi="宋体" w:cs="宋体"/>
          <w:kern w:val="0"/>
          <w:sz w:val="22"/>
          <w:szCs w:val="22"/>
          <w:lang w:bidi="en-US"/>
        </w:rPr>
        <w:t>统计数据Excel导出。</w:t>
      </w:r>
    </w:p>
    <w:bookmarkEnd w:id="510"/>
    <w:p>
      <w:pPr>
        <w:keepNext/>
        <w:keepLines/>
        <w:numPr>
          <w:ilvl w:val="2"/>
          <w:numId w:val="57"/>
        </w:numPr>
        <w:snapToGrid w:val="0"/>
        <w:spacing w:line="360" w:lineRule="auto"/>
        <w:jc w:val="left"/>
        <w:outlineLvl w:val="2"/>
        <w:rPr>
          <w:rFonts w:hint="eastAsia" w:ascii="宋体" w:hAnsi="宋体" w:cs="宋体"/>
          <w:b/>
          <w:bCs/>
          <w:sz w:val="22"/>
          <w:szCs w:val="22"/>
        </w:rPr>
      </w:pPr>
      <w:bookmarkStart w:id="529" w:name="_Toc18262"/>
      <w:bookmarkStart w:id="530" w:name="_Toc17534"/>
      <w:bookmarkStart w:id="531" w:name="_Toc18520"/>
      <w:bookmarkStart w:id="532" w:name="_Toc30605"/>
      <w:bookmarkStart w:id="533" w:name="_Toc10235"/>
      <w:bookmarkStart w:id="534" w:name="_Toc3503"/>
      <w:bookmarkStart w:id="535" w:name="_Toc2960599"/>
      <w:bookmarkStart w:id="536" w:name="_Toc19408"/>
      <w:bookmarkStart w:id="537" w:name="_Toc25367"/>
      <w:bookmarkStart w:id="538" w:name="_Toc16161"/>
      <w:r>
        <w:rPr>
          <w:rFonts w:hint="eastAsia" w:ascii="宋体" w:hAnsi="宋体" w:cs="宋体"/>
          <w:b/>
          <w:bCs/>
          <w:sz w:val="22"/>
          <w:szCs w:val="22"/>
        </w:rPr>
        <w:t>评标专家管理</w:t>
      </w:r>
      <w:bookmarkEnd w:id="529"/>
      <w:bookmarkEnd w:id="530"/>
      <w:bookmarkEnd w:id="531"/>
      <w:bookmarkEnd w:id="532"/>
      <w:bookmarkEnd w:id="533"/>
      <w:bookmarkEnd w:id="534"/>
      <w:bookmarkEnd w:id="535"/>
      <w:bookmarkEnd w:id="536"/>
      <w:bookmarkEnd w:id="537"/>
      <w:bookmarkEnd w:id="538"/>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bookmarkStart w:id="539" w:name="_Toc17269"/>
      <w:bookmarkStart w:id="540" w:name="_Toc17374"/>
      <w:bookmarkStart w:id="541" w:name="_Toc2960600"/>
      <w:bookmarkStart w:id="542" w:name="_Toc9623"/>
      <w:bookmarkStart w:id="543" w:name="_Toc1426"/>
      <w:bookmarkStart w:id="544" w:name="_Toc30363"/>
      <w:bookmarkStart w:id="545" w:name="_Toc15900"/>
      <w:r>
        <w:rPr>
          <w:rFonts w:hint="eastAsia" w:ascii="宋体" w:hAnsi="宋体" w:cs="宋体"/>
          <w:b/>
          <w:bCs/>
          <w:sz w:val="22"/>
          <w:szCs w:val="22"/>
        </w:rPr>
        <w:t>专家入库管理</w:t>
      </w:r>
      <w:bookmarkEnd w:id="539"/>
      <w:bookmarkEnd w:id="540"/>
      <w:bookmarkEnd w:id="541"/>
      <w:bookmarkEnd w:id="542"/>
      <w:bookmarkEnd w:id="543"/>
      <w:bookmarkEnd w:id="544"/>
      <w:bookmarkEnd w:id="545"/>
    </w:p>
    <w:p>
      <w:pPr>
        <w:snapToGrid w:val="0"/>
        <w:spacing w:line="360" w:lineRule="auto"/>
        <w:ind w:firstLine="440" w:firstLineChars="200"/>
        <w:rPr>
          <w:rFonts w:hint="eastAsia" w:ascii="宋体" w:hAnsi="宋体" w:cs="宋体"/>
          <w:sz w:val="22"/>
          <w:szCs w:val="22"/>
        </w:rPr>
      </w:pPr>
      <w:r>
        <w:rPr>
          <w:rFonts w:hint="eastAsia" w:ascii="宋体" w:hAnsi="宋体" w:cs="宋体"/>
          <w:sz w:val="22"/>
          <w:szCs w:val="22"/>
        </w:rPr>
        <w:t>需满足以下要求：</w:t>
      </w:r>
    </w:p>
    <w:p>
      <w:pPr>
        <w:numPr>
          <w:ilvl w:val="0"/>
          <w:numId w:val="62"/>
        </w:numPr>
        <w:snapToGrid w:val="0"/>
        <w:spacing w:line="360" w:lineRule="auto"/>
        <w:ind w:left="0" w:firstLine="440" w:firstLineChars="200"/>
        <w:rPr>
          <w:rFonts w:hint="eastAsia" w:ascii="宋体" w:hAnsi="宋体" w:cs="宋体"/>
          <w:sz w:val="22"/>
          <w:szCs w:val="22"/>
        </w:rPr>
      </w:pPr>
      <w:r>
        <w:rPr>
          <w:rFonts w:hint="eastAsia" w:ascii="宋体" w:hAnsi="宋体" w:cs="宋体"/>
          <w:sz w:val="22"/>
          <w:szCs w:val="22"/>
        </w:rPr>
        <w:t>提供集团内部员工通过系统自助进行专家注册功能。</w:t>
      </w:r>
    </w:p>
    <w:p>
      <w:pPr>
        <w:numPr>
          <w:ilvl w:val="0"/>
          <w:numId w:val="62"/>
        </w:numPr>
        <w:snapToGrid w:val="0"/>
        <w:spacing w:line="360" w:lineRule="auto"/>
        <w:ind w:left="0" w:firstLine="440" w:firstLineChars="200"/>
        <w:rPr>
          <w:rFonts w:hint="eastAsia" w:ascii="宋体" w:hAnsi="宋体" w:cs="宋体"/>
          <w:sz w:val="22"/>
          <w:szCs w:val="22"/>
        </w:rPr>
      </w:pPr>
      <w:r>
        <w:rPr>
          <w:rFonts w:hint="eastAsia" w:ascii="宋体" w:hAnsi="宋体" w:cs="宋体"/>
          <w:sz w:val="22"/>
          <w:szCs w:val="22"/>
        </w:rPr>
        <w:t>专家信息记录与修改：记录专家基本信息、银行信息、工作经历、评标信息、回避单位、证照信息等详细信息，招标人及专家本人能对信息进行维护，</w:t>
      </w:r>
    </w:p>
    <w:p>
      <w:pPr>
        <w:numPr>
          <w:ilvl w:val="0"/>
          <w:numId w:val="62"/>
        </w:numPr>
        <w:snapToGrid w:val="0"/>
        <w:spacing w:line="360" w:lineRule="auto"/>
        <w:ind w:left="0" w:firstLine="440" w:firstLineChars="200"/>
        <w:rPr>
          <w:rFonts w:hint="eastAsia" w:ascii="宋体" w:hAnsi="宋体" w:cs="宋体"/>
          <w:sz w:val="22"/>
          <w:szCs w:val="22"/>
        </w:rPr>
      </w:pPr>
      <w:r>
        <w:rPr>
          <w:rFonts w:hint="eastAsia" w:ascii="宋体" w:hAnsi="宋体" w:cs="宋体"/>
          <w:sz w:val="22"/>
          <w:szCs w:val="22"/>
        </w:rPr>
        <w:t>提供专家管理员功能，对于专家注册信息进行审核，信息注册或修改的信息需经审核后才能生效入库。</w:t>
      </w:r>
    </w:p>
    <w:p>
      <w:pPr>
        <w:numPr>
          <w:ilvl w:val="0"/>
          <w:numId w:val="62"/>
        </w:numPr>
        <w:snapToGrid w:val="0"/>
        <w:spacing w:line="360" w:lineRule="auto"/>
        <w:ind w:left="0" w:firstLine="440" w:firstLineChars="200"/>
        <w:rPr>
          <w:rFonts w:hint="eastAsia" w:ascii="宋体" w:hAnsi="宋体" w:cs="宋体"/>
          <w:sz w:val="22"/>
          <w:szCs w:val="22"/>
        </w:rPr>
      </w:pPr>
      <w:r>
        <w:rPr>
          <w:rFonts w:hint="eastAsia" w:ascii="宋体" w:hAnsi="宋体" w:cs="宋体"/>
          <w:sz w:val="22"/>
          <w:szCs w:val="22"/>
        </w:rPr>
        <w:t>支持记录专家信息入库、变更和审核验证的时间以及责任人的功能。</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bookmarkStart w:id="546" w:name="_Toc19738"/>
      <w:bookmarkStart w:id="547" w:name="_Toc14229"/>
      <w:bookmarkStart w:id="548" w:name="_Toc15099"/>
      <w:bookmarkStart w:id="549" w:name="_Toc2960602"/>
      <w:bookmarkStart w:id="550" w:name="_Toc12133"/>
      <w:bookmarkStart w:id="551" w:name="_Toc11331"/>
      <w:bookmarkStart w:id="552" w:name="_Toc20644"/>
      <w:r>
        <w:rPr>
          <w:rFonts w:hint="eastAsia" w:ascii="宋体" w:hAnsi="宋体" w:cs="宋体"/>
          <w:b/>
          <w:bCs/>
          <w:sz w:val="22"/>
          <w:szCs w:val="22"/>
        </w:rPr>
        <w:t>专家日常管理</w:t>
      </w:r>
      <w:bookmarkEnd w:id="546"/>
      <w:bookmarkEnd w:id="547"/>
      <w:bookmarkEnd w:id="548"/>
      <w:bookmarkEnd w:id="549"/>
      <w:bookmarkEnd w:id="550"/>
      <w:bookmarkEnd w:id="551"/>
      <w:bookmarkEnd w:id="552"/>
    </w:p>
    <w:p>
      <w:pPr>
        <w:numPr>
          <w:ilvl w:val="0"/>
          <w:numId w:val="63"/>
        </w:numPr>
        <w:snapToGrid w:val="0"/>
        <w:spacing w:line="360" w:lineRule="auto"/>
        <w:ind w:firstLine="440" w:firstLineChars="200"/>
        <w:rPr>
          <w:rFonts w:hint="eastAsia" w:ascii="宋体" w:hAnsi="宋体" w:cs="宋体"/>
          <w:kern w:val="0"/>
          <w:sz w:val="22"/>
          <w:szCs w:val="22"/>
          <w:lang w:bidi="en-US"/>
        </w:rPr>
      </w:pPr>
      <w:r>
        <w:rPr>
          <w:rFonts w:hint="eastAsia" w:ascii="宋体" w:hAnsi="宋体" w:cs="宋体"/>
          <w:kern w:val="0"/>
          <w:sz w:val="22"/>
          <w:szCs w:val="22"/>
          <w:lang w:bidi="en-US"/>
        </w:rPr>
        <w:t>专家信息管理满足专家基本信息、单位信息、专业信息的管理。</w:t>
      </w:r>
    </w:p>
    <w:p>
      <w:pPr>
        <w:numPr>
          <w:ilvl w:val="0"/>
          <w:numId w:val="63"/>
        </w:numPr>
        <w:snapToGrid w:val="0"/>
        <w:spacing w:line="360" w:lineRule="auto"/>
        <w:ind w:firstLine="440" w:firstLineChars="200"/>
        <w:rPr>
          <w:rFonts w:hint="eastAsia" w:ascii="宋体" w:hAnsi="宋体" w:cs="宋体"/>
          <w:kern w:val="0"/>
          <w:sz w:val="22"/>
          <w:szCs w:val="22"/>
          <w:lang w:bidi="en-US"/>
        </w:rPr>
      </w:pPr>
      <w:r>
        <w:rPr>
          <w:rFonts w:hint="eastAsia" w:ascii="宋体" w:hAnsi="宋体" w:cs="宋体"/>
          <w:kern w:val="0"/>
          <w:sz w:val="22"/>
          <w:szCs w:val="22"/>
          <w:lang w:bidi="en-US"/>
        </w:rPr>
        <w:t>支持专家信息数据的增加、删除、修改、查询操作。</w:t>
      </w:r>
    </w:p>
    <w:p>
      <w:pPr>
        <w:numPr>
          <w:ilvl w:val="0"/>
          <w:numId w:val="63"/>
        </w:numPr>
        <w:snapToGrid w:val="0"/>
        <w:spacing w:line="360" w:lineRule="auto"/>
        <w:ind w:firstLine="440" w:firstLineChars="200"/>
        <w:rPr>
          <w:rFonts w:hint="eastAsia" w:ascii="宋体" w:hAnsi="宋体" w:cs="宋体"/>
          <w:kern w:val="0"/>
          <w:sz w:val="22"/>
          <w:szCs w:val="22"/>
          <w:lang w:bidi="en-US"/>
        </w:rPr>
      </w:pPr>
      <w:r>
        <w:rPr>
          <w:rFonts w:hint="eastAsia" w:ascii="宋体" w:hAnsi="宋体" w:cs="宋体"/>
          <w:kern w:val="0"/>
          <w:sz w:val="22"/>
          <w:szCs w:val="22"/>
          <w:lang w:bidi="en-US"/>
        </w:rPr>
        <w:t>考虑到专家可能会将密码遗忘的情况，系统提供后台重置专家密码的功能。</w:t>
      </w:r>
    </w:p>
    <w:p>
      <w:pPr>
        <w:numPr>
          <w:ilvl w:val="0"/>
          <w:numId w:val="63"/>
        </w:numPr>
        <w:snapToGrid w:val="0"/>
        <w:spacing w:line="360" w:lineRule="auto"/>
        <w:ind w:firstLine="440" w:firstLineChars="200"/>
        <w:rPr>
          <w:rFonts w:hint="eastAsia" w:ascii="宋体" w:hAnsi="宋体" w:cs="宋体"/>
          <w:kern w:val="0"/>
          <w:sz w:val="22"/>
          <w:szCs w:val="22"/>
          <w:lang w:bidi="en-US"/>
        </w:rPr>
      </w:pPr>
      <w:r>
        <w:rPr>
          <w:rFonts w:hint="eastAsia" w:ascii="宋体" w:hAnsi="宋体" w:cs="宋体"/>
          <w:kern w:val="0"/>
          <w:sz w:val="22"/>
          <w:szCs w:val="22"/>
          <w:lang w:bidi="en-US"/>
        </w:rPr>
        <w:t>提供专家暂停和退出状态管理功能。</w:t>
      </w:r>
    </w:p>
    <w:p>
      <w:pPr>
        <w:numPr>
          <w:ilvl w:val="0"/>
          <w:numId w:val="63"/>
        </w:numPr>
        <w:snapToGrid w:val="0"/>
        <w:spacing w:line="360" w:lineRule="auto"/>
        <w:ind w:firstLine="440" w:firstLineChars="200"/>
        <w:rPr>
          <w:rFonts w:hint="eastAsia" w:ascii="宋体" w:hAnsi="宋体" w:cs="宋体"/>
          <w:kern w:val="0"/>
          <w:sz w:val="22"/>
          <w:szCs w:val="22"/>
          <w:lang w:bidi="en-US"/>
        </w:rPr>
      </w:pPr>
      <w:r>
        <w:rPr>
          <w:rFonts w:hint="eastAsia" w:ascii="宋体" w:hAnsi="宋体" w:cs="宋体"/>
          <w:kern w:val="0"/>
          <w:sz w:val="22"/>
          <w:szCs w:val="22"/>
          <w:lang w:bidi="en-US"/>
        </w:rPr>
        <w:t>提供专家评标情况统计查询。</w:t>
      </w:r>
    </w:p>
    <w:p>
      <w:pPr>
        <w:keepNext/>
        <w:keepLines/>
        <w:numPr>
          <w:ilvl w:val="2"/>
          <w:numId w:val="57"/>
        </w:numPr>
        <w:snapToGrid w:val="0"/>
        <w:spacing w:line="360" w:lineRule="auto"/>
        <w:jc w:val="left"/>
        <w:outlineLvl w:val="2"/>
        <w:rPr>
          <w:rFonts w:hint="eastAsia" w:ascii="宋体" w:hAnsi="宋体" w:cs="宋体"/>
          <w:b/>
          <w:bCs/>
          <w:sz w:val="22"/>
          <w:szCs w:val="22"/>
        </w:rPr>
      </w:pPr>
      <w:bookmarkStart w:id="553" w:name="_Toc20566"/>
      <w:bookmarkStart w:id="554" w:name="_Toc25040"/>
      <w:bookmarkStart w:id="555" w:name="_Toc21511"/>
      <w:bookmarkStart w:id="556" w:name="_Toc17532"/>
      <w:bookmarkStart w:id="557" w:name="_Toc17039"/>
      <w:bookmarkStart w:id="558" w:name="_Toc2960601"/>
      <w:bookmarkStart w:id="559" w:name="_Toc18241"/>
      <w:bookmarkStart w:id="560" w:name="_Toc12205"/>
      <w:bookmarkStart w:id="561" w:name="_Toc30419"/>
      <w:bookmarkStart w:id="562" w:name="_Toc4752"/>
      <w:bookmarkStart w:id="563" w:name="_Toc11289"/>
      <w:bookmarkStart w:id="564" w:name="_Toc28429"/>
      <w:bookmarkStart w:id="565" w:name="_Toc4429"/>
      <w:bookmarkStart w:id="566" w:name="_Toc7576"/>
      <w:bookmarkStart w:id="567" w:name="_Toc2843"/>
      <w:bookmarkStart w:id="568" w:name="_Toc21198"/>
      <w:bookmarkStart w:id="569" w:name="_Toc26365"/>
      <w:r>
        <w:rPr>
          <w:rFonts w:hint="eastAsia" w:ascii="宋体" w:hAnsi="宋体" w:cs="宋体"/>
          <w:b/>
          <w:bCs/>
          <w:sz w:val="22"/>
          <w:szCs w:val="22"/>
        </w:rPr>
        <w:t>专家抽取</w:t>
      </w:r>
      <w:bookmarkEnd w:id="553"/>
      <w:bookmarkEnd w:id="554"/>
      <w:bookmarkEnd w:id="555"/>
      <w:bookmarkEnd w:id="556"/>
      <w:bookmarkEnd w:id="557"/>
      <w:bookmarkEnd w:id="558"/>
      <w:bookmarkEnd w:id="559"/>
      <w:bookmarkEnd w:id="560"/>
      <w:bookmarkEnd w:id="561"/>
      <w:bookmarkEnd w:id="562"/>
    </w:p>
    <w:p>
      <w:pPr>
        <w:snapToGrid w:val="0"/>
        <w:spacing w:line="360" w:lineRule="auto"/>
        <w:ind w:firstLine="440" w:firstLineChars="200"/>
        <w:rPr>
          <w:rFonts w:hint="eastAsia" w:ascii="宋体" w:hAnsi="宋体" w:cs="宋体"/>
          <w:sz w:val="22"/>
          <w:szCs w:val="22"/>
        </w:rPr>
      </w:pPr>
      <w:r>
        <w:rPr>
          <w:rFonts w:hint="eastAsia" w:ascii="宋体" w:hAnsi="宋体" w:cs="宋体"/>
          <w:sz w:val="22"/>
          <w:szCs w:val="22"/>
        </w:rPr>
        <w:t>需满足以下要求：</w:t>
      </w:r>
    </w:p>
    <w:p>
      <w:pPr>
        <w:numPr>
          <w:ilvl w:val="0"/>
          <w:numId w:val="64"/>
        </w:numPr>
        <w:snapToGrid w:val="0"/>
        <w:spacing w:line="360" w:lineRule="auto"/>
        <w:ind w:left="0" w:firstLine="440" w:firstLineChars="200"/>
        <w:rPr>
          <w:rFonts w:hint="eastAsia" w:ascii="宋体" w:hAnsi="宋体" w:cs="宋体"/>
          <w:sz w:val="22"/>
          <w:szCs w:val="22"/>
        </w:rPr>
      </w:pPr>
      <w:r>
        <w:rPr>
          <w:rFonts w:hint="eastAsia" w:ascii="宋体" w:hAnsi="宋体" w:cs="宋体"/>
          <w:sz w:val="22"/>
          <w:szCs w:val="22"/>
        </w:rPr>
        <w:t>提供抽取规则设置功能，包括评标地点、时间、联系人、抽取专业、抽取单位、抽取部门、回避单位、回避部门、回避人员等设置功能。</w:t>
      </w:r>
    </w:p>
    <w:p>
      <w:pPr>
        <w:numPr>
          <w:ilvl w:val="0"/>
          <w:numId w:val="64"/>
        </w:numPr>
        <w:snapToGrid w:val="0"/>
        <w:spacing w:line="360" w:lineRule="auto"/>
        <w:ind w:left="0" w:firstLine="440" w:firstLineChars="200"/>
        <w:rPr>
          <w:rFonts w:hint="eastAsia" w:ascii="宋体" w:hAnsi="宋体" w:cs="宋体"/>
          <w:sz w:val="22"/>
          <w:szCs w:val="22"/>
        </w:rPr>
      </w:pPr>
      <w:r>
        <w:rPr>
          <w:rFonts w:hint="eastAsia" w:ascii="宋体" w:hAnsi="宋体" w:cs="宋体"/>
          <w:sz w:val="22"/>
          <w:szCs w:val="22"/>
        </w:rPr>
        <w:t>能够按照设置的抽取规则自动进行抽，提供随机生成待抽取名单，供人工抽取和系统自动通知两种模式。</w:t>
      </w:r>
    </w:p>
    <w:p>
      <w:pPr>
        <w:numPr>
          <w:ilvl w:val="0"/>
          <w:numId w:val="64"/>
        </w:numPr>
        <w:snapToGrid w:val="0"/>
        <w:spacing w:line="360" w:lineRule="auto"/>
        <w:ind w:left="0" w:firstLine="440" w:firstLineChars="200"/>
        <w:rPr>
          <w:rFonts w:hint="eastAsia" w:ascii="宋体" w:hAnsi="宋体" w:cs="宋体"/>
          <w:sz w:val="22"/>
          <w:szCs w:val="22"/>
        </w:rPr>
      </w:pPr>
      <w:r>
        <w:rPr>
          <w:rFonts w:hint="eastAsia" w:ascii="宋体" w:hAnsi="宋体" w:cs="宋体"/>
          <w:sz w:val="22"/>
          <w:szCs w:val="22"/>
        </w:rPr>
        <w:t>提供抽取结果导入采购过程功能。</w:t>
      </w:r>
    </w:p>
    <w:p>
      <w:pPr>
        <w:numPr>
          <w:ilvl w:val="0"/>
          <w:numId w:val="64"/>
        </w:numPr>
        <w:snapToGrid w:val="0"/>
        <w:spacing w:line="360" w:lineRule="auto"/>
        <w:ind w:left="0" w:firstLine="440" w:firstLineChars="200"/>
        <w:rPr>
          <w:rFonts w:hint="eastAsia" w:ascii="宋体" w:hAnsi="宋体" w:cs="宋体"/>
          <w:sz w:val="22"/>
          <w:szCs w:val="22"/>
        </w:rPr>
      </w:pPr>
      <w:r>
        <w:rPr>
          <w:rFonts w:hint="eastAsia" w:ascii="宋体" w:hAnsi="宋体" w:cs="宋体"/>
          <w:sz w:val="22"/>
          <w:szCs w:val="22"/>
        </w:rPr>
        <w:t>提供抽取结果报表导出功能。</w:t>
      </w:r>
    </w:p>
    <w:p>
      <w:pPr>
        <w:numPr>
          <w:ilvl w:val="0"/>
          <w:numId w:val="64"/>
        </w:numPr>
        <w:snapToGrid w:val="0"/>
        <w:spacing w:line="360" w:lineRule="auto"/>
        <w:ind w:left="0" w:firstLine="440" w:firstLineChars="200"/>
        <w:rPr>
          <w:rFonts w:hint="eastAsia" w:ascii="宋体" w:hAnsi="宋体" w:cs="宋体"/>
          <w:sz w:val="22"/>
          <w:szCs w:val="22"/>
        </w:rPr>
      </w:pPr>
      <w:r>
        <w:rPr>
          <w:rFonts w:hint="eastAsia" w:ascii="宋体" w:hAnsi="宋体" w:cs="宋体"/>
          <w:sz w:val="22"/>
          <w:szCs w:val="22"/>
        </w:rPr>
        <w:t>专家抽取与集团现有的语音平台、短信平台集成，实现抽取过程通知。</w:t>
      </w:r>
    </w:p>
    <w:p>
      <w:pPr>
        <w:keepNext/>
        <w:keepLines/>
        <w:numPr>
          <w:ilvl w:val="2"/>
          <w:numId w:val="57"/>
        </w:numPr>
        <w:snapToGrid w:val="0"/>
        <w:spacing w:line="360" w:lineRule="auto"/>
        <w:jc w:val="left"/>
        <w:outlineLvl w:val="2"/>
        <w:rPr>
          <w:rFonts w:hint="eastAsia" w:ascii="宋体" w:hAnsi="宋体" w:cs="宋体"/>
          <w:b/>
          <w:bCs/>
          <w:sz w:val="22"/>
          <w:szCs w:val="22"/>
        </w:rPr>
      </w:pPr>
      <w:bookmarkStart w:id="570" w:name="_Toc27591"/>
      <w:bookmarkStart w:id="571" w:name="_Toc19137"/>
      <w:bookmarkStart w:id="572" w:name="_Toc7804"/>
      <w:r>
        <w:rPr>
          <w:rFonts w:hint="eastAsia" w:ascii="宋体" w:hAnsi="宋体" w:cs="宋体"/>
          <w:b/>
          <w:bCs/>
          <w:sz w:val="22"/>
          <w:szCs w:val="22"/>
        </w:rPr>
        <w:t>专家请假管理</w:t>
      </w:r>
      <w:bookmarkEnd w:id="570"/>
      <w:bookmarkEnd w:id="571"/>
      <w:bookmarkEnd w:id="572"/>
    </w:p>
    <w:p>
      <w:pPr>
        <w:numPr>
          <w:ilvl w:val="0"/>
          <w:numId w:val="65"/>
        </w:numPr>
        <w:snapToGrid w:val="0"/>
        <w:spacing w:line="360" w:lineRule="auto"/>
        <w:ind w:firstLine="440" w:firstLineChars="200"/>
        <w:rPr>
          <w:rFonts w:hint="eastAsia" w:ascii="宋体" w:hAnsi="宋体" w:cs="宋体"/>
          <w:kern w:val="0"/>
          <w:sz w:val="22"/>
          <w:szCs w:val="22"/>
          <w:lang w:bidi="en-US"/>
        </w:rPr>
      </w:pPr>
      <w:r>
        <w:rPr>
          <w:rFonts w:hint="eastAsia" w:ascii="宋体" w:hAnsi="宋体" w:cs="宋体"/>
          <w:kern w:val="0"/>
          <w:sz w:val="22"/>
          <w:szCs w:val="22"/>
          <w:lang w:bidi="en-US"/>
        </w:rPr>
        <w:t>支持评标专家未出勤在线发起请假功能。</w:t>
      </w:r>
    </w:p>
    <w:p>
      <w:pPr>
        <w:numPr>
          <w:ilvl w:val="0"/>
          <w:numId w:val="65"/>
        </w:numPr>
        <w:snapToGrid w:val="0"/>
        <w:spacing w:line="360" w:lineRule="auto"/>
        <w:ind w:firstLine="440" w:firstLineChars="200"/>
        <w:rPr>
          <w:rFonts w:hint="eastAsia" w:ascii="宋体" w:hAnsi="宋体" w:cs="宋体"/>
          <w:kern w:val="0"/>
          <w:sz w:val="22"/>
          <w:szCs w:val="22"/>
          <w:lang w:bidi="en-US"/>
        </w:rPr>
      </w:pPr>
      <w:r>
        <w:rPr>
          <w:rFonts w:hint="eastAsia" w:ascii="宋体" w:hAnsi="宋体" w:cs="宋体"/>
          <w:kern w:val="0"/>
          <w:sz w:val="22"/>
          <w:szCs w:val="22"/>
          <w:lang w:bidi="en-US"/>
        </w:rPr>
        <w:t>支持评审专家请假内部审批功能。</w:t>
      </w:r>
    </w:p>
    <w:p>
      <w:pPr>
        <w:keepNext/>
        <w:keepLines/>
        <w:numPr>
          <w:ilvl w:val="2"/>
          <w:numId w:val="57"/>
        </w:numPr>
        <w:snapToGrid w:val="0"/>
        <w:spacing w:line="360" w:lineRule="auto"/>
        <w:jc w:val="left"/>
        <w:outlineLvl w:val="2"/>
        <w:rPr>
          <w:rFonts w:hint="eastAsia" w:ascii="宋体" w:hAnsi="宋体" w:cs="宋体"/>
          <w:b/>
          <w:bCs/>
          <w:sz w:val="22"/>
          <w:szCs w:val="22"/>
        </w:rPr>
      </w:pPr>
      <w:bookmarkStart w:id="573" w:name="_Toc10547"/>
      <w:bookmarkStart w:id="574" w:name="_Toc31107"/>
      <w:bookmarkStart w:id="575" w:name="_Toc10150"/>
      <w:r>
        <w:rPr>
          <w:rFonts w:hint="eastAsia" w:ascii="宋体" w:hAnsi="宋体" w:cs="宋体"/>
          <w:b/>
          <w:bCs/>
          <w:sz w:val="22"/>
          <w:szCs w:val="22"/>
        </w:rPr>
        <w:t>招标采购管理</w:t>
      </w:r>
      <w:bookmarkEnd w:id="563"/>
      <w:bookmarkEnd w:id="564"/>
      <w:bookmarkEnd w:id="565"/>
      <w:bookmarkEnd w:id="566"/>
      <w:bookmarkEnd w:id="567"/>
      <w:bookmarkEnd w:id="568"/>
      <w:bookmarkEnd w:id="569"/>
      <w:bookmarkEnd w:id="573"/>
      <w:bookmarkEnd w:id="574"/>
      <w:bookmarkEnd w:id="575"/>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bookmarkStart w:id="576" w:name="_Toc10136"/>
      <w:bookmarkStart w:id="577" w:name="_Toc1195"/>
      <w:bookmarkStart w:id="578" w:name="_Toc7308"/>
      <w:bookmarkStart w:id="579" w:name="_Toc5341"/>
      <w:bookmarkStart w:id="580" w:name="_Toc22652"/>
      <w:bookmarkStart w:id="581" w:name="_Toc15149"/>
      <w:r>
        <w:rPr>
          <w:rFonts w:hint="eastAsia" w:ascii="宋体" w:hAnsi="宋体" w:cs="宋体"/>
          <w:b/>
          <w:bCs/>
          <w:sz w:val="22"/>
          <w:szCs w:val="22"/>
        </w:rPr>
        <w:t>招标项目建立</w:t>
      </w:r>
      <w:bookmarkEnd w:id="576"/>
      <w:bookmarkEnd w:id="577"/>
      <w:bookmarkEnd w:id="578"/>
      <w:bookmarkEnd w:id="579"/>
      <w:bookmarkEnd w:id="580"/>
      <w:bookmarkEnd w:id="581"/>
    </w:p>
    <w:p>
      <w:pPr>
        <w:snapToGrid w:val="0"/>
        <w:spacing w:line="360" w:lineRule="auto"/>
        <w:ind w:firstLine="420"/>
        <w:rPr>
          <w:rFonts w:hint="eastAsia" w:ascii="宋体" w:hAnsi="宋体" w:cs="宋体"/>
          <w:sz w:val="22"/>
          <w:szCs w:val="22"/>
        </w:rPr>
      </w:pPr>
      <w:r>
        <w:rPr>
          <w:rFonts w:hint="eastAsia" w:ascii="宋体" w:hAnsi="宋体" w:cs="宋体"/>
          <w:sz w:val="22"/>
          <w:szCs w:val="22"/>
        </w:rPr>
        <w:t>需具备以下功能：</w:t>
      </w:r>
    </w:p>
    <w:p>
      <w:pPr>
        <w:numPr>
          <w:ilvl w:val="0"/>
          <w:numId w:val="66"/>
        </w:numPr>
        <w:snapToGrid w:val="0"/>
        <w:spacing w:line="360" w:lineRule="auto"/>
        <w:ind w:left="0" w:firstLine="440" w:firstLineChars="200"/>
        <w:rPr>
          <w:rFonts w:hint="eastAsia" w:ascii="宋体" w:hAnsi="宋体" w:cs="宋体"/>
          <w:sz w:val="22"/>
          <w:szCs w:val="22"/>
        </w:rPr>
      </w:pPr>
      <w:r>
        <w:rPr>
          <w:rFonts w:hint="eastAsia" w:ascii="宋体" w:hAnsi="宋体" w:cs="宋体"/>
          <w:sz w:val="22"/>
          <w:szCs w:val="22"/>
        </w:rPr>
        <w:t>具备项目建档、招标项目建档功能。</w:t>
      </w:r>
    </w:p>
    <w:p>
      <w:pPr>
        <w:numPr>
          <w:ilvl w:val="0"/>
          <w:numId w:val="66"/>
        </w:numPr>
        <w:snapToGrid w:val="0"/>
        <w:spacing w:line="360" w:lineRule="auto"/>
        <w:ind w:left="0" w:firstLine="440" w:firstLineChars="200"/>
        <w:rPr>
          <w:rFonts w:hint="eastAsia" w:ascii="宋体" w:hAnsi="宋体" w:cs="宋体"/>
          <w:sz w:val="22"/>
          <w:szCs w:val="22"/>
        </w:rPr>
      </w:pPr>
      <w:r>
        <w:rPr>
          <w:rFonts w:hint="eastAsia" w:ascii="宋体" w:hAnsi="宋体" w:cs="宋体"/>
          <w:sz w:val="22"/>
          <w:szCs w:val="22"/>
        </w:rPr>
        <w:t>项目建立数据项包括项目名称、项目编号、招标项目编号、招标项目名称、标段（包）编号和项目分类、采购方式等。</w:t>
      </w:r>
    </w:p>
    <w:p>
      <w:pPr>
        <w:numPr>
          <w:ilvl w:val="0"/>
          <w:numId w:val="66"/>
        </w:numPr>
        <w:snapToGrid w:val="0"/>
        <w:spacing w:line="360" w:lineRule="auto"/>
        <w:ind w:left="0" w:firstLine="440" w:firstLineChars="200"/>
        <w:rPr>
          <w:rFonts w:hint="eastAsia" w:ascii="宋体" w:hAnsi="宋体" w:cs="宋体"/>
          <w:sz w:val="22"/>
          <w:szCs w:val="22"/>
        </w:rPr>
      </w:pPr>
      <w:r>
        <w:rPr>
          <w:rFonts w:hint="eastAsia" w:ascii="宋体" w:hAnsi="宋体" w:cs="宋体"/>
          <w:sz w:val="22"/>
          <w:szCs w:val="22"/>
        </w:rPr>
        <w:t>提供项目建立后通过台帐查看功能，支持按照项目名称、采购方式、开标时间、项目状态等条件统计功能。</w:t>
      </w:r>
    </w:p>
    <w:p>
      <w:pPr>
        <w:numPr>
          <w:ilvl w:val="0"/>
          <w:numId w:val="66"/>
        </w:numPr>
        <w:snapToGrid w:val="0"/>
        <w:spacing w:line="360" w:lineRule="auto"/>
        <w:ind w:left="0" w:firstLine="440" w:firstLineChars="200"/>
        <w:rPr>
          <w:rFonts w:hint="eastAsia" w:ascii="宋体" w:hAnsi="宋体" w:cs="宋体"/>
          <w:sz w:val="22"/>
          <w:szCs w:val="22"/>
        </w:rPr>
      </w:pPr>
      <w:r>
        <w:rPr>
          <w:rFonts w:hint="eastAsia" w:ascii="宋体" w:hAnsi="宋体" w:cs="宋体"/>
          <w:sz w:val="22"/>
          <w:szCs w:val="22"/>
        </w:rPr>
        <w:t>提供项目编号按照预定规则自动生成功能。</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招标/采购方案</w:t>
      </w:r>
    </w:p>
    <w:p>
      <w:pPr>
        <w:numPr>
          <w:ilvl w:val="0"/>
          <w:numId w:val="67"/>
        </w:numPr>
        <w:snapToGrid w:val="0"/>
        <w:spacing w:line="360" w:lineRule="auto"/>
        <w:rPr>
          <w:rFonts w:hint="eastAsia" w:ascii="宋体" w:hAnsi="宋体" w:cs="宋体"/>
          <w:kern w:val="0"/>
          <w:sz w:val="22"/>
          <w:szCs w:val="22"/>
          <w:lang w:val="zh-CN"/>
        </w:rPr>
      </w:pPr>
      <w:r>
        <w:rPr>
          <w:rFonts w:hint="eastAsia" w:ascii="宋体" w:hAnsi="宋体" w:cs="宋体"/>
          <w:kern w:val="0"/>
          <w:sz w:val="22"/>
          <w:szCs w:val="22"/>
          <w:lang w:val="zh-CN"/>
        </w:rPr>
        <w:t>提供项目分包新增、修改、删除功能，支持标包维护名称、预算、品类等信息。</w:t>
      </w:r>
    </w:p>
    <w:p>
      <w:pPr>
        <w:numPr>
          <w:ilvl w:val="0"/>
          <w:numId w:val="67"/>
        </w:numPr>
        <w:snapToGrid w:val="0"/>
        <w:spacing w:line="360" w:lineRule="auto"/>
        <w:rPr>
          <w:rFonts w:hint="eastAsia" w:ascii="宋体" w:hAnsi="宋体" w:cs="宋体"/>
          <w:kern w:val="0"/>
          <w:sz w:val="22"/>
          <w:szCs w:val="22"/>
          <w:lang w:val="zh-CN"/>
        </w:rPr>
      </w:pPr>
      <w:r>
        <w:rPr>
          <w:rFonts w:hint="eastAsia" w:ascii="宋体" w:hAnsi="宋体" w:cs="宋体"/>
          <w:kern w:val="0"/>
          <w:sz w:val="22"/>
          <w:szCs w:val="22"/>
          <w:lang w:val="zh-CN"/>
        </w:rPr>
        <w:t>提供评分办法编辑功能，支持评分办法模版选择引用功能。</w:t>
      </w:r>
    </w:p>
    <w:p>
      <w:pPr>
        <w:numPr>
          <w:ilvl w:val="0"/>
          <w:numId w:val="67"/>
        </w:numPr>
        <w:snapToGrid w:val="0"/>
        <w:spacing w:line="360" w:lineRule="auto"/>
        <w:rPr>
          <w:rFonts w:hint="eastAsia" w:ascii="宋体" w:hAnsi="宋体" w:cs="宋体"/>
          <w:kern w:val="0"/>
          <w:sz w:val="22"/>
          <w:szCs w:val="22"/>
          <w:lang w:val="zh-CN"/>
        </w:rPr>
      </w:pPr>
      <w:r>
        <w:rPr>
          <w:rFonts w:hint="eastAsia" w:ascii="宋体" w:hAnsi="宋体" w:cs="宋体"/>
          <w:kern w:val="0"/>
          <w:sz w:val="22"/>
          <w:szCs w:val="22"/>
          <w:lang w:val="zh-CN"/>
        </w:rPr>
        <w:t>评分标准提供综合评估法、最低评标价法选择配置。</w:t>
      </w:r>
    </w:p>
    <w:p>
      <w:pPr>
        <w:numPr>
          <w:ilvl w:val="0"/>
          <w:numId w:val="67"/>
        </w:numPr>
        <w:snapToGrid w:val="0"/>
        <w:spacing w:line="360" w:lineRule="auto"/>
        <w:rPr>
          <w:rFonts w:hint="eastAsia" w:ascii="宋体" w:hAnsi="宋体" w:cs="宋体"/>
          <w:kern w:val="0"/>
          <w:sz w:val="22"/>
          <w:szCs w:val="22"/>
          <w:lang w:val="zh-CN"/>
        </w:rPr>
      </w:pPr>
      <w:r>
        <w:rPr>
          <w:rFonts w:hint="eastAsia" w:ascii="宋体" w:hAnsi="宋体" w:cs="宋体"/>
          <w:kern w:val="0"/>
          <w:sz w:val="22"/>
          <w:szCs w:val="22"/>
          <w:lang w:val="zh-CN"/>
        </w:rPr>
        <w:t>支持符合性审查、资格审查等评分标准定义功能，提供按照全数通过或简单多数配置功能。</w:t>
      </w:r>
    </w:p>
    <w:p>
      <w:pPr>
        <w:numPr>
          <w:ilvl w:val="0"/>
          <w:numId w:val="67"/>
        </w:numPr>
        <w:snapToGrid w:val="0"/>
        <w:spacing w:line="360" w:lineRule="auto"/>
        <w:rPr>
          <w:rFonts w:hint="eastAsia" w:ascii="宋体" w:hAnsi="宋体" w:cs="宋体"/>
          <w:kern w:val="0"/>
          <w:sz w:val="22"/>
          <w:szCs w:val="22"/>
          <w:lang w:val="zh-CN"/>
        </w:rPr>
      </w:pPr>
      <w:r>
        <w:rPr>
          <w:rFonts w:hint="eastAsia" w:ascii="宋体" w:hAnsi="宋体" w:cs="宋体"/>
          <w:kern w:val="0"/>
          <w:sz w:val="22"/>
          <w:szCs w:val="22"/>
          <w:lang w:val="zh-CN"/>
        </w:rPr>
        <w:t>偏离提醒选项配置功能。</w:t>
      </w:r>
    </w:p>
    <w:p>
      <w:pPr>
        <w:numPr>
          <w:ilvl w:val="0"/>
          <w:numId w:val="67"/>
        </w:numPr>
        <w:snapToGrid w:val="0"/>
        <w:spacing w:line="360" w:lineRule="auto"/>
        <w:rPr>
          <w:rFonts w:hint="eastAsia" w:ascii="宋体" w:hAnsi="宋体" w:cs="宋体"/>
          <w:kern w:val="0"/>
          <w:sz w:val="22"/>
          <w:szCs w:val="22"/>
          <w:lang w:val="zh-CN"/>
        </w:rPr>
      </w:pPr>
      <w:r>
        <w:rPr>
          <w:rFonts w:hint="eastAsia" w:ascii="宋体" w:hAnsi="宋体" w:cs="宋体"/>
          <w:kern w:val="0"/>
          <w:sz w:val="22"/>
          <w:szCs w:val="22"/>
          <w:lang w:val="zh-CN"/>
        </w:rPr>
        <w:t>评分标准提供综合评估法、最低评标价法选择配置。</w:t>
      </w:r>
    </w:p>
    <w:p>
      <w:pPr>
        <w:numPr>
          <w:ilvl w:val="0"/>
          <w:numId w:val="67"/>
        </w:numPr>
        <w:snapToGrid w:val="0"/>
        <w:spacing w:line="360" w:lineRule="auto"/>
        <w:rPr>
          <w:rFonts w:hint="eastAsia" w:ascii="宋体" w:hAnsi="宋体" w:cs="宋体"/>
          <w:kern w:val="0"/>
          <w:sz w:val="22"/>
          <w:szCs w:val="22"/>
          <w:lang w:val="zh-CN"/>
        </w:rPr>
      </w:pPr>
      <w:r>
        <w:rPr>
          <w:rFonts w:hint="eastAsia" w:ascii="宋体" w:hAnsi="宋体" w:cs="宋体"/>
          <w:kern w:val="0"/>
          <w:sz w:val="22"/>
          <w:szCs w:val="22"/>
          <w:lang w:val="zh-CN"/>
        </w:rPr>
        <w:t>支持评标委员会设置管理功能。</w:t>
      </w:r>
    </w:p>
    <w:p>
      <w:pPr>
        <w:numPr>
          <w:ilvl w:val="0"/>
          <w:numId w:val="67"/>
        </w:numPr>
        <w:snapToGrid w:val="0"/>
        <w:spacing w:line="360" w:lineRule="auto"/>
        <w:rPr>
          <w:rFonts w:hint="eastAsia" w:ascii="宋体" w:hAnsi="宋体" w:cs="宋体"/>
          <w:kern w:val="0"/>
          <w:sz w:val="22"/>
          <w:szCs w:val="22"/>
          <w:lang w:val="zh-CN"/>
        </w:rPr>
      </w:pPr>
      <w:r>
        <w:rPr>
          <w:rFonts w:hint="eastAsia" w:ascii="宋体" w:hAnsi="宋体" w:cs="宋体"/>
          <w:kern w:val="0"/>
          <w:sz w:val="22"/>
          <w:szCs w:val="22"/>
          <w:lang w:val="zh-CN"/>
        </w:rPr>
        <w:t>支持符合性审查、资格审查等评分标准定义功能，提供按照全数通过或简单多数配置功能。</w:t>
      </w:r>
    </w:p>
    <w:p>
      <w:pPr>
        <w:numPr>
          <w:ilvl w:val="0"/>
          <w:numId w:val="67"/>
        </w:numPr>
        <w:snapToGrid w:val="0"/>
        <w:spacing w:line="360" w:lineRule="auto"/>
        <w:rPr>
          <w:rFonts w:hint="eastAsia" w:ascii="宋体" w:hAnsi="宋体" w:cs="宋体"/>
          <w:sz w:val="22"/>
          <w:szCs w:val="22"/>
          <w:lang w:val="zh-CN"/>
        </w:rPr>
      </w:pPr>
      <w:r>
        <w:rPr>
          <w:rFonts w:hint="eastAsia" w:ascii="宋体" w:hAnsi="宋体" w:cs="宋体"/>
          <w:kern w:val="0"/>
          <w:sz w:val="22"/>
          <w:szCs w:val="22"/>
          <w:lang w:val="zh-CN"/>
        </w:rPr>
        <w:t>支持商务、技术评分标准结构化定义并应用专家评审阶段功能，支持按照预定的打分区间校验功能。</w:t>
      </w:r>
    </w:p>
    <w:p>
      <w:pPr>
        <w:numPr>
          <w:ilvl w:val="0"/>
          <w:numId w:val="67"/>
        </w:numPr>
        <w:snapToGrid w:val="0"/>
        <w:spacing w:line="360" w:lineRule="auto"/>
        <w:rPr>
          <w:rFonts w:hint="eastAsia" w:ascii="宋体" w:hAnsi="宋体" w:cs="宋体"/>
          <w:sz w:val="22"/>
          <w:szCs w:val="22"/>
          <w:lang w:val="zh-CN"/>
        </w:rPr>
      </w:pPr>
      <w:r>
        <w:rPr>
          <w:rFonts w:hint="eastAsia" w:ascii="宋体" w:hAnsi="宋体" w:cs="宋体"/>
          <w:kern w:val="0"/>
          <w:sz w:val="22"/>
          <w:szCs w:val="22"/>
          <w:lang w:val="zh-CN"/>
        </w:rPr>
        <w:t>支持报价分计算公式按照预置的公式进行自动计算功能，如低价高分法。</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bookmarkStart w:id="582" w:name="_Toc25300"/>
      <w:bookmarkStart w:id="583" w:name="_Toc4284"/>
      <w:bookmarkStart w:id="584" w:name="_Toc14053"/>
      <w:bookmarkStart w:id="585" w:name="_Toc11392"/>
      <w:bookmarkStart w:id="586" w:name="_Toc6533"/>
      <w:bookmarkStart w:id="587" w:name="_Toc5894"/>
      <w:r>
        <w:rPr>
          <w:rFonts w:hint="eastAsia" w:ascii="宋体" w:hAnsi="宋体" w:cs="宋体"/>
          <w:b/>
          <w:bCs/>
          <w:sz w:val="22"/>
          <w:szCs w:val="22"/>
        </w:rPr>
        <w:t>招标公告/资格预审公告</w:t>
      </w:r>
      <w:bookmarkEnd w:id="582"/>
      <w:bookmarkEnd w:id="583"/>
      <w:bookmarkEnd w:id="584"/>
      <w:bookmarkEnd w:id="585"/>
      <w:bookmarkEnd w:id="586"/>
      <w:bookmarkEnd w:id="587"/>
    </w:p>
    <w:p>
      <w:pPr>
        <w:snapToGrid w:val="0"/>
        <w:spacing w:line="360" w:lineRule="auto"/>
        <w:ind w:firstLine="420"/>
        <w:rPr>
          <w:rFonts w:hint="eastAsia" w:ascii="宋体" w:hAnsi="宋体" w:cs="宋体"/>
          <w:sz w:val="22"/>
          <w:szCs w:val="22"/>
        </w:rPr>
      </w:pPr>
      <w:r>
        <w:rPr>
          <w:rFonts w:hint="eastAsia" w:ascii="宋体" w:hAnsi="宋体" w:cs="宋体"/>
          <w:sz w:val="22"/>
          <w:szCs w:val="22"/>
        </w:rPr>
        <w:t>需具备以下功能：</w:t>
      </w:r>
    </w:p>
    <w:p>
      <w:pPr>
        <w:numPr>
          <w:ilvl w:val="0"/>
          <w:numId w:val="68"/>
        </w:numPr>
        <w:snapToGrid w:val="0"/>
        <w:spacing w:line="360" w:lineRule="auto"/>
        <w:ind w:left="0" w:firstLine="440" w:firstLineChars="200"/>
        <w:rPr>
          <w:rFonts w:hint="eastAsia" w:ascii="宋体" w:hAnsi="宋体" w:cs="宋体"/>
          <w:sz w:val="22"/>
          <w:szCs w:val="22"/>
        </w:rPr>
      </w:pPr>
      <w:r>
        <w:rPr>
          <w:rFonts w:hint="eastAsia" w:ascii="宋体" w:hAnsi="宋体" w:cs="宋体"/>
          <w:sz w:val="22"/>
          <w:szCs w:val="22"/>
        </w:rPr>
        <w:t>具备招标公告/资格预审公告的编辑、提交、审核、验证确认和发布、变更功能。</w:t>
      </w:r>
    </w:p>
    <w:p>
      <w:pPr>
        <w:numPr>
          <w:ilvl w:val="0"/>
          <w:numId w:val="68"/>
        </w:numPr>
        <w:snapToGrid w:val="0"/>
        <w:spacing w:line="360" w:lineRule="auto"/>
        <w:ind w:left="0" w:firstLine="440" w:firstLineChars="200"/>
        <w:rPr>
          <w:rFonts w:hint="eastAsia" w:ascii="宋体" w:hAnsi="宋体" w:cs="宋体"/>
          <w:sz w:val="22"/>
          <w:szCs w:val="22"/>
        </w:rPr>
      </w:pPr>
      <w:r>
        <w:rPr>
          <w:rFonts w:hint="eastAsia" w:ascii="宋体" w:hAnsi="宋体" w:cs="宋体"/>
          <w:sz w:val="22"/>
          <w:szCs w:val="22"/>
        </w:rPr>
        <w:t>招标公告/资格预审公告数据项包括招标项目编号、招标项目名称、相关标段（包）编号和投标资格、招标文件获取时间及获取方法、投标文件递交截止时间及递交方法、公告发布时间、附件等。</w:t>
      </w:r>
    </w:p>
    <w:p>
      <w:pPr>
        <w:numPr>
          <w:ilvl w:val="0"/>
          <w:numId w:val="68"/>
        </w:numPr>
        <w:snapToGrid w:val="0"/>
        <w:spacing w:line="360" w:lineRule="auto"/>
        <w:ind w:left="0" w:firstLine="440" w:firstLineChars="200"/>
        <w:rPr>
          <w:rFonts w:hint="eastAsia" w:ascii="宋体" w:hAnsi="宋体" w:cs="宋体"/>
          <w:sz w:val="22"/>
          <w:szCs w:val="22"/>
        </w:rPr>
      </w:pPr>
      <w:r>
        <w:rPr>
          <w:rFonts w:hint="eastAsia" w:ascii="宋体" w:hAnsi="宋体" w:cs="宋体"/>
          <w:sz w:val="22"/>
          <w:szCs w:val="22"/>
        </w:rPr>
        <w:t>具备招标公告/资格预审公告同步递交到指定媒介发布的功能。</w:t>
      </w:r>
    </w:p>
    <w:p>
      <w:pPr>
        <w:numPr>
          <w:ilvl w:val="0"/>
          <w:numId w:val="68"/>
        </w:numPr>
        <w:snapToGrid w:val="0"/>
        <w:spacing w:line="360" w:lineRule="auto"/>
        <w:ind w:left="0" w:firstLine="440" w:firstLineChars="200"/>
        <w:rPr>
          <w:rFonts w:hint="eastAsia" w:ascii="宋体" w:hAnsi="宋体" w:cs="宋体"/>
          <w:sz w:val="22"/>
          <w:szCs w:val="22"/>
        </w:rPr>
      </w:pPr>
      <w:r>
        <w:rPr>
          <w:rFonts w:hint="eastAsia" w:ascii="宋体" w:hAnsi="宋体" w:cs="宋体"/>
          <w:sz w:val="22"/>
          <w:szCs w:val="22"/>
        </w:rPr>
        <w:t>招标公告/资格预审公告的数据项格式符合电子招投标办法技术规范的要求。</w:t>
      </w:r>
    </w:p>
    <w:p>
      <w:pPr>
        <w:numPr>
          <w:ilvl w:val="0"/>
          <w:numId w:val="68"/>
        </w:numPr>
        <w:snapToGrid w:val="0"/>
        <w:spacing w:line="360" w:lineRule="auto"/>
        <w:ind w:left="0" w:firstLine="440" w:firstLineChars="200"/>
        <w:rPr>
          <w:rFonts w:hint="eastAsia" w:ascii="宋体" w:hAnsi="宋体" w:cs="宋体"/>
          <w:sz w:val="22"/>
          <w:szCs w:val="22"/>
        </w:rPr>
      </w:pPr>
      <w:r>
        <w:rPr>
          <w:rFonts w:hint="eastAsia" w:ascii="宋体" w:hAnsi="宋体" w:cs="宋体"/>
          <w:sz w:val="22"/>
          <w:szCs w:val="22"/>
        </w:rPr>
        <w:t>支持跨部门、跨单位审批。</w:t>
      </w:r>
    </w:p>
    <w:p>
      <w:pPr>
        <w:snapToGrid w:val="0"/>
        <w:spacing w:line="360" w:lineRule="auto"/>
        <w:ind w:firstLine="440" w:firstLineChars="200"/>
        <w:rPr>
          <w:rFonts w:hint="eastAsia" w:ascii="宋体" w:hAnsi="宋体" w:cs="宋体"/>
          <w:bCs/>
          <w:sz w:val="22"/>
          <w:szCs w:val="22"/>
        </w:rPr>
      </w:pPr>
      <w:r>
        <w:rPr>
          <w:rFonts w:hint="eastAsia" w:ascii="宋体" w:hAnsi="宋体" w:cs="宋体"/>
          <w:bCs/>
          <w:sz w:val="22"/>
          <w:szCs w:val="22"/>
        </w:rPr>
        <w:t xml:space="preserve">6. </w:t>
      </w:r>
      <w:r>
        <w:rPr>
          <w:rFonts w:hint="eastAsia" w:ascii="宋体" w:hAnsi="宋体" w:cs="宋体"/>
          <w:kern w:val="0"/>
          <w:sz w:val="22"/>
          <w:szCs w:val="22"/>
          <w:lang w:val="zh-CN"/>
        </w:rPr>
        <w:t>具备按照标准文件或示范文本</w:t>
      </w:r>
      <w:r>
        <w:rPr>
          <w:rFonts w:hint="eastAsia" w:ascii="宋体" w:hAnsi="宋体" w:cs="宋体"/>
          <w:kern w:val="0"/>
          <w:sz w:val="22"/>
          <w:szCs w:val="22"/>
        </w:rPr>
        <w:t>模版自动</w:t>
      </w:r>
      <w:r>
        <w:rPr>
          <w:rFonts w:hint="eastAsia" w:ascii="宋体" w:hAnsi="宋体" w:cs="宋体"/>
          <w:kern w:val="0"/>
          <w:sz w:val="22"/>
          <w:szCs w:val="22"/>
          <w:lang w:val="zh-CN"/>
        </w:rPr>
        <w:t>生成</w:t>
      </w:r>
      <w:r>
        <w:rPr>
          <w:rFonts w:hint="eastAsia" w:ascii="宋体" w:hAnsi="宋体" w:cs="宋体"/>
          <w:bCs/>
          <w:sz w:val="22"/>
          <w:szCs w:val="22"/>
        </w:rPr>
        <w:t>公告功能。</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bookmarkStart w:id="588" w:name="_Toc28738"/>
      <w:bookmarkStart w:id="589" w:name="_Toc886"/>
      <w:bookmarkStart w:id="590" w:name="_Toc14520"/>
      <w:bookmarkStart w:id="591" w:name="_Toc15938"/>
      <w:bookmarkStart w:id="592" w:name="_Toc23543"/>
      <w:bookmarkStart w:id="593" w:name="_Toc20471"/>
      <w:r>
        <w:rPr>
          <w:rFonts w:hint="eastAsia" w:ascii="宋体" w:hAnsi="宋体" w:cs="宋体"/>
          <w:b/>
          <w:bCs/>
          <w:sz w:val="22"/>
          <w:szCs w:val="22"/>
        </w:rPr>
        <w:t>投标邀请书</w:t>
      </w:r>
      <w:bookmarkEnd w:id="588"/>
      <w:bookmarkEnd w:id="589"/>
      <w:bookmarkEnd w:id="590"/>
      <w:bookmarkEnd w:id="591"/>
      <w:bookmarkEnd w:id="592"/>
      <w:bookmarkEnd w:id="593"/>
    </w:p>
    <w:p>
      <w:pPr>
        <w:snapToGrid w:val="0"/>
        <w:spacing w:line="360" w:lineRule="auto"/>
        <w:ind w:firstLine="420"/>
        <w:rPr>
          <w:rFonts w:hint="eastAsia" w:ascii="宋体" w:hAnsi="宋体" w:cs="宋体"/>
          <w:sz w:val="22"/>
          <w:szCs w:val="22"/>
        </w:rPr>
      </w:pPr>
      <w:r>
        <w:rPr>
          <w:rFonts w:hint="eastAsia" w:ascii="宋体" w:hAnsi="宋体" w:cs="宋体"/>
          <w:sz w:val="22"/>
          <w:szCs w:val="22"/>
        </w:rPr>
        <w:t>需具备以下功能：</w:t>
      </w:r>
    </w:p>
    <w:p>
      <w:pPr>
        <w:numPr>
          <w:ilvl w:val="0"/>
          <w:numId w:val="69"/>
        </w:numPr>
        <w:snapToGrid w:val="0"/>
        <w:spacing w:line="360" w:lineRule="auto"/>
        <w:ind w:left="0" w:firstLine="440" w:firstLineChars="200"/>
        <w:rPr>
          <w:rFonts w:hint="eastAsia" w:ascii="宋体" w:hAnsi="宋体" w:cs="宋体"/>
          <w:sz w:val="22"/>
          <w:szCs w:val="22"/>
        </w:rPr>
      </w:pPr>
      <w:r>
        <w:rPr>
          <w:rFonts w:hint="eastAsia" w:ascii="宋体" w:hAnsi="宋体" w:cs="宋体"/>
          <w:sz w:val="22"/>
          <w:szCs w:val="22"/>
        </w:rPr>
        <w:t>具备投标邀请书的编辑、审批和发出功能。支持从投标人信息库内选取满足投标资格条件或特定条件的潜在投标人。</w:t>
      </w:r>
    </w:p>
    <w:p>
      <w:pPr>
        <w:numPr>
          <w:ilvl w:val="0"/>
          <w:numId w:val="69"/>
        </w:numPr>
        <w:snapToGrid w:val="0"/>
        <w:spacing w:line="360" w:lineRule="auto"/>
        <w:ind w:left="0" w:firstLine="440" w:firstLineChars="200"/>
        <w:rPr>
          <w:rFonts w:hint="eastAsia" w:ascii="宋体" w:hAnsi="宋体" w:cs="宋体"/>
          <w:sz w:val="22"/>
          <w:szCs w:val="22"/>
        </w:rPr>
      </w:pPr>
      <w:r>
        <w:rPr>
          <w:rFonts w:hint="eastAsia" w:ascii="宋体" w:hAnsi="宋体" w:cs="宋体"/>
          <w:kern w:val="0"/>
          <w:sz w:val="22"/>
          <w:szCs w:val="22"/>
          <w:lang w:val="zh-CN"/>
        </w:rPr>
        <w:t>具备按照标准文件或示范文本</w:t>
      </w:r>
      <w:r>
        <w:rPr>
          <w:rFonts w:hint="eastAsia" w:ascii="宋体" w:hAnsi="宋体" w:cs="宋体"/>
          <w:kern w:val="0"/>
          <w:sz w:val="22"/>
          <w:szCs w:val="22"/>
        </w:rPr>
        <w:t>模版自动</w:t>
      </w:r>
      <w:r>
        <w:rPr>
          <w:rFonts w:hint="eastAsia" w:ascii="宋体" w:hAnsi="宋体" w:cs="宋体"/>
          <w:kern w:val="0"/>
          <w:sz w:val="22"/>
          <w:szCs w:val="22"/>
          <w:lang w:val="zh-CN"/>
        </w:rPr>
        <w:t>生成</w:t>
      </w:r>
      <w:r>
        <w:rPr>
          <w:rFonts w:hint="eastAsia" w:ascii="宋体" w:hAnsi="宋体" w:cs="宋体"/>
          <w:kern w:val="0"/>
          <w:sz w:val="22"/>
          <w:szCs w:val="22"/>
        </w:rPr>
        <w:t>邀请书功能。</w:t>
      </w:r>
    </w:p>
    <w:p>
      <w:pPr>
        <w:numPr>
          <w:ilvl w:val="0"/>
          <w:numId w:val="69"/>
        </w:numPr>
        <w:snapToGrid w:val="0"/>
        <w:spacing w:line="360" w:lineRule="auto"/>
        <w:ind w:left="0" w:firstLine="440" w:firstLineChars="200"/>
        <w:rPr>
          <w:rFonts w:hint="eastAsia" w:ascii="宋体" w:hAnsi="宋体" w:cs="宋体"/>
          <w:sz w:val="22"/>
          <w:szCs w:val="22"/>
        </w:rPr>
      </w:pPr>
      <w:r>
        <w:rPr>
          <w:rFonts w:hint="eastAsia" w:ascii="宋体" w:hAnsi="宋体" w:cs="宋体"/>
          <w:sz w:val="22"/>
          <w:szCs w:val="22"/>
        </w:rPr>
        <w:t>邀请项目在回复截止时间前，被邀请的潜在投标人可以接受或拒绝邀请；招标人或其委托的招标机构可以查看反馈信息。</w:t>
      </w:r>
    </w:p>
    <w:p>
      <w:pPr>
        <w:numPr>
          <w:ilvl w:val="0"/>
          <w:numId w:val="69"/>
        </w:numPr>
        <w:snapToGrid w:val="0"/>
        <w:spacing w:line="360" w:lineRule="auto"/>
        <w:ind w:left="0" w:firstLine="440" w:firstLineChars="200"/>
        <w:rPr>
          <w:rFonts w:hint="eastAsia" w:ascii="宋体" w:hAnsi="宋体" w:cs="宋体"/>
          <w:sz w:val="22"/>
          <w:szCs w:val="22"/>
        </w:rPr>
      </w:pPr>
      <w:r>
        <w:rPr>
          <w:rFonts w:hint="eastAsia" w:ascii="宋体" w:hAnsi="宋体" w:cs="宋体"/>
          <w:sz w:val="22"/>
          <w:szCs w:val="22"/>
        </w:rPr>
        <w:t>数据项格式确保符合电子招投标办法技术规范的要求。</w:t>
      </w:r>
    </w:p>
    <w:p>
      <w:pPr>
        <w:numPr>
          <w:ilvl w:val="0"/>
          <w:numId w:val="69"/>
        </w:numPr>
        <w:snapToGrid w:val="0"/>
        <w:spacing w:line="360" w:lineRule="auto"/>
        <w:ind w:left="0" w:firstLine="440" w:firstLineChars="200"/>
        <w:rPr>
          <w:rFonts w:hint="eastAsia" w:ascii="宋体" w:hAnsi="宋体" w:cs="宋体"/>
          <w:sz w:val="22"/>
          <w:szCs w:val="22"/>
        </w:rPr>
      </w:pPr>
      <w:r>
        <w:rPr>
          <w:rFonts w:hint="eastAsia" w:ascii="宋体" w:hAnsi="宋体" w:cs="宋体"/>
          <w:sz w:val="22"/>
          <w:szCs w:val="22"/>
        </w:rPr>
        <w:t>支持跨部门、跨单位审批。</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bookmarkStart w:id="594" w:name="_Toc12548"/>
      <w:bookmarkStart w:id="595" w:name="_Toc27199"/>
      <w:bookmarkStart w:id="596" w:name="_Toc15207"/>
      <w:bookmarkStart w:id="597" w:name="_Toc8678"/>
      <w:bookmarkStart w:id="598" w:name="_Toc4938"/>
      <w:r>
        <w:rPr>
          <w:rFonts w:hint="eastAsia" w:ascii="宋体" w:hAnsi="宋体" w:cs="宋体"/>
          <w:b/>
          <w:bCs/>
          <w:sz w:val="22"/>
          <w:szCs w:val="22"/>
        </w:rPr>
        <w:t>招标文件编制</w:t>
      </w:r>
      <w:bookmarkEnd w:id="594"/>
      <w:bookmarkEnd w:id="595"/>
      <w:bookmarkEnd w:id="596"/>
      <w:bookmarkEnd w:id="597"/>
      <w:bookmarkEnd w:id="598"/>
    </w:p>
    <w:p>
      <w:pPr>
        <w:tabs>
          <w:tab w:val="center" w:pos="4860"/>
        </w:tabs>
        <w:snapToGrid w:val="0"/>
        <w:spacing w:line="360" w:lineRule="auto"/>
        <w:ind w:firstLine="440" w:firstLineChars="200"/>
        <w:rPr>
          <w:rFonts w:hint="eastAsia" w:ascii="宋体" w:hAnsi="宋体" w:cs="宋体"/>
          <w:kern w:val="0"/>
          <w:sz w:val="22"/>
          <w:szCs w:val="22"/>
          <w:lang w:val="zh-CN"/>
        </w:rPr>
      </w:pPr>
      <w:r>
        <w:rPr>
          <w:rFonts w:hint="eastAsia" w:ascii="宋体" w:hAnsi="宋体" w:cs="宋体"/>
          <w:sz w:val="22"/>
          <w:szCs w:val="22"/>
        </w:rPr>
        <w:t>该模块需满足以下要求：</w:t>
      </w:r>
    </w:p>
    <w:p>
      <w:pPr>
        <w:numPr>
          <w:ilvl w:val="0"/>
          <w:numId w:val="70"/>
        </w:numPr>
        <w:snapToGrid w:val="0"/>
        <w:spacing w:line="360" w:lineRule="auto"/>
        <w:ind w:left="0" w:firstLine="440" w:firstLineChars="200"/>
        <w:rPr>
          <w:rFonts w:hint="eastAsia" w:ascii="宋体" w:hAnsi="宋体" w:cs="宋体"/>
          <w:kern w:val="0"/>
          <w:sz w:val="22"/>
          <w:szCs w:val="22"/>
          <w:lang w:val="zh-CN"/>
        </w:rPr>
      </w:pPr>
      <w:r>
        <w:rPr>
          <w:rFonts w:hint="eastAsia" w:ascii="宋体" w:hAnsi="宋体" w:cs="宋体"/>
          <w:kern w:val="0"/>
          <w:sz w:val="22"/>
          <w:szCs w:val="22"/>
          <w:lang w:val="zh-CN"/>
        </w:rPr>
        <w:t>招标文件的编辑、提交、审核、确认、备案、发出功能。数据项包括标段（包）编号、投标资格、投标有效期、投标保证金、投标文件递交截止时间、投标文件递交方法、开标时间、开标方式、评标办法、附件等。</w:t>
      </w:r>
    </w:p>
    <w:p>
      <w:pPr>
        <w:numPr>
          <w:ilvl w:val="0"/>
          <w:numId w:val="70"/>
        </w:numPr>
        <w:snapToGrid w:val="0"/>
        <w:spacing w:line="360" w:lineRule="auto"/>
        <w:ind w:left="0" w:firstLine="440" w:firstLineChars="200"/>
        <w:rPr>
          <w:rFonts w:hint="eastAsia" w:ascii="宋体" w:hAnsi="宋体" w:cs="宋体"/>
          <w:kern w:val="0"/>
          <w:sz w:val="22"/>
          <w:szCs w:val="22"/>
          <w:lang w:val="zh-CN"/>
        </w:rPr>
      </w:pPr>
      <w:r>
        <w:rPr>
          <w:rFonts w:hint="eastAsia" w:ascii="宋体" w:hAnsi="宋体" w:cs="宋体"/>
          <w:kern w:val="0"/>
          <w:sz w:val="22"/>
          <w:szCs w:val="22"/>
        </w:rPr>
        <w:t>提供标书费、保证金等收费项设置功能，提供按照项目、标包设置功能</w:t>
      </w:r>
      <w:r>
        <w:rPr>
          <w:rFonts w:hint="eastAsia" w:ascii="宋体" w:hAnsi="宋体" w:cs="宋体"/>
          <w:kern w:val="0"/>
          <w:sz w:val="22"/>
          <w:szCs w:val="22"/>
          <w:lang w:val="zh-CN"/>
        </w:rPr>
        <w:t>。</w:t>
      </w:r>
    </w:p>
    <w:p>
      <w:pPr>
        <w:numPr>
          <w:ilvl w:val="0"/>
          <w:numId w:val="70"/>
        </w:numPr>
        <w:snapToGrid w:val="0"/>
        <w:spacing w:line="360" w:lineRule="auto"/>
        <w:ind w:left="0" w:firstLine="440" w:firstLineChars="200"/>
        <w:rPr>
          <w:rFonts w:hint="eastAsia" w:ascii="宋体" w:hAnsi="宋体" w:cs="宋体"/>
          <w:kern w:val="0"/>
          <w:sz w:val="22"/>
          <w:szCs w:val="22"/>
          <w:lang w:val="zh-CN"/>
        </w:rPr>
      </w:pPr>
      <w:r>
        <w:rPr>
          <w:rFonts w:hint="eastAsia" w:ascii="宋体" w:hAnsi="宋体" w:cs="宋体"/>
          <w:kern w:val="0"/>
          <w:sz w:val="22"/>
          <w:szCs w:val="22"/>
          <w:lang w:val="zh-CN"/>
        </w:rPr>
        <w:t>具备按照标准文件或示范文本</w:t>
      </w:r>
      <w:r>
        <w:rPr>
          <w:rFonts w:hint="eastAsia" w:ascii="宋体" w:hAnsi="宋体" w:cs="宋体"/>
          <w:kern w:val="0"/>
          <w:sz w:val="22"/>
          <w:szCs w:val="22"/>
        </w:rPr>
        <w:t>模版自动</w:t>
      </w:r>
      <w:r>
        <w:rPr>
          <w:rFonts w:hint="eastAsia" w:ascii="宋体" w:hAnsi="宋体" w:cs="宋体"/>
          <w:kern w:val="0"/>
          <w:sz w:val="22"/>
          <w:szCs w:val="22"/>
          <w:lang w:val="zh-CN"/>
        </w:rPr>
        <w:t>生成招标文件的功能。</w:t>
      </w:r>
    </w:p>
    <w:p>
      <w:pPr>
        <w:numPr>
          <w:ilvl w:val="0"/>
          <w:numId w:val="70"/>
        </w:numPr>
        <w:snapToGrid w:val="0"/>
        <w:spacing w:line="360" w:lineRule="auto"/>
        <w:ind w:left="0" w:firstLine="440" w:firstLineChars="200"/>
        <w:rPr>
          <w:rFonts w:hint="eastAsia" w:ascii="宋体" w:hAnsi="宋体" w:cs="宋体"/>
          <w:kern w:val="0"/>
          <w:sz w:val="22"/>
          <w:szCs w:val="22"/>
          <w:lang w:val="zh-CN"/>
        </w:rPr>
      </w:pPr>
      <w:r>
        <w:rPr>
          <w:rFonts w:hint="eastAsia" w:ascii="宋体" w:hAnsi="宋体" w:cs="宋体"/>
          <w:kern w:val="0"/>
          <w:sz w:val="22"/>
          <w:szCs w:val="22"/>
          <w:lang w:val="zh-CN"/>
        </w:rPr>
        <w:t>支持自定义投标目录分卷功能，支持分为商务、技术、报价三个分卷。</w:t>
      </w:r>
    </w:p>
    <w:p>
      <w:pPr>
        <w:numPr>
          <w:ilvl w:val="0"/>
          <w:numId w:val="70"/>
        </w:numPr>
        <w:snapToGrid w:val="0"/>
        <w:spacing w:line="360" w:lineRule="auto"/>
        <w:ind w:left="0" w:firstLine="440" w:firstLineChars="200"/>
        <w:rPr>
          <w:rFonts w:hint="eastAsia" w:ascii="宋体" w:hAnsi="宋体" w:cs="宋体"/>
          <w:kern w:val="0"/>
          <w:sz w:val="22"/>
          <w:szCs w:val="22"/>
          <w:lang w:val="zh-CN"/>
        </w:rPr>
      </w:pPr>
      <w:r>
        <w:rPr>
          <w:rFonts w:hint="eastAsia" w:ascii="宋体" w:hAnsi="宋体" w:cs="宋体"/>
          <w:kern w:val="0"/>
          <w:sz w:val="22"/>
          <w:szCs w:val="22"/>
        </w:rPr>
        <w:t>提供投标总报价、明细报价结构化设置。</w:t>
      </w:r>
    </w:p>
    <w:p>
      <w:pPr>
        <w:numPr>
          <w:ilvl w:val="0"/>
          <w:numId w:val="70"/>
        </w:numPr>
        <w:snapToGrid w:val="0"/>
        <w:spacing w:line="360" w:lineRule="auto"/>
        <w:ind w:left="0" w:firstLine="440" w:firstLineChars="200"/>
        <w:rPr>
          <w:rFonts w:hint="eastAsia" w:ascii="宋体" w:hAnsi="宋体" w:cs="宋体"/>
          <w:kern w:val="0"/>
          <w:sz w:val="22"/>
          <w:szCs w:val="22"/>
          <w:lang w:val="zh-CN"/>
        </w:rPr>
      </w:pPr>
      <w:r>
        <w:rPr>
          <w:rFonts w:hint="eastAsia" w:ascii="宋体" w:hAnsi="宋体" w:cs="宋体"/>
          <w:kern w:val="0"/>
          <w:sz w:val="22"/>
          <w:szCs w:val="22"/>
          <w:lang w:val="zh-CN"/>
        </w:rPr>
        <w:t>设定投标文件递交截止时间（开标时间）及其控制的功能。</w:t>
      </w:r>
    </w:p>
    <w:p>
      <w:pPr>
        <w:numPr>
          <w:ilvl w:val="0"/>
          <w:numId w:val="70"/>
        </w:numPr>
        <w:snapToGrid w:val="0"/>
        <w:spacing w:line="360" w:lineRule="auto"/>
        <w:ind w:left="0" w:firstLine="440" w:firstLineChars="200"/>
        <w:rPr>
          <w:rFonts w:hint="eastAsia" w:ascii="宋体" w:hAnsi="宋体" w:cs="宋体"/>
          <w:kern w:val="0"/>
          <w:sz w:val="22"/>
          <w:szCs w:val="22"/>
          <w:lang w:val="zh-CN"/>
        </w:rPr>
      </w:pPr>
      <w:r>
        <w:rPr>
          <w:rFonts w:hint="eastAsia" w:ascii="宋体" w:hAnsi="宋体" w:cs="宋体"/>
          <w:kern w:val="0"/>
          <w:sz w:val="22"/>
          <w:szCs w:val="22"/>
        </w:rPr>
        <w:t>提供招标文件附件上传功能。</w:t>
      </w:r>
    </w:p>
    <w:p>
      <w:pPr>
        <w:numPr>
          <w:ilvl w:val="0"/>
          <w:numId w:val="70"/>
        </w:numPr>
        <w:snapToGrid w:val="0"/>
        <w:spacing w:line="360" w:lineRule="auto"/>
        <w:ind w:left="0" w:firstLine="440" w:firstLineChars="200"/>
        <w:rPr>
          <w:rFonts w:hint="eastAsia" w:ascii="宋体" w:hAnsi="宋体" w:cs="宋体"/>
          <w:kern w:val="0"/>
          <w:sz w:val="22"/>
          <w:szCs w:val="22"/>
          <w:lang w:val="zh-CN"/>
        </w:rPr>
      </w:pPr>
      <w:r>
        <w:rPr>
          <w:rFonts w:hint="eastAsia" w:ascii="宋体" w:hAnsi="宋体" w:cs="宋体"/>
          <w:kern w:val="0"/>
          <w:sz w:val="22"/>
          <w:szCs w:val="22"/>
        </w:rPr>
        <w:t>应具备招标文件、投标文件在线签章功能。</w:t>
      </w:r>
    </w:p>
    <w:p>
      <w:pPr>
        <w:numPr>
          <w:ilvl w:val="0"/>
          <w:numId w:val="70"/>
        </w:numPr>
        <w:snapToGrid w:val="0"/>
        <w:spacing w:line="360" w:lineRule="auto"/>
        <w:ind w:left="0" w:firstLine="440" w:firstLineChars="200"/>
        <w:rPr>
          <w:rFonts w:hint="eastAsia" w:ascii="宋体" w:hAnsi="宋体" w:cs="宋体"/>
          <w:kern w:val="0"/>
          <w:sz w:val="22"/>
          <w:szCs w:val="22"/>
          <w:lang w:val="zh-CN"/>
        </w:rPr>
      </w:pPr>
      <w:r>
        <w:rPr>
          <w:rFonts w:hint="eastAsia" w:ascii="宋体" w:hAnsi="宋体" w:cs="宋体"/>
          <w:kern w:val="0"/>
          <w:sz w:val="22"/>
          <w:szCs w:val="22"/>
          <w:lang w:val="zh-CN"/>
        </w:rPr>
        <w:t>数据项格式符合电子招投标办法技术规范的要求。</w:t>
      </w:r>
    </w:p>
    <w:p>
      <w:pPr>
        <w:numPr>
          <w:ilvl w:val="0"/>
          <w:numId w:val="70"/>
        </w:numPr>
        <w:snapToGrid w:val="0"/>
        <w:spacing w:line="360" w:lineRule="auto"/>
        <w:ind w:left="0" w:firstLine="440" w:firstLineChars="200"/>
        <w:rPr>
          <w:rFonts w:hint="eastAsia" w:ascii="宋体" w:hAnsi="宋体" w:cs="宋体"/>
          <w:sz w:val="22"/>
          <w:szCs w:val="22"/>
        </w:rPr>
      </w:pPr>
      <w:r>
        <w:rPr>
          <w:rFonts w:hint="eastAsia" w:ascii="宋体" w:hAnsi="宋体" w:cs="宋体"/>
          <w:kern w:val="0"/>
          <w:sz w:val="22"/>
          <w:szCs w:val="22"/>
          <w:lang w:val="zh-CN"/>
        </w:rPr>
        <w:t>跨部门、跨单位对招标文件审批确认功能。</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招标文件发售</w:t>
      </w:r>
    </w:p>
    <w:p>
      <w:pPr>
        <w:keepNext/>
        <w:keepLines/>
        <w:numPr>
          <w:ilvl w:val="4"/>
          <w:numId w:val="57"/>
        </w:numPr>
        <w:snapToGrid w:val="0"/>
        <w:spacing w:line="360" w:lineRule="auto"/>
        <w:outlineLvl w:val="4"/>
        <w:rPr>
          <w:rFonts w:hint="eastAsia" w:ascii="宋体" w:hAnsi="宋体" w:cs="宋体"/>
          <w:b/>
          <w:bCs/>
          <w:sz w:val="22"/>
          <w:szCs w:val="22"/>
        </w:rPr>
      </w:pPr>
      <w:bookmarkStart w:id="599" w:name="_Toc19392"/>
      <w:bookmarkStart w:id="600" w:name="_Toc15262"/>
      <w:bookmarkStart w:id="601" w:name="_Toc14309"/>
      <w:bookmarkStart w:id="602" w:name="_Toc14958"/>
      <w:bookmarkStart w:id="603" w:name="_Toc28485"/>
      <w:bookmarkStart w:id="604" w:name="_Toc30584"/>
      <w:r>
        <w:rPr>
          <w:rFonts w:hint="eastAsia" w:ascii="宋体" w:hAnsi="宋体" w:cs="宋体"/>
          <w:b/>
          <w:bCs/>
          <w:sz w:val="22"/>
          <w:szCs w:val="22"/>
        </w:rPr>
        <w:t>招标文件售标管理</w:t>
      </w:r>
      <w:bookmarkEnd w:id="599"/>
      <w:bookmarkEnd w:id="600"/>
      <w:bookmarkEnd w:id="601"/>
      <w:bookmarkEnd w:id="602"/>
      <w:bookmarkEnd w:id="603"/>
      <w:bookmarkEnd w:id="604"/>
    </w:p>
    <w:p>
      <w:pPr>
        <w:snapToGrid w:val="0"/>
        <w:spacing w:line="360" w:lineRule="auto"/>
        <w:ind w:firstLine="220" w:firstLineChars="100"/>
        <w:rPr>
          <w:rFonts w:hint="eastAsia" w:ascii="宋体" w:hAnsi="宋体" w:cs="宋体"/>
          <w:sz w:val="22"/>
          <w:szCs w:val="22"/>
        </w:rPr>
      </w:pPr>
      <w:r>
        <w:rPr>
          <w:rFonts w:hint="eastAsia" w:ascii="宋体" w:hAnsi="宋体" w:cs="宋体"/>
          <w:sz w:val="22"/>
          <w:szCs w:val="22"/>
        </w:rPr>
        <w:t>该模块需满足以下功能要求：</w:t>
      </w:r>
    </w:p>
    <w:p>
      <w:pPr>
        <w:numPr>
          <w:ilvl w:val="0"/>
          <w:numId w:val="71"/>
        </w:numPr>
        <w:snapToGrid w:val="0"/>
        <w:spacing w:line="360" w:lineRule="auto"/>
        <w:jc w:val="left"/>
        <w:rPr>
          <w:rFonts w:hint="eastAsia" w:ascii="宋体" w:hAnsi="宋体" w:cs="宋体"/>
          <w:kern w:val="0"/>
          <w:sz w:val="22"/>
          <w:szCs w:val="22"/>
        </w:rPr>
      </w:pPr>
      <w:r>
        <w:rPr>
          <w:rFonts w:hint="eastAsia" w:ascii="宋体" w:hAnsi="宋体" w:cs="宋体"/>
          <w:kern w:val="0"/>
          <w:sz w:val="22"/>
          <w:szCs w:val="22"/>
        </w:rPr>
        <w:t>投标人按照项目可多次购标功能。</w:t>
      </w:r>
    </w:p>
    <w:p>
      <w:pPr>
        <w:numPr>
          <w:ilvl w:val="0"/>
          <w:numId w:val="71"/>
        </w:numPr>
        <w:snapToGrid w:val="0"/>
        <w:spacing w:line="360" w:lineRule="auto"/>
        <w:jc w:val="left"/>
        <w:rPr>
          <w:rFonts w:hint="eastAsia" w:ascii="宋体" w:hAnsi="宋体" w:cs="宋体"/>
          <w:kern w:val="0"/>
          <w:sz w:val="22"/>
          <w:szCs w:val="22"/>
        </w:rPr>
      </w:pPr>
      <w:r>
        <w:rPr>
          <w:rFonts w:hint="eastAsia" w:ascii="宋体" w:hAnsi="宋体" w:cs="宋体"/>
          <w:kern w:val="0"/>
          <w:sz w:val="22"/>
          <w:szCs w:val="22"/>
        </w:rPr>
        <w:t>投标人在线质疑及答复查看功能。</w:t>
      </w:r>
    </w:p>
    <w:p>
      <w:pPr>
        <w:numPr>
          <w:ilvl w:val="0"/>
          <w:numId w:val="71"/>
        </w:numPr>
        <w:snapToGrid w:val="0"/>
        <w:spacing w:line="360" w:lineRule="auto"/>
        <w:jc w:val="left"/>
        <w:rPr>
          <w:rFonts w:hint="eastAsia" w:ascii="宋体" w:hAnsi="宋体" w:cs="宋体"/>
          <w:kern w:val="0"/>
          <w:sz w:val="22"/>
          <w:szCs w:val="22"/>
        </w:rPr>
      </w:pPr>
      <w:r>
        <w:rPr>
          <w:rFonts w:hint="eastAsia" w:ascii="宋体" w:hAnsi="宋体" w:cs="宋体"/>
          <w:kern w:val="0"/>
          <w:sz w:val="22"/>
          <w:szCs w:val="22"/>
        </w:rPr>
        <w:t>已回执的澄清与修改文件和招标文件打包下载的功能。</w:t>
      </w:r>
    </w:p>
    <w:p>
      <w:pPr>
        <w:numPr>
          <w:ilvl w:val="0"/>
          <w:numId w:val="71"/>
        </w:numPr>
        <w:snapToGrid w:val="0"/>
        <w:spacing w:line="360" w:lineRule="auto"/>
        <w:jc w:val="left"/>
        <w:rPr>
          <w:rFonts w:hint="eastAsia" w:ascii="宋体" w:hAnsi="宋体" w:cs="宋体"/>
          <w:kern w:val="0"/>
          <w:sz w:val="22"/>
          <w:szCs w:val="22"/>
        </w:rPr>
      </w:pPr>
      <w:r>
        <w:rPr>
          <w:rFonts w:hint="eastAsia" w:ascii="宋体" w:hAnsi="宋体" w:cs="宋体"/>
          <w:kern w:val="0"/>
          <w:sz w:val="22"/>
          <w:szCs w:val="22"/>
        </w:rPr>
        <w:t>同一项目不同分包多次购买、下载招标文件功能。</w:t>
      </w:r>
    </w:p>
    <w:p>
      <w:pPr>
        <w:numPr>
          <w:ilvl w:val="0"/>
          <w:numId w:val="71"/>
        </w:numPr>
        <w:snapToGrid w:val="0"/>
        <w:spacing w:line="360" w:lineRule="auto"/>
        <w:jc w:val="left"/>
        <w:rPr>
          <w:rFonts w:hint="eastAsia" w:ascii="宋体" w:hAnsi="宋体" w:cs="宋体"/>
          <w:kern w:val="0"/>
          <w:sz w:val="22"/>
          <w:szCs w:val="22"/>
        </w:rPr>
      </w:pPr>
      <w:r>
        <w:rPr>
          <w:rFonts w:hint="eastAsia" w:ascii="宋体" w:hAnsi="宋体" w:cs="宋体"/>
          <w:kern w:val="0"/>
          <w:sz w:val="22"/>
          <w:szCs w:val="22"/>
          <w:lang w:val="zh-CN"/>
        </w:rPr>
        <w:t>记录</w:t>
      </w:r>
      <w:r>
        <w:rPr>
          <w:rFonts w:hint="eastAsia" w:ascii="宋体" w:hAnsi="宋体" w:cs="宋体"/>
          <w:kern w:val="0"/>
          <w:sz w:val="22"/>
          <w:szCs w:val="22"/>
        </w:rPr>
        <w:t>招标</w:t>
      </w:r>
      <w:r>
        <w:rPr>
          <w:rFonts w:hint="eastAsia" w:ascii="宋体" w:hAnsi="宋体" w:cs="宋体"/>
          <w:kern w:val="0"/>
          <w:sz w:val="22"/>
          <w:szCs w:val="22"/>
          <w:lang w:val="zh-CN"/>
        </w:rPr>
        <w:t>文件下载人、下载时间、下载次数的功能。</w:t>
      </w:r>
    </w:p>
    <w:p>
      <w:pPr>
        <w:numPr>
          <w:ilvl w:val="0"/>
          <w:numId w:val="71"/>
        </w:numPr>
        <w:snapToGrid w:val="0"/>
        <w:spacing w:line="360" w:lineRule="auto"/>
        <w:jc w:val="left"/>
        <w:rPr>
          <w:rFonts w:hint="eastAsia" w:ascii="宋体" w:hAnsi="宋体" w:cs="宋体"/>
          <w:kern w:val="0"/>
          <w:sz w:val="22"/>
          <w:szCs w:val="22"/>
        </w:rPr>
      </w:pPr>
      <w:r>
        <w:rPr>
          <w:rFonts w:hint="eastAsia" w:ascii="宋体" w:hAnsi="宋体" w:cs="宋体"/>
          <w:kern w:val="0"/>
          <w:sz w:val="22"/>
          <w:szCs w:val="22"/>
        </w:rPr>
        <w:t>投标人批量下载招标文件以及澄清文件功能。</w:t>
      </w:r>
    </w:p>
    <w:p>
      <w:pPr>
        <w:numPr>
          <w:ilvl w:val="0"/>
          <w:numId w:val="71"/>
        </w:numPr>
        <w:snapToGrid w:val="0"/>
        <w:spacing w:line="360" w:lineRule="auto"/>
        <w:jc w:val="left"/>
        <w:rPr>
          <w:rFonts w:hint="eastAsia" w:ascii="宋体" w:hAnsi="宋体" w:cs="宋体"/>
          <w:kern w:val="0"/>
          <w:sz w:val="22"/>
          <w:szCs w:val="22"/>
        </w:rPr>
      </w:pPr>
      <w:r>
        <w:rPr>
          <w:rFonts w:hint="eastAsia" w:ascii="宋体" w:hAnsi="宋体" w:cs="宋体"/>
          <w:kern w:val="0"/>
          <w:sz w:val="22"/>
          <w:szCs w:val="22"/>
        </w:rPr>
        <w:t>投标人购买文件的汇总信息查询功能。</w:t>
      </w:r>
    </w:p>
    <w:p>
      <w:pPr>
        <w:numPr>
          <w:ilvl w:val="0"/>
          <w:numId w:val="71"/>
        </w:numPr>
        <w:snapToGrid w:val="0"/>
        <w:spacing w:line="360" w:lineRule="auto"/>
        <w:jc w:val="left"/>
        <w:rPr>
          <w:rFonts w:hint="eastAsia" w:ascii="宋体" w:hAnsi="宋体" w:cs="宋体"/>
          <w:kern w:val="0"/>
          <w:sz w:val="22"/>
          <w:szCs w:val="22"/>
        </w:rPr>
      </w:pPr>
      <w:r>
        <w:rPr>
          <w:rFonts w:hint="eastAsia" w:ascii="宋体" w:hAnsi="宋体" w:cs="宋体"/>
          <w:kern w:val="0"/>
          <w:sz w:val="22"/>
          <w:szCs w:val="22"/>
        </w:rPr>
        <w:t>支持在开标前对购标、投标供应商名单进行加密处理功能。</w:t>
      </w:r>
    </w:p>
    <w:p>
      <w:pPr>
        <w:keepNext/>
        <w:keepLines/>
        <w:numPr>
          <w:ilvl w:val="4"/>
          <w:numId w:val="57"/>
        </w:numPr>
        <w:snapToGrid w:val="0"/>
        <w:spacing w:line="360" w:lineRule="auto"/>
        <w:outlineLvl w:val="4"/>
        <w:rPr>
          <w:rFonts w:hint="eastAsia" w:ascii="宋体" w:hAnsi="宋体" w:cs="宋体"/>
          <w:b/>
          <w:bCs/>
          <w:sz w:val="22"/>
          <w:szCs w:val="22"/>
        </w:rPr>
      </w:pPr>
      <w:bookmarkStart w:id="605" w:name="_Toc127"/>
      <w:bookmarkStart w:id="606" w:name="_Toc8840"/>
      <w:bookmarkStart w:id="607" w:name="_Toc32659"/>
      <w:bookmarkStart w:id="608" w:name="_Toc8051"/>
      <w:bookmarkStart w:id="609" w:name="_Toc11532"/>
      <w:bookmarkStart w:id="610" w:name="_Toc824"/>
      <w:r>
        <w:rPr>
          <w:rFonts w:hint="eastAsia" w:ascii="宋体" w:hAnsi="宋体" w:cs="宋体"/>
          <w:b/>
          <w:bCs/>
          <w:sz w:val="22"/>
          <w:szCs w:val="22"/>
        </w:rPr>
        <w:t>踏勘现场</w:t>
      </w:r>
      <w:bookmarkEnd w:id="605"/>
      <w:bookmarkEnd w:id="606"/>
      <w:bookmarkEnd w:id="607"/>
      <w:bookmarkEnd w:id="608"/>
      <w:bookmarkEnd w:id="609"/>
      <w:bookmarkEnd w:id="610"/>
    </w:p>
    <w:p>
      <w:pPr>
        <w:snapToGrid w:val="0"/>
        <w:spacing w:line="360" w:lineRule="auto"/>
        <w:ind w:firstLine="420"/>
        <w:rPr>
          <w:rFonts w:hint="eastAsia" w:ascii="宋体" w:hAnsi="宋体" w:cs="宋体"/>
          <w:sz w:val="22"/>
          <w:szCs w:val="22"/>
        </w:rPr>
      </w:pPr>
      <w:r>
        <w:rPr>
          <w:rFonts w:hint="eastAsia" w:ascii="宋体" w:hAnsi="宋体" w:cs="宋体"/>
          <w:sz w:val="22"/>
          <w:szCs w:val="22"/>
        </w:rPr>
        <w:t>该模块需具备以下功能：</w:t>
      </w:r>
    </w:p>
    <w:p>
      <w:pPr>
        <w:numPr>
          <w:ilvl w:val="0"/>
          <w:numId w:val="72"/>
        </w:numPr>
        <w:snapToGrid w:val="0"/>
        <w:spacing w:line="360" w:lineRule="auto"/>
        <w:jc w:val="left"/>
        <w:rPr>
          <w:rFonts w:hint="eastAsia" w:ascii="宋体" w:hAnsi="宋体" w:cs="宋体"/>
          <w:sz w:val="22"/>
          <w:szCs w:val="22"/>
        </w:rPr>
      </w:pPr>
      <w:r>
        <w:rPr>
          <w:rFonts w:hint="eastAsia" w:ascii="宋体" w:hAnsi="宋体" w:cs="宋体"/>
          <w:sz w:val="22"/>
          <w:szCs w:val="22"/>
        </w:rPr>
        <w:t>踏勘记录的数据项应包括招标项目编号、标段（包）编号、踏勘单位名称及代表姓名、踏勘时间、附件等。</w:t>
      </w:r>
    </w:p>
    <w:p>
      <w:pPr>
        <w:numPr>
          <w:ilvl w:val="0"/>
          <w:numId w:val="72"/>
        </w:numPr>
        <w:snapToGrid w:val="0"/>
        <w:spacing w:line="360" w:lineRule="auto"/>
        <w:jc w:val="left"/>
        <w:rPr>
          <w:rFonts w:hint="eastAsia" w:ascii="宋体" w:hAnsi="宋体" w:cs="宋体"/>
          <w:sz w:val="22"/>
          <w:szCs w:val="22"/>
        </w:rPr>
      </w:pPr>
      <w:r>
        <w:rPr>
          <w:rFonts w:hint="eastAsia" w:ascii="宋体" w:hAnsi="宋体" w:cs="宋体"/>
          <w:sz w:val="22"/>
          <w:szCs w:val="22"/>
        </w:rPr>
        <w:t>具备按招标文件约定的时间，向所有已获取招标文件的潜在投标人发出现场踏勘通知和提示现场踏勘时间的功能。</w:t>
      </w:r>
    </w:p>
    <w:p>
      <w:pPr>
        <w:numPr>
          <w:ilvl w:val="0"/>
          <w:numId w:val="72"/>
        </w:numPr>
        <w:snapToGrid w:val="0"/>
        <w:spacing w:line="360" w:lineRule="auto"/>
        <w:jc w:val="left"/>
        <w:rPr>
          <w:rFonts w:hint="eastAsia" w:ascii="宋体" w:hAnsi="宋体" w:cs="宋体"/>
          <w:sz w:val="22"/>
          <w:szCs w:val="22"/>
        </w:rPr>
      </w:pPr>
      <w:r>
        <w:rPr>
          <w:rFonts w:hint="eastAsia" w:ascii="宋体" w:hAnsi="宋体" w:cs="宋体"/>
          <w:sz w:val="22"/>
          <w:szCs w:val="22"/>
        </w:rPr>
        <w:t>具备现场踏勘信息的记录功能。数据项应包括招标项目编号、标段（包）编号、踏勘单位名称及其代表姓名、踏勘时间、附件等。</w:t>
      </w:r>
    </w:p>
    <w:p>
      <w:pPr>
        <w:numPr>
          <w:ilvl w:val="0"/>
          <w:numId w:val="72"/>
        </w:numPr>
        <w:snapToGrid w:val="0"/>
        <w:spacing w:line="360" w:lineRule="auto"/>
        <w:jc w:val="left"/>
        <w:rPr>
          <w:rFonts w:hint="eastAsia" w:ascii="宋体" w:hAnsi="宋体" w:cs="宋体"/>
          <w:sz w:val="22"/>
          <w:szCs w:val="22"/>
        </w:rPr>
      </w:pPr>
      <w:r>
        <w:rPr>
          <w:rFonts w:hint="eastAsia" w:ascii="宋体" w:hAnsi="宋体" w:cs="宋体"/>
          <w:sz w:val="22"/>
          <w:szCs w:val="22"/>
        </w:rPr>
        <w:t>数据项格式符合电子招投标办法技术规范的要求。</w:t>
      </w:r>
    </w:p>
    <w:p>
      <w:pPr>
        <w:keepNext/>
        <w:keepLines/>
        <w:numPr>
          <w:ilvl w:val="4"/>
          <w:numId w:val="57"/>
        </w:numPr>
        <w:snapToGrid w:val="0"/>
        <w:spacing w:line="360" w:lineRule="auto"/>
        <w:outlineLvl w:val="4"/>
        <w:rPr>
          <w:rFonts w:hint="eastAsia" w:ascii="宋体" w:hAnsi="宋体" w:cs="宋体"/>
          <w:b/>
          <w:bCs/>
          <w:sz w:val="22"/>
          <w:szCs w:val="22"/>
        </w:rPr>
      </w:pPr>
      <w:bookmarkStart w:id="611" w:name="_Toc17823"/>
      <w:bookmarkStart w:id="612" w:name="_Toc27188"/>
      <w:bookmarkStart w:id="613" w:name="_Toc32061"/>
      <w:bookmarkStart w:id="614" w:name="_Toc30425"/>
      <w:bookmarkStart w:id="615" w:name="_Toc12509"/>
      <w:bookmarkStart w:id="616" w:name="_Toc31403"/>
      <w:r>
        <w:rPr>
          <w:rFonts w:hint="eastAsia" w:ascii="宋体" w:hAnsi="宋体" w:cs="宋体"/>
          <w:b/>
          <w:bCs/>
          <w:sz w:val="22"/>
          <w:szCs w:val="22"/>
        </w:rPr>
        <w:t>招标文件澄清与修改</w:t>
      </w:r>
      <w:bookmarkEnd w:id="611"/>
      <w:bookmarkEnd w:id="612"/>
      <w:bookmarkEnd w:id="613"/>
      <w:bookmarkEnd w:id="614"/>
      <w:bookmarkEnd w:id="615"/>
      <w:bookmarkEnd w:id="616"/>
    </w:p>
    <w:p>
      <w:pPr>
        <w:snapToGrid w:val="0"/>
        <w:spacing w:line="360" w:lineRule="auto"/>
        <w:ind w:firstLine="420"/>
        <w:rPr>
          <w:rFonts w:hint="eastAsia" w:ascii="宋体" w:hAnsi="宋体" w:cs="宋体"/>
          <w:sz w:val="22"/>
          <w:szCs w:val="22"/>
        </w:rPr>
      </w:pPr>
      <w:r>
        <w:rPr>
          <w:rFonts w:hint="eastAsia" w:ascii="宋体" w:hAnsi="宋体" w:cs="宋体"/>
          <w:sz w:val="22"/>
          <w:szCs w:val="22"/>
        </w:rPr>
        <w:t>需具备以下功能：</w:t>
      </w:r>
    </w:p>
    <w:p>
      <w:pPr>
        <w:numPr>
          <w:ilvl w:val="0"/>
          <w:numId w:val="73"/>
        </w:numPr>
        <w:snapToGrid w:val="0"/>
        <w:spacing w:line="360" w:lineRule="auto"/>
        <w:ind w:left="0" w:firstLine="440" w:firstLineChars="200"/>
        <w:rPr>
          <w:rFonts w:hint="eastAsia" w:ascii="宋体" w:hAnsi="宋体" w:cs="宋体"/>
          <w:sz w:val="22"/>
          <w:szCs w:val="22"/>
        </w:rPr>
      </w:pPr>
      <w:r>
        <w:rPr>
          <w:rFonts w:hint="eastAsia" w:ascii="宋体" w:hAnsi="宋体" w:cs="宋体"/>
          <w:sz w:val="22"/>
          <w:szCs w:val="22"/>
        </w:rPr>
        <w:t>招标澄清和修改文件的数据项包括招标项目编号、标段（包）编号、版本号、对招标文件澄清修改内容与发出时间、附件等。</w:t>
      </w:r>
    </w:p>
    <w:p>
      <w:pPr>
        <w:numPr>
          <w:ilvl w:val="0"/>
          <w:numId w:val="73"/>
        </w:numPr>
        <w:snapToGrid w:val="0"/>
        <w:spacing w:line="360" w:lineRule="auto"/>
        <w:ind w:left="0" w:firstLine="440" w:firstLineChars="200"/>
        <w:rPr>
          <w:rFonts w:hint="eastAsia" w:ascii="宋体" w:hAnsi="宋体" w:cs="宋体"/>
          <w:sz w:val="22"/>
          <w:szCs w:val="22"/>
        </w:rPr>
      </w:pPr>
      <w:r>
        <w:rPr>
          <w:rFonts w:hint="eastAsia" w:ascii="宋体" w:hAnsi="宋体" w:cs="宋体"/>
          <w:sz w:val="22"/>
          <w:szCs w:val="22"/>
        </w:rPr>
        <w:t>符合法律法规规章规定和招标文件约定的由资格预审申请人/投标人递交澄清问题的时间控制功能。</w:t>
      </w:r>
    </w:p>
    <w:p>
      <w:pPr>
        <w:numPr>
          <w:ilvl w:val="0"/>
          <w:numId w:val="73"/>
        </w:numPr>
        <w:snapToGrid w:val="0"/>
        <w:spacing w:line="360" w:lineRule="auto"/>
        <w:ind w:left="0" w:firstLine="440" w:firstLineChars="200"/>
        <w:rPr>
          <w:rFonts w:hint="eastAsia" w:ascii="宋体" w:hAnsi="宋体" w:cs="宋体"/>
          <w:sz w:val="22"/>
          <w:szCs w:val="22"/>
        </w:rPr>
      </w:pPr>
      <w:r>
        <w:rPr>
          <w:rFonts w:hint="eastAsia" w:ascii="宋体" w:hAnsi="宋体" w:cs="宋体"/>
          <w:sz w:val="22"/>
          <w:szCs w:val="22"/>
        </w:rPr>
        <w:t>招标人对文件的澄清与修改进行编辑、审核、发出的功能。</w:t>
      </w:r>
    </w:p>
    <w:p>
      <w:pPr>
        <w:numPr>
          <w:ilvl w:val="0"/>
          <w:numId w:val="73"/>
        </w:numPr>
        <w:snapToGrid w:val="0"/>
        <w:spacing w:line="360" w:lineRule="auto"/>
        <w:ind w:left="0" w:firstLine="440" w:firstLineChars="200"/>
        <w:rPr>
          <w:rFonts w:hint="eastAsia" w:ascii="宋体" w:hAnsi="宋体" w:cs="宋体"/>
          <w:sz w:val="22"/>
          <w:szCs w:val="22"/>
        </w:rPr>
      </w:pPr>
      <w:r>
        <w:rPr>
          <w:rFonts w:hint="eastAsia" w:ascii="宋体" w:hAnsi="宋体" w:cs="宋体"/>
          <w:sz w:val="22"/>
          <w:szCs w:val="22"/>
        </w:rPr>
        <w:t>符合法律法规规章规定和招标文件约定的招标人递交澄清答复的时间控制功能，以及向所有已获取文件的潜在投标人发送通知，并以醒目方式公告澄清与修改内容的功能。</w:t>
      </w:r>
    </w:p>
    <w:p>
      <w:pPr>
        <w:numPr>
          <w:ilvl w:val="0"/>
          <w:numId w:val="73"/>
        </w:numPr>
        <w:snapToGrid w:val="0"/>
        <w:spacing w:line="360" w:lineRule="auto"/>
        <w:ind w:left="0" w:firstLine="440" w:firstLineChars="200"/>
        <w:rPr>
          <w:rFonts w:hint="eastAsia" w:ascii="宋体" w:hAnsi="宋体" w:cs="宋体"/>
          <w:sz w:val="22"/>
          <w:szCs w:val="22"/>
        </w:rPr>
      </w:pPr>
      <w:r>
        <w:rPr>
          <w:rFonts w:hint="eastAsia" w:ascii="宋体" w:hAnsi="宋体" w:cs="宋体"/>
          <w:sz w:val="22"/>
          <w:szCs w:val="22"/>
        </w:rPr>
        <w:t>潜在资格预审申请人/投标人下载澄清与修改文件，并递交回执的功能。</w:t>
      </w:r>
    </w:p>
    <w:p>
      <w:pPr>
        <w:numPr>
          <w:ilvl w:val="0"/>
          <w:numId w:val="73"/>
        </w:numPr>
        <w:snapToGrid w:val="0"/>
        <w:spacing w:line="360" w:lineRule="auto"/>
        <w:ind w:left="0" w:firstLine="440" w:firstLineChars="200"/>
        <w:rPr>
          <w:rFonts w:hint="eastAsia" w:ascii="宋体" w:hAnsi="宋体" w:cs="宋体"/>
          <w:sz w:val="22"/>
          <w:szCs w:val="22"/>
        </w:rPr>
      </w:pPr>
      <w:r>
        <w:rPr>
          <w:rFonts w:hint="eastAsia" w:ascii="宋体" w:hAnsi="宋体" w:cs="宋体"/>
          <w:sz w:val="22"/>
          <w:szCs w:val="22"/>
        </w:rPr>
        <w:t>数据项格式符合电子招投标办法技术规范的要求。</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bookmarkStart w:id="617" w:name="_Toc24584"/>
      <w:bookmarkStart w:id="618" w:name="_Toc22549"/>
      <w:bookmarkStart w:id="619" w:name="_Toc32258"/>
      <w:bookmarkStart w:id="620" w:name="_Toc25811"/>
      <w:bookmarkStart w:id="621" w:name="_Toc28925"/>
      <w:bookmarkStart w:id="622" w:name="_Toc2508"/>
      <w:r>
        <w:rPr>
          <w:rFonts w:hint="eastAsia" w:ascii="宋体" w:hAnsi="宋体" w:cs="宋体"/>
          <w:b/>
          <w:bCs/>
          <w:sz w:val="22"/>
          <w:szCs w:val="22"/>
        </w:rPr>
        <w:t>在线投标</w:t>
      </w:r>
      <w:bookmarkEnd w:id="617"/>
      <w:bookmarkEnd w:id="618"/>
      <w:bookmarkEnd w:id="619"/>
      <w:bookmarkEnd w:id="620"/>
      <w:bookmarkEnd w:id="621"/>
      <w:bookmarkEnd w:id="622"/>
    </w:p>
    <w:p>
      <w:pPr>
        <w:keepNext/>
        <w:keepLines/>
        <w:numPr>
          <w:ilvl w:val="4"/>
          <w:numId w:val="57"/>
        </w:numPr>
        <w:snapToGrid w:val="0"/>
        <w:spacing w:line="360" w:lineRule="auto"/>
        <w:outlineLvl w:val="4"/>
        <w:rPr>
          <w:rFonts w:hint="eastAsia" w:ascii="宋体" w:hAnsi="宋体" w:cs="宋体"/>
          <w:b/>
          <w:bCs/>
          <w:sz w:val="22"/>
          <w:szCs w:val="22"/>
        </w:rPr>
      </w:pPr>
      <w:bookmarkStart w:id="623" w:name="_Toc1232"/>
      <w:bookmarkStart w:id="624" w:name="_Toc9993"/>
      <w:bookmarkStart w:id="625" w:name="_Toc26159"/>
      <w:bookmarkStart w:id="626" w:name="_Toc28083"/>
      <w:bookmarkStart w:id="627" w:name="_Toc13829"/>
      <w:bookmarkStart w:id="628" w:name="_Toc1438"/>
      <w:r>
        <w:rPr>
          <w:rFonts w:hint="eastAsia" w:ascii="宋体" w:hAnsi="宋体" w:cs="宋体"/>
          <w:b/>
          <w:bCs/>
          <w:sz w:val="22"/>
          <w:szCs w:val="22"/>
        </w:rPr>
        <w:t>投标文件编制及上传</w:t>
      </w:r>
      <w:bookmarkEnd w:id="623"/>
      <w:bookmarkEnd w:id="624"/>
      <w:bookmarkEnd w:id="625"/>
      <w:bookmarkEnd w:id="626"/>
      <w:bookmarkEnd w:id="627"/>
      <w:bookmarkEnd w:id="628"/>
    </w:p>
    <w:p>
      <w:pPr>
        <w:snapToGrid w:val="0"/>
        <w:spacing w:line="360" w:lineRule="auto"/>
        <w:ind w:firstLine="440" w:firstLineChars="200"/>
        <w:jc w:val="left"/>
        <w:rPr>
          <w:rFonts w:hint="eastAsia" w:ascii="宋体" w:hAnsi="宋体" w:cs="宋体"/>
          <w:sz w:val="22"/>
          <w:szCs w:val="22"/>
        </w:rPr>
      </w:pPr>
      <w:r>
        <w:rPr>
          <w:rFonts w:hint="eastAsia" w:ascii="宋体" w:hAnsi="宋体" w:cs="宋体"/>
          <w:sz w:val="22"/>
          <w:szCs w:val="22"/>
        </w:rPr>
        <w:t>需具备以下功能内容：</w:t>
      </w:r>
    </w:p>
    <w:p>
      <w:pPr>
        <w:numPr>
          <w:ilvl w:val="0"/>
          <w:numId w:val="74"/>
        </w:numPr>
        <w:snapToGrid w:val="0"/>
        <w:spacing w:line="360" w:lineRule="auto"/>
        <w:jc w:val="left"/>
        <w:rPr>
          <w:rFonts w:hint="eastAsia" w:ascii="宋体" w:hAnsi="宋体" w:cs="宋体"/>
          <w:kern w:val="0"/>
          <w:sz w:val="22"/>
          <w:szCs w:val="22"/>
        </w:rPr>
      </w:pPr>
      <w:r>
        <w:rPr>
          <w:rFonts w:hint="eastAsia" w:ascii="宋体" w:hAnsi="宋体" w:cs="宋体"/>
          <w:kern w:val="0"/>
          <w:sz w:val="22"/>
          <w:szCs w:val="22"/>
        </w:rPr>
        <w:t>要求投标文件按照招标文件投标格式要求进行响应，及校验功能。</w:t>
      </w:r>
    </w:p>
    <w:p>
      <w:pPr>
        <w:numPr>
          <w:ilvl w:val="0"/>
          <w:numId w:val="74"/>
        </w:numPr>
        <w:snapToGrid w:val="0"/>
        <w:spacing w:line="360" w:lineRule="auto"/>
        <w:rPr>
          <w:rFonts w:hint="eastAsia" w:ascii="宋体" w:hAnsi="宋体" w:cs="宋体"/>
          <w:kern w:val="0"/>
          <w:sz w:val="22"/>
          <w:szCs w:val="22"/>
          <w:lang w:val="zh-CN"/>
        </w:rPr>
      </w:pPr>
      <w:r>
        <w:rPr>
          <w:rFonts w:hint="eastAsia" w:ascii="宋体" w:hAnsi="宋体" w:cs="宋体"/>
          <w:sz w:val="22"/>
          <w:szCs w:val="22"/>
        </w:rPr>
        <w:t>具备防串围标信息采集功能。</w:t>
      </w:r>
    </w:p>
    <w:p>
      <w:pPr>
        <w:numPr>
          <w:ilvl w:val="0"/>
          <w:numId w:val="74"/>
        </w:numPr>
        <w:snapToGrid w:val="0"/>
        <w:spacing w:line="360" w:lineRule="auto"/>
        <w:rPr>
          <w:rFonts w:hint="eastAsia" w:ascii="宋体" w:hAnsi="宋体" w:cs="宋体"/>
          <w:kern w:val="0"/>
          <w:sz w:val="22"/>
          <w:szCs w:val="22"/>
          <w:lang w:val="zh-CN"/>
        </w:rPr>
      </w:pPr>
      <w:r>
        <w:rPr>
          <w:rFonts w:hint="eastAsia" w:ascii="宋体" w:hAnsi="宋体" w:cs="宋体"/>
          <w:kern w:val="0"/>
          <w:sz w:val="22"/>
          <w:szCs w:val="22"/>
          <w:lang w:val="zh-CN"/>
        </w:rPr>
        <w:t>分项报价与投标一览表总价自动关联功能。</w:t>
      </w:r>
    </w:p>
    <w:p>
      <w:pPr>
        <w:numPr>
          <w:ilvl w:val="0"/>
          <w:numId w:val="74"/>
        </w:numPr>
        <w:snapToGrid w:val="0"/>
        <w:spacing w:line="360" w:lineRule="auto"/>
        <w:rPr>
          <w:rFonts w:hint="eastAsia" w:ascii="宋体" w:hAnsi="宋体" w:cs="宋体"/>
          <w:kern w:val="0"/>
          <w:sz w:val="22"/>
          <w:szCs w:val="22"/>
          <w:lang w:val="zh-CN"/>
        </w:rPr>
      </w:pPr>
      <w:r>
        <w:rPr>
          <w:rFonts w:hint="eastAsia" w:ascii="宋体" w:hAnsi="宋体" w:cs="宋体"/>
          <w:kern w:val="0"/>
          <w:sz w:val="22"/>
          <w:szCs w:val="22"/>
          <w:lang w:val="zh-CN"/>
        </w:rPr>
        <w:t>投标时按照商务、技术及报价三部分分布式投标功能。</w:t>
      </w:r>
    </w:p>
    <w:p>
      <w:pPr>
        <w:numPr>
          <w:ilvl w:val="0"/>
          <w:numId w:val="74"/>
        </w:numPr>
        <w:snapToGrid w:val="0"/>
        <w:spacing w:line="360" w:lineRule="auto"/>
        <w:rPr>
          <w:rFonts w:hint="eastAsia" w:ascii="宋体" w:hAnsi="宋体" w:cs="宋体"/>
          <w:kern w:val="0"/>
          <w:sz w:val="22"/>
          <w:szCs w:val="22"/>
          <w:lang w:val="zh-CN"/>
        </w:rPr>
      </w:pPr>
      <w:r>
        <w:rPr>
          <w:rFonts w:hint="eastAsia" w:ascii="宋体" w:hAnsi="宋体" w:cs="宋体"/>
          <w:kern w:val="0"/>
          <w:sz w:val="22"/>
          <w:szCs w:val="22"/>
        </w:rPr>
        <w:t>支持投标文件分段上传功能。</w:t>
      </w:r>
    </w:p>
    <w:p>
      <w:pPr>
        <w:numPr>
          <w:ilvl w:val="0"/>
          <w:numId w:val="74"/>
        </w:numPr>
        <w:snapToGrid w:val="0"/>
        <w:spacing w:line="360" w:lineRule="auto"/>
        <w:rPr>
          <w:rFonts w:hint="eastAsia" w:ascii="宋体" w:hAnsi="宋体" w:cs="宋体"/>
          <w:kern w:val="0"/>
          <w:sz w:val="22"/>
          <w:szCs w:val="22"/>
          <w:lang w:val="zh-CN"/>
        </w:rPr>
      </w:pPr>
      <w:r>
        <w:rPr>
          <w:rFonts w:hint="eastAsia" w:ascii="宋体" w:hAnsi="宋体" w:cs="宋体"/>
          <w:kern w:val="0"/>
          <w:sz w:val="22"/>
          <w:szCs w:val="22"/>
          <w:lang w:val="zh-CN"/>
        </w:rPr>
        <w:t>按照招标文件中的递交截止时间控制文件递交、补充、修改和撤回的功能。</w:t>
      </w:r>
    </w:p>
    <w:p>
      <w:pPr>
        <w:numPr>
          <w:ilvl w:val="0"/>
          <w:numId w:val="74"/>
        </w:numPr>
        <w:snapToGrid w:val="0"/>
        <w:spacing w:line="360" w:lineRule="auto"/>
        <w:rPr>
          <w:rFonts w:hint="eastAsia" w:ascii="宋体" w:hAnsi="宋体" w:cs="宋体"/>
          <w:kern w:val="0"/>
          <w:sz w:val="22"/>
          <w:szCs w:val="22"/>
          <w:lang w:val="zh-CN"/>
        </w:rPr>
      </w:pPr>
      <w:r>
        <w:rPr>
          <w:rFonts w:hint="eastAsia" w:ascii="宋体" w:hAnsi="宋体" w:cs="宋体"/>
          <w:kern w:val="0"/>
          <w:sz w:val="22"/>
          <w:szCs w:val="22"/>
          <w:lang w:val="zh-CN"/>
        </w:rPr>
        <w:t>时间截止后，拒绝资格预审申请人/投标人递交、修改和撤回文件的功能。</w:t>
      </w:r>
    </w:p>
    <w:p>
      <w:pPr>
        <w:numPr>
          <w:ilvl w:val="0"/>
          <w:numId w:val="74"/>
        </w:numPr>
        <w:snapToGrid w:val="0"/>
        <w:spacing w:line="360" w:lineRule="auto"/>
        <w:rPr>
          <w:rFonts w:hint="eastAsia" w:ascii="宋体" w:hAnsi="宋体" w:cs="宋体"/>
          <w:kern w:val="0"/>
          <w:sz w:val="22"/>
          <w:szCs w:val="22"/>
          <w:lang w:val="zh-CN"/>
        </w:rPr>
      </w:pPr>
      <w:r>
        <w:rPr>
          <w:rFonts w:hint="eastAsia" w:ascii="宋体" w:hAnsi="宋体" w:cs="宋体"/>
          <w:kern w:val="0"/>
          <w:sz w:val="22"/>
          <w:szCs w:val="22"/>
          <w:lang w:val="zh-CN"/>
        </w:rPr>
        <w:t>具备拒绝接收递交时间截止时尚未完成传输的文件的功能。</w:t>
      </w:r>
    </w:p>
    <w:p>
      <w:pPr>
        <w:numPr>
          <w:ilvl w:val="0"/>
          <w:numId w:val="74"/>
        </w:numPr>
        <w:snapToGrid w:val="0"/>
        <w:spacing w:line="360" w:lineRule="auto"/>
        <w:rPr>
          <w:rFonts w:hint="eastAsia" w:ascii="宋体" w:hAnsi="宋体" w:cs="宋体"/>
          <w:kern w:val="0"/>
          <w:sz w:val="22"/>
          <w:szCs w:val="22"/>
          <w:lang w:val="zh-CN"/>
        </w:rPr>
      </w:pPr>
      <w:r>
        <w:rPr>
          <w:rFonts w:hint="eastAsia" w:ascii="宋体" w:hAnsi="宋体" w:cs="宋体"/>
          <w:kern w:val="0"/>
          <w:sz w:val="22"/>
          <w:szCs w:val="22"/>
          <w:lang w:val="zh-CN"/>
        </w:rPr>
        <w:t>具备对文件的主要数据项内容和格式进行校验的功能。</w:t>
      </w:r>
    </w:p>
    <w:p>
      <w:pPr>
        <w:numPr>
          <w:ilvl w:val="0"/>
          <w:numId w:val="74"/>
        </w:numPr>
        <w:snapToGrid w:val="0"/>
        <w:spacing w:line="360" w:lineRule="auto"/>
        <w:rPr>
          <w:rFonts w:hint="eastAsia" w:ascii="宋体" w:hAnsi="宋体" w:cs="宋体"/>
          <w:kern w:val="0"/>
          <w:sz w:val="22"/>
          <w:szCs w:val="22"/>
          <w:lang w:val="zh-CN"/>
        </w:rPr>
      </w:pPr>
      <w:r>
        <w:rPr>
          <w:rFonts w:hint="eastAsia" w:ascii="宋体" w:hAnsi="宋体" w:cs="宋体"/>
          <w:kern w:val="0"/>
          <w:sz w:val="22"/>
          <w:szCs w:val="22"/>
          <w:lang w:val="zh-CN"/>
        </w:rPr>
        <w:t>具备文件防篡改的功能。</w:t>
      </w:r>
    </w:p>
    <w:p>
      <w:pPr>
        <w:numPr>
          <w:ilvl w:val="0"/>
          <w:numId w:val="74"/>
        </w:numPr>
        <w:snapToGrid w:val="0"/>
        <w:spacing w:line="360" w:lineRule="auto"/>
        <w:rPr>
          <w:rFonts w:hint="eastAsia" w:ascii="宋体" w:hAnsi="宋体" w:cs="宋体"/>
          <w:kern w:val="0"/>
          <w:sz w:val="22"/>
          <w:szCs w:val="22"/>
          <w:lang w:val="zh-CN"/>
        </w:rPr>
      </w:pPr>
      <w:r>
        <w:rPr>
          <w:rFonts w:hint="eastAsia" w:ascii="宋体" w:hAnsi="宋体" w:cs="宋体"/>
          <w:kern w:val="0"/>
          <w:sz w:val="22"/>
          <w:szCs w:val="22"/>
          <w:lang w:val="zh-CN"/>
        </w:rPr>
        <w:t>具备文件接收、校验、按接收时间排序和回执递交功能。</w:t>
      </w:r>
    </w:p>
    <w:p>
      <w:pPr>
        <w:numPr>
          <w:ilvl w:val="0"/>
          <w:numId w:val="74"/>
        </w:numPr>
        <w:snapToGrid w:val="0"/>
        <w:spacing w:line="360" w:lineRule="auto"/>
        <w:rPr>
          <w:rFonts w:hint="eastAsia" w:ascii="宋体" w:hAnsi="宋体" w:cs="宋体"/>
          <w:kern w:val="0"/>
          <w:sz w:val="22"/>
          <w:szCs w:val="22"/>
          <w:lang w:val="zh-CN"/>
        </w:rPr>
      </w:pPr>
      <w:r>
        <w:rPr>
          <w:rFonts w:hint="eastAsia" w:ascii="宋体" w:hAnsi="宋体" w:cs="宋体"/>
          <w:kern w:val="0"/>
          <w:sz w:val="22"/>
          <w:szCs w:val="22"/>
          <w:lang w:val="zh-CN"/>
        </w:rPr>
        <w:t>具备拒收未按法律法规规章规定和招标文件要求递交的文件的功能。</w:t>
      </w:r>
    </w:p>
    <w:p>
      <w:pPr>
        <w:numPr>
          <w:ilvl w:val="0"/>
          <w:numId w:val="74"/>
        </w:numPr>
        <w:snapToGrid w:val="0"/>
        <w:spacing w:line="360" w:lineRule="auto"/>
        <w:rPr>
          <w:rFonts w:hint="eastAsia" w:ascii="宋体" w:hAnsi="宋体" w:cs="宋体"/>
          <w:kern w:val="0"/>
          <w:sz w:val="22"/>
          <w:szCs w:val="22"/>
          <w:lang w:val="zh-CN"/>
        </w:rPr>
      </w:pPr>
      <w:r>
        <w:rPr>
          <w:rFonts w:hint="eastAsia" w:ascii="宋体" w:hAnsi="宋体" w:cs="宋体"/>
          <w:kern w:val="0"/>
          <w:sz w:val="22"/>
          <w:szCs w:val="22"/>
          <w:lang w:val="zh-CN"/>
        </w:rPr>
        <w:t>截止时间使用国家授时中心标准时间。</w:t>
      </w:r>
    </w:p>
    <w:p>
      <w:pPr>
        <w:numPr>
          <w:ilvl w:val="0"/>
          <w:numId w:val="74"/>
        </w:numPr>
        <w:snapToGrid w:val="0"/>
        <w:spacing w:line="360" w:lineRule="auto"/>
        <w:rPr>
          <w:rFonts w:hint="eastAsia" w:ascii="宋体" w:hAnsi="宋体" w:cs="宋体"/>
          <w:kern w:val="0"/>
          <w:sz w:val="22"/>
          <w:szCs w:val="22"/>
          <w:lang w:val="zh-CN"/>
        </w:rPr>
      </w:pPr>
      <w:r>
        <w:rPr>
          <w:rFonts w:hint="eastAsia" w:ascii="宋体" w:hAnsi="宋体" w:cs="宋体"/>
          <w:kern w:val="0"/>
          <w:sz w:val="22"/>
          <w:szCs w:val="22"/>
          <w:lang w:val="zh-CN"/>
        </w:rPr>
        <w:t>可以动态显示国家授时中心当前时间。</w:t>
      </w:r>
    </w:p>
    <w:p>
      <w:pPr>
        <w:numPr>
          <w:ilvl w:val="0"/>
          <w:numId w:val="74"/>
        </w:numPr>
        <w:snapToGrid w:val="0"/>
        <w:spacing w:line="360" w:lineRule="auto"/>
        <w:rPr>
          <w:rFonts w:hint="eastAsia" w:ascii="宋体" w:hAnsi="宋体" w:cs="宋体"/>
          <w:kern w:val="0"/>
          <w:sz w:val="22"/>
          <w:szCs w:val="22"/>
          <w:lang w:val="zh-CN"/>
        </w:rPr>
      </w:pPr>
      <w:r>
        <w:rPr>
          <w:rFonts w:hint="eastAsia" w:ascii="宋体" w:hAnsi="宋体" w:cs="宋体"/>
          <w:kern w:val="0"/>
          <w:sz w:val="22"/>
          <w:szCs w:val="22"/>
          <w:lang w:val="zh-CN"/>
        </w:rPr>
        <w:t xml:space="preserve">数据项格式符合电子招投标办法技术规范的要求；  </w:t>
      </w:r>
    </w:p>
    <w:p>
      <w:pPr>
        <w:keepNext/>
        <w:keepLines/>
        <w:numPr>
          <w:ilvl w:val="4"/>
          <w:numId w:val="57"/>
        </w:numPr>
        <w:snapToGrid w:val="0"/>
        <w:spacing w:line="360" w:lineRule="auto"/>
        <w:outlineLvl w:val="4"/>
        <w:rPr>
          <w:rFonts w:hint="eastAsia" w:ascii="宋体" w:hAnsi="宋体" w:cs="宋体"/>
          <w:b/>
          <w:bCs/>
          <w:sz w:val="22"/>
          <w:szCs w:val="22"/>
        </w:rPr>
      </w:pPr>
      <w:bookmarkStart w:id="629" w:name="_Toc8142"/>
      <w:bookmarkStart w:id="630" w:name="_Toc30679"/>
      <w:bookmarkStart w:id="631" w:name="_Toc32454"/>
      <w:bookmarkStart w:id="632" w:name="_Toc1296"/>
      <w:bookmarkStart w:id="633" w:name="_Toc10766"/>
      <w:bookmarkStart w:id="634" w:name="_Toc174"/>
      <w:r>
        <w:rPr>
          <w:rFonts w:hint="eastAsia" w:ascii="宋体" w:hAnsi="宋体" w:cs="宋体"/>
          <w:b/>
          <w:bCs/>
          <w:sz w:val="22"/>
          <w:szCs w:val="22"/>
        </w:rPr>
        <w:t>投标保证金</w:t>
      </w:r>
      <w:bookmarkEnd w:id="629"/>
      <w:bookmarkEnd w:id="630"/>
      <w:bookmarkEnd w:id="631"/>
      <w:bookmarkEnd w:id="632"/>
      <w:bookmarkEnd w:id="633"/>
      <w:bookmarkEnd w:id="634"/>
    </w:p>
    <w:p>
      <w:pPr>
        <w:snapToGrid w:val="0"/>
        <w:spacing w:line="360" w:lineRule="auto"/>
        <w:ind w:firstLine="420"/>
        <w:rPr>
          <w:rFonts w:hint="eastAsia" w:ascii="宋体" w:hAnsi="宋体" w:cs="宋体"/>
          <w:sz w:val="22"/>
          <w:szCs w:val="22"/>
        </w:rPr>
      </w:pPr>
      <w:r>
        <w:rPr>
          <w:rFonts w:hint="eastAsia" w:ascii="宋体" w:hAnsi="宋体" w:cs="宋体"/>
          <w:sz w:val="22"/>
          <w:szCs w:val="22"/>
        </w:rPr>
        <w:t>需具备以下功能：</w:t>
      </w:r>
    </w:p>
    <w:p>
      <w:pPr>
        <w:numPr>
          <w:ilvl w:val="0"/>
          <w:numId w:val="75"/>
        </w:numPr>
        <w:snapToGrid w:val="0"/>
        <w:spacing w:line="360" w:lineRule="auto"/>
        <w:ind w:left="0" w:firstLine="440" w:firstLineChars="200"/>
        <w:rPr>
          <w:rFonts w:hint="eastAsia" w:ascii="宋体" w:hAnsi="宋体" w:cs="宋体"/>
          <w:sz w:val="22"/>
          <w:szCs w:val="22"/>
        </w:rPr>
      </w:pPr>
      <w:r>
        <w:rPr>
          <w:rFonts w:hint="eastAsia" w:ascii="宋体" w:hAnsi="宋体" w:cs="宋体"/>
          <w:sz w:val="22"/>
          <w:szCs w:val="22"/>
        </w:rPr>
        <w:t>投标人在线登记缴纳保证金功能。</w:t>
      </w:r>
    </w:p>
    <w:p>
      <w:pPr>
        <w:numPr>
          <w:ilvl w:val="0"/>
          <w:numId w:val="75"/>
        </w:numPr>
        <w:snapToGrid w:val="0"/>
        <w:spacing w:line="360" w:lineRule="auto"/>
        <w:ind w:left="0" w:firstLine="440" w:firstLineChars="200"/>
        <w:rPr>
          <w:rFonts w:hint="eastAsia" w:ascii="宋体" w:hAnsi="宋体" w:cs="宋体"/>
          <w:sz w:val="22"/>
          <w:szCs w:val="22"/>
        </w:rPr>
      </w:pPr>
      <w:r>
        <w:rPr>
          <w:rFonts w:hint="eastAsia" w:ascii="宋体" w:hAnsi="宋体" w:cs="宋体"/>
          <w:sz w:val="22"/>
          <w:szCs w:val="22"/>
        </w:rPr>
        <w:t>提供投标保证金财务在线审批确认功能。</w:t>
      </w:r>
    </w:p>
    <w:p>
      <w:pPr>
        <w:numPr>
          <w:ilvl w:val="0"/>
          <w:numId w:val="75"/>
        </w:numPr>
        <w:snapToGrid w:val="0"/>
        <w:spacing w:line="360" w:lineRule="auto"/>
        <w:ind w:left="0" w:firstLine="440" w:firstLineChars="200"/>
        <w:rPr>
          <w:rFonts w:hint="eastAsia" w:ascii="宋体" w:hAnsi="宋体" w:cs="宋体"/>
          <w:sz w:val="22"/>
          <w:szCs w:val="22"/>
        </w:rPr>
      </w:pPr>
      <w:r>
        <w:rPr>
          <w:rFonts w:hint="eastAsia" w:ascii="宋体" w:hAnsi="宋体" w:cs="宋体"/>
          <w:sz w:val="22"/>
          <w:szCs w:val="22"/>
        </w:rPr>
        <w:t>记录和提示投标保证金接收、退还信息的功能。</w:t>
      </w:r>
    </w:p>
    <w:p>
      <w:pPr>
        <w:numPr>
          <w:ilvl w:val="0"/>
          <w:numId w:val="75"/>
        </w:numPr>
        <w:snapToGrid w:val="0"/>
        <w:spacing w:line="360" w:lineRule="auto"/>
        <w:ind w:left="0" w:firstLine="440" w:firstLineChars="200"/>
        <w:rPr>
          <w:rFonts w:hint="eastAsia" w:ascii="宋体" w:hAnsi="宋体" w:cs="宋体"/>
          <w:sz w:val="22"/>
          <w:szCs w:val="22"/>
        </w:rPr>
      </w:pPr>
      <w:r>
        <w:rPr>
          <w:rFonts w:hint="eastAsia" w:ascii="宋体" w:hAnsi="宋体" w:cs="宋体"/>
          <w:sz w:val="22"/>
          <w:szCs w:val="22"/>
        </w:rPr>
        <w:t>投标保证金接收情况展示的功能。</w:t>
      </w:r>
    </w:p>
    <w:p>
      <w:pPr>
        <w:numPr>
          <w:ilvl w:val="0"/>
          <w:numId w:val="75"/>
        </w:numPr>
        <w:snapToGrid w:val="0"/>
        <w:spacing w:line="360" w:lineRule="auto"/>
        <w:ind w:left="0" w:firstLine="440" w:firstLineChars="200"/>
        <w:rPr>
          <w:rFonts w:hint="eastAsia" w:ascii="宋体" w:hAnsi="宋体" w:cs="宋体"/>
          <w:sz w:val="22"/>
          <w:szCs w:val="22"/>
        </w:rPr>
      </w:pPr>
      <w:r>
        <w:rPr>
          <w:rFonts w:hint="eastAsia" w:ascii="宋体" w:hAnsi="宋体" w:cs="宋体"/>
          <w:sz w:val="22"/>
          <w:szCs w:val="22"/>
        </w:rPr>
        <w:t>按照招标文件要求对投标保证金支付形式、汇款账号、资金到账时间、金额、接收凭证等进行符合性校验的功能。</w:t>
      </w:r>
    </w:p>
    <w:p>
      <w:pPr>
        <w:numPr>
          <w:ilvl w:val="0"/>
          <w:numId w:val="75"/>
        </w:numPr>
        <w:snapToGrid w:val="0"/>
        <w:spacing w:line="360" w:lineRule="auto"/>
        <w:ind w:left="0" w:firstLine="440" w:firstLineChars="200"/>
        <w:rPr>
          <w:rFonts w:hint="eastAsia" w:ascii="宋体" w:hAnsi="宋体" w:cs="宋体"/>
          <w:sz w:val="22"/>
          <w:szCs w:val="22"/>
        </w:rPr>
      </w:pPr>
      <w:r>
        <w:rPr>
          <w:rFonts w:hint="eastAsia" w:ascii="宋体" w:hAnsi="宋体" w:cs="宋体"/>
          <w:sz w:val="22"/>
          <w:szCs w:val="22"/>
        </w:rPr>
        <w:t>招标人可以查看或者现场记录收取投标保证金情况。</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bookmarkStart w:id="635" w:name="_Toc3970"/>
      <w:bookmarkStart w:id="636" w:name="_Toc19717"/>
      <w:bookmarkStart w:id="637" w:name="_Toc2313"/>
      <w:bookmarkStart w:id="638" w:name="_Toc21411"/>
      <w:bookmarkStart w:id="639" w:name="_Toc8097"/>
      <w:bookmarkStart w:id="640" w:name="_Toc30174"/>
      <w:r>
        <w:rPr>
          <w:rFonts w:hint="eastAsia" w:ascii="宋体" w:hAnsi="宋体" w:cs="宋体"/>
          <w:b/>
          <w:bCs/>
          <w:sz w:val="22"/>
          <w:szCs w:val="22"/>
        </w:rPr>
        <w:t>开标</w:t>
      </w:r>
      <w:bookmarkEnd w:id="635"/>
      <w:bookmarkEnd w:id="636"/>
      <w:bookmarkEnd w:id="637"/>
      <w:bookmarkEnd w:id="638"/>
      <w:bookmarkEnd w:id="639"/>
      <w:bookmarkEnd w:id="640"/>
    </w:p>
    <w:p>
      <w:pPr>
        <w:keepNext/>
        <w:keepLines/>
        <w:numPr>
          <w:ilvl w:val="4"/>
          <w:numId w:val="57"/>
        </w:numPr>
        <w:snapToGrid w:val="0"/>
        <w:spacing w:line="360" w:lineRule="auto"/>
        <w:outlineLvl w:val="4"/>
        <w:rPr>
          <w:rFonts w:hint="eastAsia" w:ascii="宋体" w:hAnsi="宋体" w:cs="宋体"/>
          <w:b/>
          <w:bCs/>
          <w:sz w:val="22"/>
          <w:szCs w:val="22"/>
        </w:rPr>
      </w:pPr>
      <w:bookmarkStart w:id="641" w:name="_Toc9179"/>
      <w:bookmarkStart w:id="642" w:name="_Toc2841"/>
      <w:bookmarkStart w:id="643" w:name="_Toc1177"/>
      <w:bookmarkStart w:id="644" w:name="_Toc8084"/>
      <w:bookmarkStart w:id="645" w:name="_Toc9127"/>
      <w:bookmarkStart w:id="646" w:name="_Toc3"/>
      <w:r>
        <w:rPr>
          <w:rFonts w:hint="eastAsia" w:ascii="宋体" w:hAnsi="宋体" w:cs="宋体"/>
          <w:b/>
          <w:bCs/>
          <w:sz w:val="22"/>
          <w:szCs w:val="22"/>
        </w:rPr>
        <w:t>开标大厅</w:t>
      </w:r>
      <w:bookmarkEnd w:id="641"/>
      <w:bookmarkEnd w:id="642"/>
      <w:bookmarkEnd w:id="643"/>
      <w:bookmarkEnd w:id="644"/>
      <w:bookmarkEnd w:id="645"/>
      <w:bookmarkEnd w:id="646"/>
    </w:p>
    <w:p>
      <w:pPr>
        <w:snapToGrid w:val="0"/>
        <w:spacing w:line="360" w:lineRule="auto"/>
        <w:ind w:firstLine="420"/>
        <w:rPr>
          <w:rFonts w:hint="eastAsia" w:ascii="宋体" w:hAnsi="宋体" w:cs="宋体"/>
          <w:sz w:val="22"/>
          <w:szCs w:val="22"/>
        </w:rPr>
      </w:pPr>
      <w:r>
        <w:rPr>
          <w:rFonts w:hint="eastAsia" w:ascii="宋体" w:hAnsi="宋体" w:cs="宋体"/>
          <w:sz w:val="22"/>
          <w:szCs w:val="22"/>
        </w:rPr>
        <w:t>需具备以下功能：</w:t>
      </w:r>
    </w:p>
    <w:p>
      <w:pPr>
        <w:numPr>
          <w:ilvl w:val="0"/>
          <w:numId w:val="76"/>
        </w:numPr>
        <w:snapToGrid w:val="0"/>
        <w:spacing w:line="360" w:lineRule="auto"/>
        <w:jc w:val="left"/>
        <w:rPr>
          <w:rFonts w:hint="eastAsia" w:ascii="宋体" w:hAnsi="宋体" w:cs="宋体"/>
          <w:kern w:val="0"/>
          <w:sz w:val="22"/>
          <w:szCs w:val="22"/>
        </w:rPr>
      </w:pPr>
      <w:r>
        <w:rPr>
          <w:rFonts w:hint="eastAsia" w:ascii="宋体" w:hAnsi="宋体" w:cs="宋体"/>
          <w:kern w:val="0"/>
          <w:sz w:val="22"/>
          <w:szCs w:val="22"/>
        </w:rPr>
        <w:t>实现开标全过程展示，包括签到记录、投标截止时间、开标纪律、确认开标记录、异议的提出及解答、现场情况记录。</w:t>
      </w:r>
    </w:p>
    <w:p>
      <w:pPr>
        <w:numPr>
          <w:ilvl w:val="0"/>
          <w:numId w:val="76"/>
        </w:numPr>
        <w:snapToGrid w:val="0"/>
        <w:spacing w:line="360" w:lineRule="auto"/>
        <w:jc w:val="left"/>
        <w:rPr>
          <w:rFonts w:hint="eastAsia" w:ascii="宋体" w:hAnsi="宋体" w:cs="宋体"/>
          <w:kern w:val="0"/>
          <w:sz w:val="22"/>
          <w:szCs w:val="22"/>
        </w:rPr>
      </w:pPr>
      <w:r>
        <w:rPr>
          <w:rFonts w:hint="eastAsia" w:ascii="宋体" w:hAnsi="宋体" w:cs="宋体"/>
          <w:kern w:val="0"/>
          <w:sz w:val="22"/>
          <w:szCs w:val="22"/>
        </w:rPr>
        <w:t>支持投标单位在线视频查看开标过程功能。</w:t>
      </w:r>
    </w:p>
    <w:p>
      <w:pPr>
        <w:numPr>
          <w:ilvl w:val="0"/>
          <w:numId w:val="76"/>
        </w:numPr>
        <w:snapToGrid w:val="0"/>
        <w:spacing w:line="360" w:lineRule="auto"/>
        <w:rPr>
          <w:rFonts w:hint="eastAsia" w:ascii="宋体" w:hAnsi="宋体" w:cs="宋体"/>
          <w:kern w:val="0"/>
          <w:sz w:val="22"/>
          <w:szCs w:val="22"/>
          <w:lang w:val="zh-CN"/>
        </w:rPr>
      </w:pPr>
      <w:r>
        <w:rPr>
          <w:rFonts w:hint="eastAsia" w:ascii="宋体" w:hAnsi="宋体" w:cs="宋体"/>
          <w:kern w:val="0"/>
          <w:sz w:val="22"/>
          <w:szCs w:val="22"/>
          <w:lang w:val="zh-CN"/>
        </w:rPr>
        <w:t>开标时验证投标单位是否达到和显示法定数量,并可以根据实际情况启动开标或取消开标的功能。</w:t>
      </w:r>
    </w:p>
    <w:p>
      <w:pPr>
        <w:numPr>
          <w:ilvl w:val="0"/>
          <w:numId w:val="76"/>
        </w:numPr>
        <w:snapToGrid w:val="0"/>
        <w:spacing w:line="360" w:lineRule="auto"/>
        <w:rPr>
          <w:rFonts w:hint="eastAsia" w:ascii="宋体" w:hAnsi="宋体" w:cs="宋体"/>
          <w:kern w:val="0"/>
          <w:sz w:val="22"/>
          <w:szCs w:val="22"/>
          <w:lang w:val="zh-CN"/>
        </w:rPr>
      </w:pPr>
      <w:r>
        <w:rPr>
          <w:rFonts w:hint="eastAsia" w:ascii="宋体" w:hAnsi="宋体" w:cs="宋体"/>
          <w:kern w:val="0"/>
          <w:sz w:val="22"/>
          <w:szCs w:val="22"/>
          <w:lang w:val="zh-CN"/>
        </w:rPr>
        <w:t>开标时验证并公布投标文件不被篡改、不遗漏及其投标过程记录的功能。</w:t>
      </w:r>
    </w:p>
    <w:p>
      <w:pPr>
        <w:numPr>
          <w:ilvl w:val="0"/>
          <w:numId w:val="76"/>
        </w:numPr>
        <w:snapToGrid w:val="0"/>
        <w:spacing w:line="360" w:lineRule="auto"/>
        <w:rPr>
          <w:rFonts w:hint="eastAsia" w:ascii="宋体" w:hAnsi="宋体" w:cs="宋体"/>
          <w:kern w:val="0"/>
          <w:sz w:val="22"/>
          <w:szCs w:val="22"/>
          <w:lang w:val="zh-CN"/>
        </w:rPr>
      </w:pPr>
      <w:r>
        <w:rPr>
          <w:rFonts w:hint="eastAsia" w:ascii="宋体" w:hAnsi="宋体" w:cs="宋体"/>
          <w:kern w:val="0"/>
          <w:sz w:val="22"/>
          <w:szCs w:val="22"/>
          <w:lang w:val="zh-CN"/>
        </w:rPr>
        <w:t>按开标时间规定控制投标文件解密并记录解密过程的功能。</w:t>
      </w:r>
    </w:p>
    <w:p>
      <w:pPr>
        <w:numPr>
          <w:ilvl w:val="0"/>
          <w:numId w:val="76"/>
        </w:numPr>
        <w:snapToGrid w:val="0"/>
        <w:spacing w:line="360" w:lineRule="auto"/>
        <w:rPr>
          <w:rFonts w:hint="eastAsia" w:ascii="宋体" w:hAnsi="宋体" w:cs="宋体"/>
          <w:kern w:val="0"/>
          <w:sz w:val="22"/>
          <w:szCs w:val="22"/>
          <w:lang w:val="zh-CN"/>
        </w:rPr>
      </w:pPr>
      <w:r>
        <w:rPr>
          <w:rFonts w:hint="eastAsia" w:ascii="宋体" w:hAnsi="宋体" w:cs="宋体"/>
          <w:kern w:val="0"/>
          <w:sz w:val="22"/>
          <w:szCs w:val="22"/>
          <w:lang w:val="zh-CN"/>
        </w:rPr>
        <w:t>招标人和投标人按照招标文件约定的解密方式解密投标文件以及解密失败时按规定补救方式执行的功能。</w:t>
      </w:r>
    </w:p>
    <w:p>
      <w:pPr>
        <w:numPr>
          <w:ilvl w:val="0"/>
          <w:numId w:val="76"/>
        </w:numPr>
        <w:snapToGrid w:val="0"/>
        <w:spacing w:line="360" w:lineRule="auto"/>
        <w:rPr>
          <w:rFonts w:hint="eastAsia" w:ascii="宋体" w:hAnsi="宋体" w:cs="宋体"/>
          <w:kern w:val="0"/>
          <w:sz w:val="22"/>
          <w:szCs w:val="22"/>
          <w:lang w:val="zh-CN"/>
        </w:rPr>
      </w:pPr>
      <w:r>
        <w:rPr>
          <w:rFonts w:hint="eastAsia" w:ascii="宋体" w:hAnsi="宋体" w:cs="宋体"/>
          <w:kern w:val="0"/>
          <w:sz w:val="22"/>
          <w:szCs w:val="22"/>
          <w:lang w:val="zh-CN"/>
        </w:rPr>
        <w:t>投标文件数据读取、记录、展示的功能。展示内容中包括标段（包）编号、投标人名称、报价、工期（交货期）、投标保证金额、投标保证金到账时间、投标文件递交时间等招标文件所确定的唱标内容。</w:t>
      </w:r>
    </w:p>
    <w:p>
      <w:pPr>
        <w:numPr>
          <w:ilvl w:val="0"/>
          <w:numId w:val="76"/>
        </w:numPr>
        <w:snapToGrid w:val="0"/>
        <w:spacing w:line="360" w:lineRule="auto"/>
        <w:rPr>
          <w:rFonts w:hint="eastAsia" w:ascii="宋体" w:hAnsi="宋体" w:cs="宋体"/>
          <w:kern w:val="0"/>
          <w:sz w:val="22"/>
          <w:szCs w:val="22"/>
          <w:lang w:val="zh-CN"/>
        </w:rPr>
      </w:pPr>
      <w:r>
        <w:rPr>
          <w:rFonts w:hint="eastAsia" w:ascii="宋体" w:hAnsi="宋体" w:cs="宋体"/>
          <w:kern w:val="0"/>
          <w:sz w:val="22"/>
          <w:szCs w:val="22"/>
        </w:rPr>
        <w:t>支持开标异常情况记录上传管理功能。</w:t>
      </w:r>
    </w:p>
    <w:p>
      <w:pPr>
        <w:numPr>
          <w:ilvl w:val="0"/>
          <w:numId w:val="76"/>
        </w:numPr>
        <w:snapToGrid w:val="0"/>
        <w:spacing w:line="360" w:lineRule="auto"/>
        <w:rPr>
          <w:rFonts w:hint="eastAsia" w:ascii="宋体" w:hAnsi="宋体" w:cs="宋体"/>
          <w:kern w:val="0"/>
          <w:sz w:val="22"/>
          <w:szCs w:val="22"/>
          <w:lang w:val="zh-CN"/>
        </w:rPr>
      </w:pPr>
      <w:r>
        <w:rPr>
          <w:rFonts w:hint="eastAsia" w:ascii="宋体" w:hAnsi="宋体" w:cs="宋体"/>
          <w:kern w:val="0"/>
          <w:sz w:val="22"/>
          <w:szCs w:val="22"/>
        </w:rPr>
        <w:t>支持开标过程中质疑回复功能</w:t>
      </w:r>
      <w:r>
        <w:rPr>
          <w:rFonts w:hint="eastAsia" w:ascii="宋体" w:hAnsi="宋体" w:cs="宋体"/>
          <w:kern w:val="0"/>
          <w:sz w:val="22"/>
          <w:szCs w:val="22"/>
          <w:lang w:val="zh-CN"/>
        </w:rPr>
        <w:t>。</w:t>
      </w:r>
    </w:p>
    <w:p>
      <w:pPr>
        <w:numPr>
          <w:ilvl w:val="0"/>
          <w:numId w:val="76"/>
        </w:numPr>
        <w:snapToGrid w:val="0"/>
        <w:spacing w:line="360" w:lineRule="auto"/>
        <w:rPr>
          <w:rFonts w:hint="eastAsia" w:ascii="宋体" w:hAnsi="宋体" w:cs="宋体"/>
          <w:kern w:val="0"/>
          <w:sz w:val="22"/>
          <w:szCs w:val="22"/>
          <w:lang w:val="zh-CN"/>
        </w:rPr>
      </w:pPr>
      <w:r>
        <w:rPr>
          <w:rFonts w:hint="eastAsia" w:ascii="宋体" w:hAnsi="宋体" w:cs="宋体"/>
          <w:kern w:val="0"/>
          <w:sz w:val="22"/>
          <w:szCs w:val="22"/>
        </w:rPr>
        <w:t>支持</w:t>
      </w:r>
      <w:r>
        <w:rPr>
          <w:rFonts w:hint="eastAsia" w:ascii="宋体" w:hAnsi="宋体" w:cs="宋体"/>
          <w:kern w:val="0"/>
          <w:sz w:val="22"/>
          <w:szCs w:val="22"/>
          <w:lang w:val="zh-CN"/>
        </w:rPr>
        <w:t>开标记录</w:t>
      </w:r>
      <w:r>
        <w:rPr>
          <w:rFonts w:hint="eastAsia" w:ascii="宋体" w:hAnsi="宋体" w:cs="宋体"/>
          <w:kern w:val="0"/>
          <w:sz w:val="22"/>
          <w:szCs w:val="22"/>
        </w:rPr>
        <w:t>报表导出、</w:t>
      </w:r>
      <w:r>
        <w:rPr>
          <w:rFonts w:hint="eastAsia" w:ascii="宋体" w:hAnsi="宋体" w:cs="宋体"/>
          <w:kern w:val="0"/>
          <w:sz w:val="22"/>
          <w:szCs w:val="22"/>
          <w:lang w:val="zh-CN"/>
        </w:rPr>
        <w:t>编辑、修改、管理的功能。</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bookmarkStart w:id="647" w:name="_Toc26968"/>
      <w:bookmarkStart w:id="648" w:name="_Toc28560"/>
      <w:bookmarkStart w:id="649" w:name="_Toc522"/>
      <w:bookmarkStart w:id="650" w:name="_Toc5886"/>
      <w:bookmarkStart w:id="651" w:name="_Toc28739"/>
      <w:bookmarkStart w:id="652" w:name="_Toc8648"/>
      <w:r>
        <w:rPr>
          <w:rFonts w:hint="eastAsia" w:ascii="宋体" w:hAnsi="宋体" w:cs="宋体"/>
          <w:b/>
          <w:bCs/>
          <w:sz w:val="22"/>
          <w:szCs w:val="22"/>
        </w:rPr>
        <w:t>评标</w:t>
      </w:r>
      <w:bookmarkEnd w:id="647"/>
      <w:bookmarkEnd w:id="648"/>
      <w:bookmarkEnd w:id="649"/>
      <w:bookmarkEnd w:id="650"/>
      <w:bookmarkEnd w:id="651"/>
      <w:bookmarkEnd w:id="652"/>
    </w:p>
    <w:p>
      <w:pPr>
        <w:keepNext/>
        <w:keepLines/>
        <w:numPr>
          <w:ilvl w:val="4"/>
          <w:numId w:val="57"/>
        </w:numPr>
        <w:snapToGrid w:val="0"/>
        <w:spacing w:line="360" w:lineRule="auto"/>
        <w:outlineLvl w:val="4"/>
        <w:rPr>
          <w:rFonts w:hint="eastAsia" w:ascii="宋体" w:hAnsi="宋体" w:cs="宋体"/>
          <w:b/>
          <w:bCs/>
          <w:sz w:val="22"/>
          <w:szCs w:val="22"/>
        </w:rPr>
      </w:pPr>
      <w:bookmarkStart w:id="653" w:name="_Toc24917"/>
      <w:bookmarkStart w:id="654" w:name="_Toc20390"/>
      <w:bookmarkStart w:id="655" w:name="_Toc18691"/>
      <w:bookmarkStart w:id="656" w:name="_Toc19088"/>
      <w:bookmarkStart w:id="657" w:name="_Toc7510"/>
      <w:bookmarkStart w:id="658" w:name="_Toc2995"/>
      <w:r>
        <w:rPr>
          <w:rFonts w:hint="eastAsia" w:ascii="宋体" w:hAnsi="宋体" w:cs="宋体"/>
          <w:b/>
          <w:bCs/>
          <w:sz w:val="22"/>
          <w:szCs w:val="22"/>
        </w:rPr>
        <w:t>评标委员会</w:t>
      </w:r>
      <w:bookmarkEnd w:id="653"/>
      <w:bookmarkEnd w:id="654"/>
      <w:bookmarkEnd w:id="655"/>
      <w:bookmarkEnd w:id="656"/>
      <w:bookmarkEnd w:id="657"/>
      <w:bookmarkEnd w:id="658"/>
    </w:p>
    <w:p>
      <w:pPr>
        <w:snapToGrid w:val="0"/>
        <w:spacing w:line="360" w:lineRule="auto"/>
        <w:ind w:firstLine="440" w:firstLineChars="200"/>
        <w:rPr>
          <w:rFonts w:hint="eastAsia" w:ascii="宋体" w:hAnsi="宋体" w:cs="宋体"/>
          <w:sz w:val="22"/>
          <w:szCs w:val="22"/>
        </w:rPr>
      </w:pPr>
      <w:r>
        <w:rPr>
          <w:rFonts w:hint="eastAsia" w:ascii="宋体" w:hAnsi="宋体" w:cs="宋体"/>
          <w:sz w:val="22"/>
          <w:szCs w:val="22"/>
        </w:rPr>
        <w:t>该模块需具备以下功能：</w:t>
      </w:r>
    </w:p>
    <w:p>
      <w:pPr>
        <w:numPr>
          <w:ilvl w:val="0"/>
          <w:numId w:val="77"/>
        </w:numPr>
        <w:snapToGrid w:val="0"/>
        <w:spacing w:line="360" w:lineRule="auto"/>
        <w:rPr>
          <w:rFonts w:hint="eastAsia" w:ascii="宋体" w:hAnsi="宋体" w:cs="宋体"/>
          <w:kern w:val="0"/>
          <w:sz w:val="22"/>
          <w:szCs w:val="22"/>
          <w:lang w:val="zh-CN"/>
        </w:rPr>
      </w:pPr>
      <w:r>
        <w:rPr>
          <w:rFonts w:hint="eastAsia" w:ascii="宋体" w:hAnsi="宋体" w:cs="宋体"/>
          <w:kern w:val="0"/>
          <w:sz w:val="22"/>
          <w:szCs w:val="22"/>
          <w:lang w:val="zh-CN"/>
        </w:rPr>
        <w:t>根据</w:t>
      </w:r>
      <w:r>
        <w:rPr>
          <w:rFonts w:hint="eastAsia" w:ascii="宋体" w:hAnsi="宋体" w:cs="宋体"/>
          <w:kern w:val="0"/>
          <w:sz w:val="22"/>
          <w:szCs w:val="22"/>
        </w:rPr>
        <w:t>项目设定的抽取规则，自动</w:t>
      </w:r>
      <w:r>
        <w:rPr>
          <w:rFonts w:hint="eastAsia" w:ascii="宋体" w:hAnsi="宋体" w:cs="宋体"/>
          <w:kern w:val="0"/>
          <w:sz w:val="22"/>
          <w:szCs w:val="22"/>
          <w:lang w:val="zh-CN"/>
        </w:rPr>
        <w:t>抽取评标专家名单、设置评标委员会职责分工的功能。</w:t>
      </w:r>
    </w:p>
    <w:p>
      <w:pPr>
        <w:numPr>
          <w:ilvl w:val="0"/>
          <w:numId w:val="77"/>
        </w:numPr>
        <w:snapToGrid w:val="0"/>
        <w:spacing w:line="360" w:lineRule="auto"/>
        <w:rPr>
          <w:rFonts w:hint="eastAsia" w:ascii="宋体" w:hAnsi="宋体" w:cs="宋体"/>
          <w:kern w:val="0"/>
          <w:sz w:val="22"/>
          <w:szCs w:val="22"/>
          <w:lang w:val="zh-CN"/>
        </w:rPr>
      </w:pPr>
      <w:r>
        <w:rPr>
          <w:rFonts w:hint="eastAsia" w:ascii="宋体" w:hAnsi="宋体" w:cs="宋体"/>
          <w:kern w:val="0"/>
          <w:sz w:val="22"/>
          <w:szCs w:val="22"/>
          <w:lang w:val="zh-CN"/>
        </w:rPr>
        <w:t>申请依法组建评标委员会的功能。数据项包括标段（包）编号、专家人数、行政区域代码、专业、等级、回避条件等组建要求。</w:t>
      </w:r>
    </w:p>
    <w:p>
      <w:pPr>
        <w:numPr>
          <w:ilvl w:val="0"/>
          <w:numId w:val="77"/>
        </w:numPr>
        <w:snapToGrid w:val="0"/>
        <w:spacing w:line="360" w:lineRule="auto"/>
        <w:rPr>
          <w:rFonts w:hint="eastAsia" w:ascii="宋体" w:hAnsi="宋体" w:cs="宋体"/>
          <w:kern w:val="0"/>
          <w:sz w:val="22"/>
          <w:szCs w:val="22"/>
          <w:lang w:val="zh-CN"/>
        </w:rPr>
      </w:pPr>
      <w:r>
        <w:rPr>
          <w:rFonts w:hint="eastAsia" w:ascii="宋体" w:hAnsi="宋体" w:cs="宋体"/>
          <w:kern w:val="0"/>
          <w:sz w:val="22"/>
          <w:szCs w:val="22"/>
          <w:lang w:val="zh-CN"/>
        </w:rPr>
        <w:t>评标委员会成员签到、身份确认、回避确认的功能。</w:t>
      </w:r>
    </w:p>
    <w:p>
      <w:pPr>
        <w:numPr>
          <w:ilvl w:val="0"/>
          <w:numId w:val="77"/>
        </w:numPr>
        <w:snapToGrid w:val="0"/>
        <w:spacing w:line="360" w:lineRule="auto"/>
        <w:rPr>
          <w:rFonts w:hint="eastAsia" w:ascii="宋体" w:hAnsi="宋体" w:cs="宋体"/>
          <w:kern w:val="0"/>
          <w:sz w:val="22"/>
          <w:szCs w:val="22"/>
          <w:lang w:val="zh-CN"/>
        </w:rPr>
      </w:pPr>
      <w:r>
        <w:rPr>
          <w:rFonts w:hint="eastAsia" w:ascii="宋体" w:hAnsi="宋体" w:cs="宋体"/>
          <w:kern w:val="0"/>
          <w:sz w:val="22"/>
          <w:szCs w:val="22"/>
          <w:lang w:val="zh-CN"/>
        </w:rPr>
        <w:t>评标委员会名单在评标前的保密功能。</w:t>
      </w:r>
    </w:p>
    <w:p>
      <w:pPr>
        <w:numPr>
          <w:ilvl w:val="0"/>
          <w:numId w:val="77"/>
        </w:numPr>
        <w:snapToGrid w:val="0"/>
        <w:spacing w:line="360" w:lineRule="auto"/>
        <w:rPr>
          <w:rFonts w:hint="eastAsia" w:ascii="宋体" w:hAnsi="宋体" w:cs="宋体"/>
          <w:kern w:val="0"/>
          <w:sz w:val="22"/>
          <w:szCs w:val="22"/>
          <w:lang w:val="zh-CN"/>
        </w:rPr>
      </w:pPr>
      <w:r>
        <w:rPr>
          <w:rFonts w:hint="eastAsia" w:ascii="宋体" w:hAnsi="宋体" w:cs="宋体"/>
          <w:kern w:val="0"/>
          <w:sz w:val="22"/>
          <w:szCs w:val="22"/>
          <w:lang w:val="zh-CN"/>
        </w:rPr>
        <w:t>数据项格式符合电子招投标办法技术规范的要求。</w:t>
      </w:r>
    </w:p>
    <w:p>
      <w:pPr>
        <w:keepNext/>
        <w:keepLines/>
        <w:numPr>
          <w:ilvl w:val="4"/>
          <w:numId w:val="57"/>
        </w:numPr>
        <w:snapToGrid w:val="0"/>
        <w:spacing w:line="360" w:lineRule="auto"/>
        <w:outlineLvl w:val="4"/>
        <w:rPr>
          <w:rFonts w:hint="eastAsia" w:ascii="宋体" w:hAnsi="宋体" w:cs="宋体"/>
          <w:b/>
          <w:bCs/>
          <w:sz w:val="22"/>
          <w:szCs w:val="22"/>
        </w:rPr>
      </w:pPr>
      <w:bookmarkStart w:id="659" w:name="_Toc8926"/>
      <w:bookmarkStart w:id="660" w:name="_Toc22606"/>
      <w:bookmarkStart w:id="661" w:name="_Toc22819"/>
      <w:bookmarkStart w:id="662" w:name="_Toc9350"/>
      <w:bookmarkStart w:id="663" w:name="_Toc31938"/>
      <w:r>
        <w:rPr>
          <w:rFonts w:hint="eastAsia" w:ascii="宋体" w:hAnsi="宋体" w:cs="宋体"/>
          <w:b/>
          <w:bCs/>
          <w:sz w:val="22"/>
          <w:szCs w:val="22"/>
        </w:rPr>
        <w:t>在线评审</w:t>
      </w:r>
      <w:bookmarkEnd w:id="659"/>
      <w:bookmarkEnd w:id="660"/>
      <w:bookmarkEnd w:id="661"/>
      <w:bookmarkEnd w:id="662"/>
      <w:bookmarkEnd w:id="663"/>
    </w:p>
    <w:p>
      <w:pPr>
        <w:snapToGrid w:val="0"/>
        <w:spacing w:line="360" w:lineRule="auto"/>
        <w:ind w:firstLine="440" w:firstLineChars="200"/>
        <w:rPr>
          <w:rFonts w:hint="eastAsia" w:ascii="宋体" w:hAnsi="宋体" w:cs="宋体"/>
          <w:sz w:val="22"/>
          <w:szCs w:val="22"/>
        </w:rPr>
      </w:pPr>
      <w:r>
        <w:rPr>
          <w:rFonts w:hint="eastAsia" w:ascii="宋体" w:hAnsi="宋体" w:cs="宋体"/>
          <w:sz w:val="22"/>
          <w:szCs w:val="22"/>
        </w:rPr>
        <w:t>该模块需具备以下功能：</w:t>
      </w:r>
    </w:p>
    <w:p>
      <w:pPr>
        <w:numPr>
          <w:ilvl w:val="0"/>
          <w:numId w:val="78"/>
        </w:numPr>
        <w:snapToGrid w:val="0"/>
        <w:spacing w:line="360" w:lineRule="auto"/>
        <w:jc w:val="left"/>
        <w:rPr>
          <w:rFonts w:hint="eastAsia" w:ascii="宋体" w:hAnsi="宋体" w:cs="宋体"/>
          <w:kern w:val="0"/>
          <w:sz w:val="22"/>
          <w:szCs w:val="22"/>
          <w:lang w:val="zh-CN"/>
        </w:rPr>
      </w:pPr>
      <w:r>
        <w:rPr>
          <w:rFonts w:hint="eastAsia" w:ascii="宋体" w:hAnsi="宋体" w:cs="宋体"/>
          <w:kern w:val="0"/>
          <w:sz w:val="22"/>
          <w:szCs w:val="22"/>
          <w:lang w:val="zh-CN"/>
        </w:rPr>
        <w:t>评标委员会按照招标文件设定的评分办法进行评审招标项目。</w:t>
      </w:r>
    </w:p>
    <w:p>
      <w:pPr>
        <w:numPr>
          <w:ilvl w:val="0"/>
          <w:numId w:val="78"/>
        </w:numPr>
        <w:snapToGrid w:val="0"/>
        <w:spacing w:line="360" w:lineRule="auto"/>
        <w:jc w:val="left"/>
        <w:rPr>
          <w:rFonts w:hint="eastAsia" w:ascii="宋体" w:hAnsi="宋体" w:cs="宋体"/>
          <w:kern w:val="0"/>
          <w:sz w:val="22"/>
          <w:szCs w:val="22"/>
        </w:rPr>
      </w:pPr>
      <w:r>
        <w:rPr>
          <w:rFonts w:hint="eastAsia" w:ascii="宋体" w:hAnsi="宋体" w:cs="宋体"/>
          <w:kern w:val="0"/>
          <w:sz w:val="22"/>
          <w:szCs w:val="22"/>
          <w:lang w:val="zh-CN"/>
        </w:rPr>
        <w:t>按照招标文件约定的评分办法进行</w:t>
      </w:r>
      <w:r>
        <w:rPr>
          <w:rFonts w:hint="eastAsia" w:ascii="宋体" w:hAnsi="宋体" w:cs="宋体"/>
          <w:kern w:val="0"/>
          <w:sz w:val="22"/>
          <w:szCs w:val="22"/>
        </w:rPr>
        <w:t>综合评审或分段评审</w:t>
      </w:r>
      <w:r>
        <w:rPr>
          <w:rFonts w:hint="eastAsia" w:ascii="宋体" w:hAnsi="宋体" w:cs="宋体"/>
          <w:kern w:val="0"/>
          <w:sz w:val="22"/>
          <w:szCs w:val="22"/>
          <w:lang w:val="zh-CN"/>
        </w:rPr>
        <w:t>，确定项目评审的先后顺序。</w:t>
      </w:r>
    </w:p>
    <w:p>
      <w:pPr>
        <w:numPr>
          <w:ilvl w:val="0"/>
          <w:numId w:val="78"/>
        </w:numPr>
        <w:snapToGrid w:val="0"/>
        <w:spacing w:line="360" w:lineRule="auto"/>
        <w:jc w:val="left"/>
        <w:rPr>
          <w:rFonts w:hint="eastAsia" w:ascii="宋体" w:hAnsi="宋体" w:cs="宋体"/>
          <w:kern w:val="0"/>
          <w:sz w:val="22"/>
          <w:szCs w:val="22"/>
        </w:rPr>
      </w:pPr>
      <w:r>
        <w:rPr>
          <w:rFonts w:hint="eastAsia" w:ascii="宋体" w:hAnsi="宋体" w:cs="宋体"/>
          <w:kern w:val="0"/>
          <w:sz w:val="22"/>
          <w:szCs w:val="22"/>
        </w:rPr>
        <w:t>提供专家在线对供应商资格条件进行评审、评审汇总功能。</w:t>
      </w:r>
    </w:p>
    <w:p>
      <w:pPr>
        <w:numPr>
          <w:ilvl w:val="0"/>
          <w:numId w:val="78"/>
        </w:numPr>
        <w:snapToGrid w:val="0"/>
        <w:spacing w:line="360" w:lineRule="auto"/>
        <w:jc w:val="left"/>
        <w:rPr>
          <w:rFonts w:hint="eastAsia" w:ascii="宋体" w:hAnsi="宋体" w:cs="宋体"/>
          <w:kern w:val="0"/>
          <w:sz w:val="22"/>
          <w:szCs w:val="22"/>
        </w:rPr>
      </w:pPr>
      <w:r>
        <w:rPr>
          <w:rFonts w:hint="eastAsia" w:ascii="宋体" w:hAnsi="宋体" w:cs="宋体"/>
          <w:kern w:val="0"/>
          <w:sz w:val="22"/>
          <w:szCs w:val="22"/>
        </w:rPr>
        <w:t>提供专家在线对供应商商务、技术条款进行评审、评审汇总功能。</w:t>
      </w:r>
    </w:p>
    <w:p>
      <w:pPr>
        <w:numPr>
          <w:ilvl w:val="0"/>
          <w:numId w:val="78"/>
        </w:numPr>
        <w:snapToGrid w:val="0"/>
        <w:spacing w:line="360" w:lineRule="auto"/>
        <w:jc w:val="left"/>
        <w:rPr>
          <w:rFonts w:hint="eastAsia" w:ascii="宋体" w:hAnsi="宋体" w:cs="宋体"/>
          <w:kern w:val="0"/>
          <w:sz w:val="22"/>
          <w:szCs w:val="22"/>
        </w:rPr>
      </w:pPr>
      <w:r>
        <w:rPr>
          <w:rFonts w:hint="eastAsia" w:ascii="宋体" w:hAnsi="宋体" w:cs="宋体"/>
          <w:kern w:val="0"/>
          <w:sz w:val="22"/>
          <w:szCs w:val="22"/>
        </w:rPr>
        <w:t>提供供应商报价得分自动计算功能。</w:t>
      </w:r>
    </w:p>
    <w:p>
      <w:pPr>
        <w:numPr>
          <w:ilvl w:val="0"/>
          <w:numId w:val="78"/>
        </w:numPr>
        <w:snapToGrid w:val="0"/>
        <w:spacing w:line="360" w:lineRule="auto"/>
        <w:jc w:val="left"/>
        <w:rPr>
          <w:rFonts w:hint="eastAsia" w:ascii="宋体" w:hAnsi="宋体" w:cs="宋体"/>
          <w:kern w:val="0"/>
          <w:sz w:val="22"/>
          <w:szCs w:val="22"/>
          <w:lang w:val="zh-CN"/>
        </w:rPr>
      </w:pPr>
      <w:r>
        <w:rPr>
          <w:rFonts w:hint="eastAsia" w:ascii="宋体" w:hAnsi="宋体" w:cs="宋体"/>
          <w:kern w:val="0"/>
          <w:sz w:val="22"/>
          <w:szCs w:val="22"/>
          <w:lang w:val="zh-CN"/>
        </w:rPr>
        <w:t>根据评审专家的评审结果，按照投标人综合评分或者评标价自动排序，并生成评标报告所需的评标表格供打印。</w:t>
      </w:r>
    </w:p>
    <w:p>
      <w:pPr>
        <w:numPr>
          <w:ilvl w:val="0"/>
          <w:numId w:val="78"/>
        </w:numPr>
        <w:snapToGrid w:val="0"/>
        <w:spacing w:line="360" w:lineRule="auto"/>
        <w:jc w:val="left"/>
        <w:rPr>
          <w:rFonts w:hint="eastAsia" w:ascii="宋体" w:hAnsi="宋体" w:cs="宋体"/>
          <w:kern w:val="0"/>
          <w:sz w:val="22"/>
          <w:szCs w:val="22"/>
          <w:lang w:val="zh-CN"/>
        </w:rPr>
      </w:pPr>
      <w:r>
        <w:rPr>
          <w:rFonts w:hint="eastAsia" w:ascii="宋体" w:hAnsi="宋体" w:cs="宋体"/>
          <w:kern w:val="0"/>
          <w:sz w:val="22"/>
          <w:szCs w:val="22"/>
          <w:lang w:val="zh-CN"/>
        </w:rPr>
        <w:t>评审专家组长可以对投标人发出标中质询，对应投标人需要在系统中在线响应，支持文档资料的上传。</w:t>
      </w:r>
    </w:p>
    <w:p>
      <w:pPr>
        <w:numPr>
          <w:ilvl w:val="0"/>
          <w:numId w:val="78"/>
        </w:numPr>
        <w:snapToGrid w:val="0"/>
        <w:spacing w:line="360" w:lineRule="auto"/>
        <w:jc w:val="left"/>
        <w:rPr>
          <w:rFonts w:hint="eastAsia" w:ascii="宋体" w:hAnsi="宋体" w:cs="宋体"/>
          <w:kern w:val="0"/>
          <w:sz w:val="22"/>
          <w:szCs w:val="22"/>
          <w:lang w:val="zh-CN"/>
        </w:rPr>
      </w:pPr>
      <w:r>
        <w:rPr>
          <w:rFonts w:hint="eastAsia" w:ascii="宋体" w:hAnsi="宋体" w:cs="宋体"/>
          <w:kern w:val="0"/>
          <w:sz w:val="22"/>
          <w:szCs w:val="22"/>
          <w:lang w:val="zh-CN"/>
        </w:rPr>
        <w:t>权限控制功能，只允许权限范围内的评审专家等查看当前评审项目信息。</w:t>
      </w:r>
    </w:p>
    <w:p>
      <w:pPr>
        <w:numPr>
          <w:ilvl w:val="0"/>
          <w:numId w:val="78"/>
        </w:numPr>
        <w:snapToGrid w:val="0"/>
        <w:spacing w:line="360" w:lineRule="auto"/>
        <w:jc w:val="left"/>
        <w:rPr>
          <w:rFonts w:hint="eastAsia" w:ascii="宋体" w:hAnsi="宋体" w:cs="宋体"/>
          <w:kern w:val="0"/>
          <w:sz w:val="22"/>
          <w:szCs w:val="22"/>
          <w:lang w:val="zh-CN"/>
        </w:rPr>
      </w:pPr>
      <w:r>
        <w:rPr>
          <w:rFonts w:hint="eastAsia" w:ascii="宋体" w:hAnsi="宋体" w:cs="宋体"/>
          <w:kern w:val="0"/>
          <w:sz w:val="22"/>
          <w:szCs w:val="22"/>
          <w:lang w:val="zh-CN"/>
        </w:rPr>
        <w:t>自动识别投标文件是否存在串标行为，</w:t>
      </w:r>
      <w:r>
        <w:rPr>
          <w:rFonts w:hint="eastAsia" w:ascii="宋体" w:hAnsi="宋体" w:cs="宋体"/>
          <w:kern w:val="0"/>
          <w:sz w:val="22"/>
          <w:szCs w:val="22"/>
        </w:rPr>
        <w:t>辅助评审专家</w:t>
      </w:r>
      <w:r>
        <w:rPr>
          <w:rFonts w:hint="eastAsia" w:ascii="宋体" w:hAnsi="宋体" w:cs="宋体"/>
          <w:kern w:val="0"/>
          <w:sz w:val="22"/>
          <w:szCs w:val="22"/>
          <w:lang w:val="zh-CN"/>
        </w:rPr>
        <w:t>。</w:t>
      </w:r>
    </w:p>
    <w:p>
      <w:pPr>
        <w:numPr>
          <w:ilvl w:val="0"/>
          <w:numId w:val="78"/>
        </w:numPr>
        <w:snapToGrid w:val="0"/>
        <w:spacing w:line="360" w:lineRule="auto"/>
        <w:jc w:val="left"/>
        <w:rPr>
          <w:rFonts w:hint="eastAsia" w:ascii="宋体" w:hAnsi="宋体" w:cs="宋体"/>
          <w:kern w:val="0"/>
          <w:sz w:val="22"/>
          <w:szCs w:val="22"/>
          <w:lang w:val="zh-CN"/>
        </w:rPr>
      </w:pPr>
      <w:r>
        <w:rPr>
          <w:rFonts w:hint="eastAsia" w:ascii="宋体" w:hAnsi="宋体" w:cs="宋体"/>
          <w:kern w:val="0"/>
          <w:sz w:val="22"/>
          <w:szCs w:val="22"/>
        </w:rPr>
        <w:t>提供专家打分偏离提醒功能。</w:t>
      </w:r>
    </w:p>
    <w:p>
      <w:pPr>
        <w:numPr>
          <w:ilvl w:val="0"/>
          <w:numId w:val="78"/>
        </w:numPr>
        <w:snapToGrid w:val="0"/>
        <w:spacing w:line="360" w:lineRule="auto"/>
        <w:jc w:val="left"/>
        <w:rPr>
          <w:rFonts w:hint="eastAsia" w:ascii="宋体" w:hAnsi="宋体" w:cs="宋体"/>
          <w:kern w:val="0"/>
          <w:sz w:val="22"/>
          <w:szCs w:val="22"/>
          <w:lang w:val="zh-CN"/>
        </w:rPr>
      </w:pPr>
      <w:r>
        <w:rPr>
          <w:rFonts w:hint="eastAsia" w:ascii="宋体" w:hAnsi="宋体" w:cs="宋体"/>
          <w:kern w:val="0"/>
          <w:sz w:val="22"/>
          <w:szCs w:val="22"/>
        </w:rPr>
        <w:t>支持与</w:t>
      </w:r>
      <w:r>
        <w:rPr>
          <w:rFonts w:hint="eastAsia" w:ascii="宋体" w:hAnsi="宋体" w:cs="宋体"/>
          <w:kern w:val="0"/>
          <w:sz w:val="22"/>
          <w:szCs w:val="22"/>
          <w:lang w:val="zh-CN"/>
        </w:rPr>
        <w:t>电子评标室监控系统、视频会议系统融合展示；在远程异地评标时可对评标整体环境监控、评标专家个人监控以及评标操作界面监控。</w:t>
      </w:r>
    </w:p>
    <w:p>
      <w:pPr>
        <w:numPr>
          <w:ilvl w:val="0"/>
          <w:numId w:val="78"/>
        </w:numPr>
        <w:snapToGrid w:val="0"/>
        <w:spacing w:line="360" w:lineRule="auto"/>
        <w:jc w:val="left"/>
        <w:rPr>
          <w:rFonts w:hint="eastAsia" w:ascii="宋体" w:hAnsi="宋体" w:cs="宋体"/>
          <w:kern w:val="0"/>
          <w:sz w:val="22"/>
          <w:szCs w:val="22"/>
          <w:lang w:val="zh-CN"/>
        </w:rPr>
      </w:pPr>
      <w:r>
        <w:rPr>
          <w:rFonts w:hint="eastAsia" w:ascii="宋体" w:hAnsi="宋体" w:cs="宋体"/>
          <w:kern w:val="0"/>
          <w:sz w:val="22"/>
          <w:szCs w:val="22"/>
          <w:lang w:val="zh-CN"/>
        </w:rPr>
        <w:t>按招标项目类型和评标办法设置、维护和管理评标模板。</w:t>
      </w:r>
    </w:p>
    <w:p>
      <w:pPr>
        <w:numPr>
          <w:ilvl w:val="0"/>
          <w:numId w:val="78"/>
        </w:numPr>
        <w:snapToGrid w:val="0"/>
        <w:spacing w:line="360" w:lineRule="auto"/>
        <w:jc w:val="left"/>
        <w:rPr>
          <w:rFonts w:hint="eastAsia" w:ascii="宋体" w:hAnsi="宋体" w:cs="宋体"/>
          <w:kern w:val="0"/>
          <w:sz w:val="22"/>
          <w:szCs w:val="22"/>
          <w:lang w:val="zh-CN"/>
        </w:rPr>
      </w:pPr>
      <w:r>
        <w:rPr>
          <w:rFonts w:hint="eastAsia" w:ascii="宋体" w:hAnsi="宋体" w:cs="宋体"/>
          <w:kern w:val="0"/>
          <w:sz w:val="22"/>
          <w:szCs w:val="22"/>
          <w:lang w:val="zh-CN"/>
        </w:rPr>
        <w:t>提供专家评审由于操作失误导致的错误</w:t>
      </w:r>
      <w:r>
        <w:rPr>
          <w:rFonts w:hint="eastAsia" w:ascii="宋体" w:hAnsi="宋体" w:cs="宋体"/>
          <w:kern w:val="0"/>
          <w:sz w:val="22"/>
          <w:szCs w:val="22"/>
        </w:rPr>
        <w:t>解锁</w:t>
      </w:r>
      <w:r>
        <w:rPr>
          <w:rFonts w:hint="eastAsia" w:ascii="宋体" w:hAnsi="宋体" w:cs="宋体"/>
          <w:kern w:val="0"/>
          <w:sz w:val="22"/>
          <w:szCs w:val="22"/>
          <w:lang w:val="zh-CN"/>
        </w:rPr>
        <w:t>退回功能，方便系统适应不同的业务需要。</w:t>
      </w:r>
    </w:p>
    <w:p>
      <w:pPr>
        <w:numPr>
          <w:ilvl w:val="0"/>
          <w:numId w:val="78"/>
        </w:numPr>
        <w:snapToGrid w:val="0"/>
        <w:spacing w:line="360" w:lineRule="auto"/>
        <w:jc w:val="left"/>
        <w:rPr>
          <w:rFonts w:hint="eastAsia" w:ascii="宋体" w:hAnsi="宋体" w:cs="宋体"/>
          <w:kern w:val="0"/>
          <w:sz w:val="22"/>
          <w:szCs w:val="22"/>
          <w:lang w:val="zh-CN"/>
        </w:rPr>
      </w:pPr>
      <w:r>
        <w:rPr>
          <w:rFonts w:hint="eastAsia" w:ascii="宋体" w:hAnsi="宋体" w:cs="宋体"/>
          <w:kern w:val="0"/>
          <w:sz w:val="22"/>
          <w:szCs w:val="22"/>
          <w:lang w:val="zh-CN"/>
        </w:rPr>
        <w:t>系统支持多种评分办法打分方式，如综合打分法、最低价法等评分办法。</w:t>
      </w:r>
    </w:p>
    <w:p>
      <w:pPr>
        <w:numPr>
          <w:ilvl w:val="0"/>
          <w:numId w:val="78"/>
        </w:numPr>
        <w:snapToGrid w:val="0"/>
        <w:spacing w:line="360" w:lineRule="auto"/>
        <w:jc w:val="left"/>
        <w:rPr>
          <w:rFonts w:hint="eastAsia" w:ascii="宋体" w:hAnsi="宋体" w:cs="宋体"/>
          <w:kern w:val="0"/>
          <w:sz w:val="22"/>
          <w:szCs w:val="22"/>
          <w:lang w:val="zh-CN"/>
        </w:rPr>
      </w:pPr>
      <w:r>
        <w:rPr>
          <w:rFonts w:hint="eastAsia" w:ascii="宋体" w:hAnsi="宋体" w:cs="宋体"/>
          <w:kern w:val="0"/>
          <w:sz w:val="22"/>
          <w:szCs w:val="22"/>
        </w:rPr>
        <w:t>支持评标过程中异常情况记录上传管理功能。</w:t>
      </w:r>
    </w:p>
    <w:p>
      <w:pPr>
        <w:keepNext/>
        <w:keepLines/>
        <w:numPr>
          <w:ilvl w:val="4"/>
          <w:numId w:val="57"/>
        </w:numPr>
        <w:snapToGrid w:val="0"/>
        <w:spacing w:line="360" w:lineRule="auto"/>
        <w:outlineLvl w:val="4"/>
        <w:rPr>
          <w:rFonts w:hint="eastAsia" w:ascii="宋体" w:hAnsi="宋体" w:cs="宋体"/>
          <w:b/>
          <w:bCs/>
          <w:sz w:val="22"/>
          <w:szCs w:val="22"/>
        </w:rPr>
      </w:pPr>
      <w:bookmarkStart w:id="664" w:name="_Toc20858"/>
      <w:bookmarkStart w:id="665" w:name="_Toc25420"/>
      <w:bookmarkStart w:id="666" w:name="_Toc32662"/>
      <w:bookmarkStart w:id="667" w:name="_Toc13222"/>
      <w:bookmarkStart w:id="668" w:name="_Toc22882"/>
      <w:bookmarkStart w:id="669" w:name="_Toc20076"/>
      <w:r>
        <w:rPr>
          <w:rFonts w:hint="eastAsia" w:ascii="宋体" w:hAnsi="宋体" w:cs="宋体"/>
          <w:b/>
          <w:bCs/>
          <w:sz w:val="22"/>
          <w:szCs w:val="22"/>
        </w:rPr>
        <w:t>评标报告</w:t>
      </w:r>
      <w:bookmarkEnd w:id="664"/>
      <w:bookmarkEnd w:id="665"/>
      <w:bookmarkEnd w:id="666"/>
      <w:bookmarkEnd w:id="667"/>
      <w:bookmarkEnd w:id="668"/>
      <w:bookmarkEnd w:id="669"/>
      <w:r>
        <w:rPr>
          <w:rFonts w:hint="eastAsia" w:ascii="宋体" w:hAnsi="宋体" w:cs="宋体"/>
          <w:b/>
          <w:bCs/>
          <w:sz w:val="22"/>
          <w:szCs w:val="22"/>
        </w:rPr>
        <w:t xml:space="preserve"> </w:t>
      </w:r>
    </w:p>
    <w:p>
      <w:pPr>
        <w:snapToGrid w:val="0"/>
        <w:spacing w:line="360" w:lineRule="auto"/>
        <w:ind w:firstLine="440" w:firstLineChars="200"/>
        <w:rPr>
          <w:rFonts w:hint="eastAsia" w:ascii="宋体" w:hAnsi="宋体" w:cs="宋体"/>
          <w:kern w:val="0"/>
          <w:sz w:val="22"/>
          <w:szCs w:val="22"/>
          <w:lang w:val="zh-CN"/>
        </w:rPr>
      </w:pPr>
      <w:r>
        <w:rPr>
          <w:rFonts w:hint="eastAsia" w:ascii="宋体" w:hAnsi="宋体" w:cs="宋体"/>
          <w:kern w:val="0"/>
          <w:sz w:val="22"/>
          <w:szCs w:val="22"/>
          <w:lang w:val="zh-CN"/>
        </w:rPr>
        <w:t>需具备通过模板自动生成评标报告的功能。</w:t>
      </w:r>
    </w:p>
    <w:p>
      <w:pPr>
        <w:keepNext/>
        <w:keepLines/>
        <w:numPr>
          <w:ilvl w:val="3"/>
          <w:numId w:val="57"/>
        </w:numPr>
        <w:tabs>
          <w:tab w:val="left" w:pos="420"/>
          <w:tab w:val="clear" w:pos="0"/>
        </w:tabs>
        <w:snapToGrid w:val="0"/>
        <w:spacing w:line="360" w:lineRule="auto"/>
        <w:outlineLvl w:val="3"/>
        <w:rPr>
          <w:rFonts w:hint="eastAsia" w:ascii="宋体" w:hAnsi="宋体" w:cs="宋体"/>
          <w:b/>
          <w:bCs/>
          <w:kern w:val="0"/>
          <w:sz w:val="22"/>
          <w:szCs w:val="22"/>
          <w:lang w:val="zh-CN"/>
        </w:rPr>
      </w:pPr>
      <w:r>
        <w:rPr>
          <w:rFonts w:hint="eastAsia" w:ascii="宋体" w:hAnsi="宋体" w:cs="宋体"/>
          <w:b/>
          <w:bCs/>
          <w:kern w:val="0"/>
          <w:sz w:val="22"/>
          <w:szCs w:val="22"/>
        </w:rPr>
        <w:t>中标候选人公示</w:t>
      </w:r>
    </w:p>
    <w:p>
      <w:pPr>
        <w:snapToGrid w:val="0"/>
        <w:spacing w:line="360" w:lineRule="auto"/>
        <w:ind w:firstLine="440" w:firstLineChars="200"/>
        <w:rPr>
          <w:rFonts w:hint="eastAsia" w:ascii="宋体" w:hAnsi="宋体" w:cs="宋体"/>
          <w:sz w:val="22"/>
          <w:szCs w:val="22"/>
        </w:rPr>
      </w:pPr>
      <w:r>
        <w:rPr>
          <w:rFonts w:hint="eastAsia" w:ascii="宋体" w:hAnsi="宋体" w:cs="宋体"/>
          <w:sz w:val="22"/>
          <w:szCs w:val="22"/>
        </w:rPr>
        <w:t>需具备以下功能：</w:t>
      </w:r>
    </w:p>
    <w:p>
      <w:pPr>
        <w:numPr>
          <w:ilvl w:val="0"/>
          <w:numId w:val="79"/>
        </w:numPr>
        <w:snapToGrid w:val="0"/>
        <w:spacing w:line="360" w:lineRule="auto"/>
        <w:rPr>
          <w:rFonts w:hint="eastAsia" w:ascii="宋体" w:hAnsi="宋体" w:cs="宋体"/>
          <w:kern w:val="0"/>
          <w:sz w:val="22"/>
          <w:szCs w:val="22"/>
          <w:lang w:val="zh-CN"/>
        </w:rPr>
      </w:pPr>
      <w:r>
        <w:rPr>
          <w:rFonts w:hint="eastAsia" w:ascii="宋体" w:hAnsi="宋体" w:cs="宋体"/>
          <w:kern w:val="0"/>
          <w:sz w:val="22"/>
          <w:szCs w:val="22"/>
          <w:lang w:val="zh-CN"/>
        </w:rPr>
        <w:t>中标候选人公示的编辑、提交审核、验证确认、备案、发布功能。数据项包括：标段（包）编号、公示内容（含中标候选人名称及排序、投标价格、中标价格）、公示时间等。</w:t>
      </w:r>
    </w:p>
    <w:p>
      <w:pPr>
        <w:numPr>
          <w:ilvl w:val="0"/>
          <w:numId w:val="79"/>
        </w:numPr>
        <w:snapToGrid w:val="0"/>
        <w:spacing w:line="360" w:lineRule="auto"/>
        <w:rPr>
          <w:rFonts w:hint="eastAsia" w:ascii="宋体" w:hAnsi="宋体" w:cs="宋体"/>
          <w:kern w:val="0"/>
          <w:sz w:val="22"/>
          <w:szCs w:val="22"/>
          <w:lang w:val="zh-CN"/>
        </w:rPr>
      </w:pPr>
      <w:r>
        <w:rPr>
          <w:rFonts w:hint="eastAsia" w:ascii="宋体" w:hAnsi="宋体" w:cs="宋体"/>
          <w:kern w:val="0"/>
          <w:sz w:val="22"/>
          <w:szCs w:val="22"/>
          <w:lang w:val="zh-CN"/>
        </w:rPr>
        <w:t>具备公告同步递交到指定媒介发布的功能。</w:t>
      </w:r>
    </w:p>
    <w:p>
      <w:pPr>
        <w:numPr>
          <w:ilvl w:val="0"/>
          <w:numId w:val="79"/>
        </w:numPr>
        <w:snapToGrid w:val="0"/>
        <w:spacing w:line="360" w:lineRule="auto"/>
        <w:rPr>
          <w:rFonts w:hint="eastAsia" w:ascii="宋体" w:hAnsi="宋体" w:cs="宋体"/>
          <w:kern w:val="0"/>
          <w:sz w:val="22"/>
          <w:szCs w:val="22"/>
          <w:lang w:val="zh-CN"/>
        </w:rPr>
      </w:pPr>
      <w:r>
        <w:rPr>
          <w:rFonts w:hint="eastAsia" w:ascii="宋体" w:hAnsi="宋体" w:cs="宋体"/>
          <w:kern w:val="0"/>
          <w:sz w:val="22"/>
          <w:szCs w:val="22"/>
          <w:lang w:val="zh-CN"/>
        </w:rPr>
        <w:t>数据项格式符合电子招投标办法技术规范的要求。</w:t>
      </w:r>
    </w:p>
    <w:p>
      <w:pPr>
        <w:numPr>
          <w:ilvl w:val="0"/>
          <w:numId w:val="79"/>
        </w:numPr>
        <w:snapToGrid w:val="0"/>
        <w:spacing w:line="360" w:lineRule="auto"/>
        <w:rPr>
          <w:rFonts w:hint="eastAsia" w:ascii="宋体" w:hAnsi="宋体" w:cs="宋体"/>
          <w:sz w:val="22"/>
          <w:szCs w:val="22"/>
        </w:rPr>
      </w:pPr>
      <w:r>
        <w:rPr>
          <w:rFonts w:hint="eastAsia" w:ascii="宋体" w:hAnsi="宋体" w:cs="宋体"/>
          <w:kern w:val="0"/>
          <w:sz w:val="22"/>
          <w:szCs w:val="22"/>
          <w:lang w:val="zh-CN"/>
        </w:rPr>
        <w:t>支持跨部门、跨单位审批确认功能。</w:t>
      </w:r>
    </w:p>
    <w:p>
      <w:pPr>
        <w:keepNext/>
        <w:keepLines/>
        <w:numPr>
          <w:ilvl w:val="3"/>
          <w:numId w:val="57"/>
        </w:numPr>
        <w:tabs>
          <w:tab w:val="left" w:pos="420"/>
          <w:tab w:val="clear" w:pos="0"/>
        </w:tabs>
        <w:snapToGrid w:val="0"/>
        <w:spacing w:line="360" w:lineRule="auto"/>
        <w:outlineLvl w:val="3"/>
        <w:rPr>
          <w:rFonts w:hint="eastAsia" w:ascii="宋体" w:hAnsi="宋体" w:cs="宋体"/>
          <w:b/>
          <w:bCs/>
          <w:kern w:val="0"/>
          <w:sz w:val="22"/>
          <w:szCs w:val="22"/>
          <w:lang w:val="zh-CN"/>
        </w:rPr>
      </w:pPr>
      <w:r>
        <w:rPr>
          <w:rFonts w:hint="eastAsia" w:ascii="宋体" w:hAnsi="宋体" w:cs="宋体"/>
          <w:b/>
          <w:bCs/>
          <w:kern w:val="0"/>
          <w:sz w:val="22"/>
          <w:szCs w:val="22"/>
        </w:rPr>
        <w:t>项目定标</w:t>
      </w:r>
    </w:p>
    <w:p>
      <w:pPr>
        <w:snapToGrid w:val="0"/>
        <w:spacing w:line="360" w:lineRule="auto"/>
        <w:ind w:firstLine="440" w:firstLineChars="200"/>
        <w:rPr>
          <w:rFonts w:hint="eastAsia" w:ascii="宋体" w:hAnsi="宋体" w:cs="宋体"/>
          <w:kern w:val="0"/>
          <w:sz w:val="22"/>
          <w:szCs w:val="22"/>
          <w:lang w:val="zh-CN"/>
        </w:rPr>
      </w:pPr>
      <w:r>
        <w:rPr>
          <w:rFonts w:hint="eastAsia" w:ascii="宋体" w:hAnsi="宋体" w:cs="宋体"/>
          <w:kern w:val="0"/>
          <w:sz w:val="22"/>
          <w:szCs w:val="22"/>
        </w:rPr>
        <w:t>具备将评标结果自动带入项目定标阶段，由采购经办人发起定标审批流程</w:t>
      </w:r>
      <w:r>
        <w:rPr>
          <w:rFonts w:hint="eastAsia" w:ascii="宋体" w:hAnsi="宋体" w:cs="宋体"/>
          <w:kern w:val="0"/>
          <w:sz w:val="22"/>
          <w:szCs w:val="22"/>
          <w:lang w:val="zh-CN"/>
        </w:rPr>
        <w:t>。</w:t>
      </w:r>
    </w:p>
    <w:p>
      <w:pPr>
        <w:keepNext/>
        <w:keepLines/>
        <w:numPr>
          <w:ilvl w:val="3"/>
          <w:numId w:val="57"/>
        </w:numPr>
        <w:tabs>
          <w:tab w:val="left" w:pos="420"/>
          <w:tab w:val="clear" w:pos="0"/>
        </w:tabs>
        <w:snapToGrid w:val="0"/>
        <w:spacing w:line="360" w:lineRule="auto"/>
        <w:outlineLvl w:val="3"/>
        <w:rPr>
          <w:rFonts w:hint="eastAsia" w:ascii="宋体" w:hAnsi="宋体" w:cs="宋体"/>
          <w:b/>
          <w:bCs/>
          <w:kern w:val="0"/>
          <w:sz w:val="22"/>
          <w:szCs w:val="22"/>
          <w:lang w:val="zh-CN"/>
        </w:rPr>
      </w:pPr>
      <w:bookmarkStart w:id="670" w:name="_Toc29873"/>
      <w:bookmarkStart w:id="671" w:name="_Toc19683"/>
      <w:bookmarkStart w:id="672" w:name="_Toc29254"/>
      <w:bookmarkStart w:id="673" w:name="_Toc19661"/>
      <w:bookmarkStart w:id="674" w:name="_Toc6065"/>
      <w:bookmarkStart w:id="675" w:name="_Toc7654"/>
      <w:r>
        <w:rPr>
          <w:rFonts w:hint="eastAsia" w:ascii="宋体" w:hAnsi="宋体" w:cs="宋体"/>
          <w:b/>
          <w:bCs/>
          <w:sz w:val="22"/>
          <w:szCs w:val="22"/>
        </w:rPr>
        <w:t>采购结果登记</w:t>
      </w:r>
      <w:bookmarkEnd w:id="670"/>
      <w:bookmarkEnd w:id="671"/>
      <w:bookmarkEnd w:id="672"/>
      <w:bookmarkEnd w:id="673"/>
      <w:bookmarkEnd w:id="674"/>
      <w:bookmarkEnd w:id="675"/>
    </w:p>
    <w:p>
      <w:pPr>
        <w:keepNext/>
        <w:keepLines/>
        <w:numPr>
          <w:ilvl w:val="4"/>
          <w:numId w:val="57"/>
        </w:numPr>
        <w:snapToGrid w:val="0"/>
        <w:spacing w:line="360" w:lineRule="auto"/>
        <w:outlineLvl w:val="4"/>
        <w:rPr>
          <w:rFonts w:hint="eastAsia" w:ascii="宋体" w:hAnsi="宋体" w:cs="宋体"/>
          <w:b/>
          <w:bCs/>
          <w:sz w:val="22"/>
          <w:szCs w:val="22"/>
        </w:rPr>
      </w:pPr>
      <w:r>
        <w:rPr>
          <w:rFonts w:hint="eastAsia" w:ascii="宋体" w:hAnsi="宋体" w:cs="宋体"/>
          <w:b/>
          <w:bCs/>
          <w:sz w:val="22"/>
          <w:szCs w:val="22"/>
        </w:rPr>
        <w:t>项目定标</w:t>
      </w:r>
    </w:p>
    <w:p>
      <w:pPr>
        <w:numPr>
          <w:ilvl w:val="0"/>
          <w:numId w:val="80"/>
        </w:numPr>
        <w:snapToGrid w:val="0"/>
        <w:spacing w:line="360" w:lineRule="auto"/>
        <w:ind w:firstLine="440" w:firstLineChars="200"/>
        <w:rPr>
          <w:rFonts w:hint="eastAsia" w:ascii="宋体" w:hAnsi="宋体" w:cs="宋体"/>
          <w:kern w:val="0"/>
          <w:sz w:val="22"/>
          <w:szCs w:val="22"/>
          <w:lang w:val="zh-CN"/>
        </w:rPr>
      </w:pPr>
      <w:r>
        <w:rPr>
          <w:rFonts w:hint="eastAsia" w:ascii="宋体" w:hAnsi="宋体" w:cs="宋体"/>
          <w:kern w:val="0"/>
          <w:sz w:val="22"/>
          <w:szCs w:val="22"/>
        </w:rPr>
        <w:t>提供采购业务人员将公共资源交易系统评标的中标结果（供应商名单、投标文件、评标报告等）录入功能</w:t>
      </w:r>
      <w:r>
        <w:rPr>
          <w:rFonts w:hint="eastAsia" w:ascii="宋体" w:hAnsi="宋体" w:cs="宋体"/>
          <w:kern w:val="0"/>
          <w:sz w:val="22"/>
          <w:szCs w:val="22"/>
          <w:lang w:val="zh-CN"/>
        </w:rPr>
        <w:t>。</w:t>
      </w:r>
    </w:p>
    <w:p>
      <w:pPr>
        <w:numPr>
          <w:ilvl w:val="0"/>
          <w:numId w:val="80"/>
        </w:numPr>
        <w:snapToGrid w:val="0"/>
        <w:spacing w:line="360" w:lineRule="auto"/>
        <w:ind w:firstLine="440" w:firstLineChars="200"/>
        <w:rPr>
          <w:rFonts w:hint="eastAsia" w:ascii="宋体" w:hAnsi="宋体" w:cs="宋体"/>
          <w:kern w:val="0"/>
          <w:sz w:val="22"/>
          <w:szCs w:val="22"/>
        </w:rPr>
      </w:pPr>
      <w:r>
        <w:rPr>
          <w:rFonts w:hint="eastAsia" w:ascii="宋体" w:hAnsi="宋体" w:cs="宋体"/>
          <w:kern w:val="0"/>
          <w:sz w:val="22"/>
          <w:szCs w:val="22"/>
        </w:rPr>
        <w:t>提供采购业务人员将录入的结果提报公司领导审批功能。</w:t>
      </w:r>
    </w:p>
    <w:p>
      <w:pPr>
        <w:numPr>
          <w:ilvl w:val="0"/>
          <w:numId w:val="80"/>
        </w:numPr>
        <w:snapToGrid w:val="0"/>
        <w:spacing w:line="360" w:lineRule="auto"/>
        <w:ind w:firstLine="440" w:firstLineChars="200"/>
        <w:rPr>
          <w:rFonts w:hint="eastAsia" w:ascii="宋体" w:hAnsi="宋体" w:cs="宋体"/>
          <w:sz w:val="22"/>
          <w:szCs w:val="22"/>
        </w:rPr>
      </w:pPr>
      <w:r>
        <w:rPr>
          <w:rFonts w:hint="eastAsia" w:ascii="宋体" w:hAnsi="宋体" w:cs="宋体"/>
          <w:kern w:val="0"/>
          <w:sz w:val="22"/>
          <w:szCs w:val="22"/>
        </w:rPr>
        <w:t>支持</w:t>
      </w:r>
      <w:r>
        <w:rPr>
          <w:rFonts w:hint="eastAsia" w:ascii="宋体" w:hAnsi="宋体" w:cs="宋体"/>
          <w:kern w:val="0"/>
          <w:sz w:val="22"/>
          <w:szCs w:val="22"/>
          <w:lang w:val="zh-CN"/>
        </w:rPr>
        <w:t>跨部门、跨单位审批确认功能</w:t>
      </w:r>
      <w:r>
        <w:rPr>
          <w:rFonts w:hint="eastAsia" w:ascii="宋体" w:hAnsi="宋体" w:cs="宋体"/>
          <w:kern w:val="0"/>
          <w:sz w:val="22"/>
          <w:szCs w:val="22"/>
        </w:rPr>
        <w:t>。</w:t>
      </w:r>
    </w:p>
    <w:p>
      <w:pPr>
        <w:keepNext/>
        <w:keepLines/>
        <w:numPr>
          <w:ilvl w:val="4"/>
          <w:numId w:val="57"/>
        </w:numPr>
        <w:snapToGrid w:val="0"/>
        <w:spacing w:line="360" w:lineRule="auto"/>
        <w:outlineLvl w:val="4"/>
        <w:rPr>
          <w:rFonts w:hint="eastAsia" w:ascii="宋体" w:hAnsi="宋体" w:cs="宋体"/>
          <w:b/>
          <w:bCs/>
          <w:sz w:val="22"/>
          <w:szCs w:val="22"/>
        </w:rPr>
      </w:pPr>
      <w:bookmarkStart w:id="676" w:name="_Toc24975"/>
      <w:bookmarkStart w:id="677" w:name="_Toc17254"/>
      <w:bookmarkStart w:id="678" w:name="_Toc25690"/>
      <w:bookmarkStart w:id="679" w:name="_Toc9391"/>
      <w:bookmarkStart w:id="680" w:name="_Toc11869"/>
      <w:bookmarkStart w:id="681" w:name="_Toc21259"/>
      <w:r>
        <w:rPr>
          <w:rFonts w:hint="eastAsia" w:ascii="宋体" w:hAnsi="宋体" w:cs="宋体"/>
          <w:b/>
          <w:bCs/>
          <w:sz w:val="22"/>
          <w:szCs w:val="22"/>
        </w:rPr>
        <w:t>中标结果公告</w:t>
      </w:r>
      <w:bookmarkEnd w:id="676"/>
      <w:bookmarkEnd w:id="677"/>
      <w:bookmarkEnd w:id="678"/>
      <w:bookmarkEnd w:id="679"/>
      <w:bookmarkEnd w:id="680"/>
      <w:bookmarkEnd w:id="681"/>
    </w:p>
    <w:p>
      <w:pPr>
        <w:numPr>
          <w:ilvl w:val="0"/>
          <w:numId w:val="81"/>
        </w:numPr>
        <w:snapToGrid w:val="0"/>
        <w:spacing w:line="360" w:lineRule="auto"/>
        <w:rPr>
          <w:rFonts w:hint="eastAsia" w:ascii="宋体" w:hAnsi="宋体" w:cs="宋体"/>
          <w:kern w:val="0"/>
          <w:sz w:val="22"/>
          <w:szCs w:val="22"/>
          <w:lang w:val="zh-CN"/>
        </w:rPr>
      </w:pPr>
      <w:r>
        <w:rPr>
          <w:rFonts w:hint="eastAsia" w:ascii="宋体" w:hAnsi="宋体" w:cs="宋体"/>
          <w:kern w:val="0"/>
          <w:sz w:val="22"/>
          <w:szCs w:val="22"/>
          <w:lang w:val="zh-CN"/>
        </w:rPr>
        <w:t>需具备编辑、提交审核、验证确认、备案、发布公告的功能。数据项包括但不限于：标段（包）编号、标段（包）名称、中标人名称、中标价格、附件等。</w:t>
      </w:r>
    </w:p>
    <w:p>
      <w:pPr>
        <w:numPr>
          <w:ilvl w:val="0"/>
          <w:numId w:val="81"/>
        </w:numPr>
        <w:snapToGrid w:val="0"/>
        <w:spacing w:line="360" w:lineRule="auto"/>
        <w:rPr>
          <w:rFonts w:hint="eastAsia" w:ascii="宋体" w:hAnsi="宋体" w:cs="宋体"/>
          <w:kern w:val="0"/>
          <w:sz w:val="22"/>
          <w:szCs w:val="22"/>
          <w:lang w:val="zh-CN"/>
        </w:rPr>
      </w:pPr>
      <w:r>
        <w:rPr>
          <w:rFonts w:hint="eastAsia" w:ascii="宋体" w:hAnsi="宋体" w:cs="宋体"/>
          <w:kern w:val="0"/>
          <w:sz w:val="22"/>
          <w:szCs w:val="22"/>
          <w:lang w:val="zh-CN"/>
        </w:rPr>
        <w:t>具备公告同步递交到指定媒介发布的功能。</w:t>
      </w:r>
    </w:p>
    <w:p>
      <w:pPr>
        <w:numPr>
          <w:ilvl w:val="0"/>
          <w:numId w:val="81"/>
        </w:numPr>
        <w:snapToGrid w:val="0"/>
        <w:spacing w:line="360" w:lineRule="auto"/>
        <w:rPr>
          <w:rFonts w:hint="eastAsia" w:ascii="宋体" w:hAnsi="宋体" w:cs="宋体"/>
          <w:kern w:val="0"/>
          <w:sz w:val="22"/>
          <w:szCs w:val="22"/>
          <w:lang w:val="zh-CN"/>
        </w:rPr>
      </w:pPr>
      <w:r>
        <w:rPr>
          <w:rFonts w:hint="eastAsia" w:ascii="宋体" w:hAnsi="宋体" w:cs="宋体"/>
          <w:kern w:val="0"/>
          <w:sz w:val="22"/>
          <w:szCs w:val="22"/>
          <w:lang w:val="zh-CN"/>
        </w:rPr>
        <w:t>数据项格式符合电子招投标办法技术规范的要求。</w:t>
      </w:r>
    </w:p>
    <w:p>
      <w:pPr>
        <w:numPr>
          <w:ilvl w:val="0"/>
          <w:numId w:val="81"/>
        </w:numPr>
        <w:snapToGrid w:val="0"/>
        <w:spacing w:line="360" w:lineRule="auto"/>
        <w:rPr>
          <w:rFonts w:hint="eastAsia" w:ascii="宋体" w:hAnsi="宋体" w:cs="宋体"/>
          <w:kern w:val="0"/>
          <w:sz w:val="22"/>
          <w:szCs w:val="22"/>
          <w:lang w:val="zh-CN"/>
        </w:rPr>
      </w:pPr>
      <w:r>
        <w:rPr>
          <w:rFonts w:hint="eastAsia" w:ascii="宋体" w:hAnsi="宋体" w:cs="宋体"/>
          <w:kern w:val="0"/>
          <w:sz w:val="22"/>
          <w:szCs w:val="22"/>
          <w:lang w:val="zh-CN"/>
        </w:rPr>
        <w:t>支持跨部门、跨单位审批确认功能。</w:t>
      </w:r>
    </w:p>
    <w:p>
      <w:pPr>
        <w:keepNext/>
        <w:keepLines/>
        <w:numPr>
          <w:ilvl w:val="4"/>
          <w:numId w:val="57"/>
        </w:numPr>
        <w:snapToGrid w:val="0"/>
        <w:spacing w:line="360" w:lineRule="auto"/>
        <w:outlineLvl w:val="4"/>
        <w:rPr>
          <w:rFonts w:hint="eastAsia" w:ascii="宋体" w:hAnsi="宋体" w:cs="宋体"/>
          <w:b/>
          <w:bCs/>
          <w:sz w:val="22"/>
          <w:szCs w:val="22"/>
        </w:rPr>
      </w:pPr>
      <w:bookmarkStart w:id="682" w:name="_Toc10565"/>
      <w:bookmarkStart w:id="683" w:name="_Toc7383"/>
      <w:bookmarkStart w:id="684" w:name="_Toc1425"/>
      <w:bookmarkStart w:id="685" w:name="_Toc15557"/>
      <w:bookmarkStart w:id="686" w:name="_Toc20168"/>
      <w:bookmarkStart w:id="687" w:name="_Toc711"/>
      <w:r>
        <w:rPr>
          <w:rFonts w:hint="eastAsia" w:ascii="宋体" w:hAnsi="宋体" w:cs="宋体"/>
          <w:b/>
          <w:bCs/>
          <w:sz w:val="22"/>
          <w:szCs w:val="22"/>
        </w:rPr>
        <w:t>中标结果通知</w:t>
      </w:r>
      <w:bookmarkEnd w:id="682"/>
      <w:bookmarkEnd w:id="683"/>
      <w:bookmarkEnd w:id="684"/>
      <w:bookmarkEnd w:id="685"/>
      <w:bookmarkEnd w:id="686"/>
      <w:bookmarkEnd w:id="687"/>
    </w:p>
    <w:p>
      <w:pPr>
        <w:snapToGrid w:val="0"/>
        <w:spacing w:line="360" w:lineRule="auto"/>
        <w:ind w:firstLine="440" w:firstLineChars="200"/>
        <w:rPr>
          <w:rFonts w:hint="eastAsia" w:ascii="宋体" w:hAnsi="宋体" w:cs="宋体"/>
          <w:kern w:val="0"/>
          <w:sz w:val="22"/>
          <w:szCs w:val="22"/>
          <w:lang w:val="zh-CN"/>
        </w:rPr>
      </w:pPr>
      <w:r>
        <w:rPr>
          <w:rFonts w:hint="eastAsia" w:ascii="宋体" w:hAnsi="宋体" w:cs="宋体"/>
          <w:kern w:val="0"/>
          <w:sz w:val="22"/>
          <w:szCs w:val="22"/>
          <w:lang w:val="zh-CN"/>
        </w:rPr>
        <w:t>需具备以下功能：</w:t>
      </w:r>
    </w:p>
    <w:p>
      <w:pPr>
        <w:numPr>
          <w:ilvl w:val="0"/>
          <w:numId w:val="82"/>
        </w:numPr>
        <w:snapToGrid w:val="0"/>
        <w:spacing w:line="360" w:lineRule="auto"/>
        <w:ind w:left="993" w:hanging="426"/>
        <w:jc w:val="left"/>
        <w:rPr>
          <w:rFonts w:hint="eastAsia" w:ascii="宋体" w:hAnsi="宋体" w:cs="宋体"/>
          <w:kern w:val="0"/>
          <w:sz w:val="22"/>
          <w:szCs w:val="22"/>
          <w:lang w:val="zh-CN"/>
        </w:rPr>
      </w:pPr>
      <w:r>
        <w:rPr>
          <w:rFonts w:hint="eastAsia" w:ascii="宋体" w:hAnsi="宋体" w:cs="宋体"/>
          <w:kern w:val="0"/>
          <w:sz w:val="22"/>
          <w:szCs w:val="22"/>
          <w:lang w:val="zh-CN"/>
        </w:rPr>
        <w:t>在线编辑、提交审核、确认、发布中标结果功能。</w:t>
      </w:r>
    </w:p>
    <w:p>
      <w:pPr>
        <w:numPr>
          <w:ilvl w:val="0"/>
          <w:numId w:val="82"/>
        </w:numPr>
        <w:snapToGrid w:val="0"/>
        <w:spacing w:line="360" w:lineRule="auto"/>
        <w:ind w:left="993" w:hanging="426"/>
        <w:jc w:val="left"/>
        <w:rPr>
          <w:rFonts w:hint="eastAsia" w:ascii="宋体" w:hAnsi="宋体" w:cs="宋体"/>
          <w:kern w:val="0"/>
          <w:sz w:val="22"/>
          <w:szCs w:val="22"/>
          <w:lang w:val="zh-CN"/>
        </w:rPr>
      </w:pPr>
      <w:r>
        <w:rPr>
          <w:rFonts w:hint="eastAsia" w:ascii="宋体" w:hAnsi="宋体" w:cs="宋体"/>
          <w:bCs/>
          <w:kern w:val="0"/>
          <w:sz w:val="22"/>
          <w:szCs w:val="22"/>
          <w:lang w:val="zh-CN"/>
        </w:rPr>
        <w:t>具备中标、未中标理由的编辑、确认、递交功能。</w:t>
      </w:r>
    </w:p>
    <w:p>
      <w:pPr>
        <w:numPr>
          <w:ilvl w:val="0"/>
          <w:numId w:val="82"/>
        </w:numPr>
        <w:snapToGrid w:val="0"/>
        <w:spacing w:line="360" w:lineRule="auto"/>
        <w:ind w:left="993" w:hanging="426"/>
        <w:jc w:val="left"/>
        <w:rPr>
          <w:rFonts w:hint="eastAsia" w:ascii="宋体" w:hAnsi="宋体" w:cs="宋体"/>
          <w:kern w:val="0"/>
          <w:sz w:val="22"/>
          <w:szCs w:val="22"/>
          <w:lang w:val="zh-CN"/>
        </w:rPr>
      </w:pPr>
      <w:r>
        <w:rPr>
          <w:rFonts w:hint="eastAsia" w:ascii="宋体" w:hAnsi="宋体" w:cs="宋体"/>
          <w:kern w:val="0"/>
          <w:sz w:val="22"/>
          <w:szCs w:val="22"/>
          <w:lang w:val="zh-CN"/>
        </w:rPr>
        <w:t>投标人可直接登录系统查看中标结果。</w:t>
      </w:r>
    </w:p>
    <w:p>
      <w:pPr>
        <w:keepNext/>
        <w:keepLines/>
        <w:numPr>
          <w:ilvl w:val="2"/>
          <w:numId w:val="57"/>
        </w:numPr>
        <w:snapToGrid w:val="0"/>
        <w:spacing w:line="360" w:lineRule="auto"/>
        <w:jc w:val="left"/>
        <w:outlineLvl w:val="2"/>
        <w:rPr>
          <w:rFonts w:hint="eastAsia" w:ascii="宋体" w:hAnsi="宋体" w:cs="宋体"/>
          <w:b/>
          <w:bCs/>
          <w:sz w:val="22"/>
          <w:szCs w:val="22"/>
        </w:rPr>
      </w:pPr>
      <w:bookmarkStart w:id="688" w:name="_Toc148"/>
      <w:bookmarkStart w:id="689" w:name="_Toc2960582"/>
      <w:bookmarkStart w:id="690" w:name="_Toc1486"/>
      <w:bookmarkStart w:id="691" w:name="_Toc26118"/>
      <w:bookmarkStart w:id="692" w:name="_Toc23009"/>
      <w:bookmarkStart w:id="693" w:name="_Toc5284809"/>
      <w:bookmarkStart w:id="694" w:name="_Toc25155"/>
      <w:bookmarkStart w:id="695" w:name="_Toc6286"/>
      <w:bookmarkStart w:id="696" w:name="_Toc5642842"/>
      <w:bookmarkStart w:id="697" w:name="_Toc1666"/>
      <w:bookmarkStart w:id="698" w:name="_Toc18736"/>
      <w:bookmarkStart w:id="699" w:name="_Toc5276"/>
      <w:bookmarkStart w:id="700" w:name="_Toc22085"/>
      <w:r>
        <w:rPr>
          <w:rFonts w:hint="eastAsia" w:ascii="宋体" w:hAnsi="宋体" w:cs="宋体"/>
          <w:b/>
          <w:bCs/>
          <w:sz w:val="22"/>
          <w:szCs w:val="22"/>
        </w:rPr>
        <w:t>非招标采购管理</w:t>
      </w:r>
      <w:bookmarkEnd w:id="688"/>
      <w:bookmarkEnd w:id="689"/>
      <w:bookmarkEnd w:id="690"/>
      <w:bookmarkEnd w:id="691"/>
      <w:bookmarkEnd w:id="692"/>
      <w:bookmarkEnd w:id="693"/>
      <w:bookmarkEnd w:id="694"/>
      <w:bookmarkEnd w:id="695"/>
      <w:bookmarkEnd w:id="696"/>
      <w:bookmarkEnd w:id="697"/>
      <w:bookmarkEnd w:id="698"/>
      <w:bookmarkEnd w:id="699"/>
      <w:bookmarkEnd w:id="700"/>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bookmarkStart w:id="701" w:name="_Toc6407"/>
      <w:bookmarkStart w:id="702" w:name="_Toc28888"/>
      <w:bookmarkStart w:id="703" w:name="_Toc5473"/>
      <w:bookmarkStart w:id="704" w:name="_Toc29325"/>
      <w:bookmarkStart w:id="705" w:name="_Toc1570"/>
      <w:r>
        <w:rPr>
          <w:rFonts w:hint="eastAsia" w:ascii="宋体" w:hAnsi="宋体" w:cs="宋体"/>
          <w:b/>
          <w:bCs/>
          <w:sz w:val="22"/>
          <w:szCs w:val="22"/>
        </w:rPr>
        <w:t>询价采购</w:t>
      </w:r>
      <w:bookmarkEnd w:id="701"/>
      <w:bookmarkEnd w:id="702"/>
      <w:bookmarkEnd w:id="703"/>
      <w:bookmarkEnd w:id="704"/>
      <w:bookmarkEnd w:id="705"/>
    </w:p>
    <w:p>
      <w:pPr>
        <w:snapToGrid w:val="0"/>
        <w:spacing w:line="360" w:lineRule="auto"/>
        <w:ind w:firstLine="440" w:firstLineChars="200"/>
        <w:jc w:val="left"/>
        <w:rPr>
          <w:rFonts w:hint="eastAsia" w:ascii="宋体" w:hAnsi="宋体" w:cs="宋体"/>
          <w:kern w:val="0"/>
          <w:sz w:val="22"/>
          <w:szCs w:val="22"/>
        </w:rPr>
      </w:pPr>
      <w:r>
        <w:rPr>
          <w:rFonts w:hint="eastAsia" w:ascii="宋体" w:hAnsi="宋体" w:cs="宋体"/>
          <w:kern w:val="0"/>
          <w:sz w:val="22"/>
          <w:szCs w:val="22"/>
        </w:rPr>
        <w:t>需满足以下要求：</w:t>
      </w:r>
    </w:p>
    <w:p>
      <w:pPr>
        <w:numPr>
          <w:ilvl w:val="0"/>
          <w:numId w:val="83"/>
        </w:numPr>
        <w:snapToGrid w:val="0"/>
        <w:spacing w:line="360" w:lineRule="auto"/>
        <w:jc w:val="left"/>
        <w:rPr>
          <w:rFonts w:hint="eastAsia" w:ascii="宋体" w:hAnsi="宋体" w:cs="宋体"/>
          <w:kern w:val="0"/>
          <w:sz w:val="22"/>
          <w:szCs w:val="22"/>
        </w:rPr>
      </w:pPr>
      <w:r>
        <w:rPr>
          <w:rFonts w:hint="eastAsia" w:ascii="宋体" w:hAnsi="宋体" w:cs="宋体"/>
          <w:kern w:val="0"/>
          <w:sz w:val="22"/>
          <w:szCs w:val="22"/>
        </w:rPr>
        <w:t>询价采购支持公开和邀请两种方式，支持按照采购计划立项，发布公告或邀请，编制询价文件、组建询价小组；</w:t>
      </w:r>
    </w:p>
    <w:p>
      <w:pPr>
        <w:numPr>
          <w:ilvl w:val="0"/>
          <w:numId w:val="83"/>
        </w:numPr>
        <w:snapToGrid w:val="0"/>
        <w:spacing w:line="360" w:lineRule="auto"/>
        <w:jc w:val="left"/>
        <w:rPr>
          <w:rFonts w:hint="eastAsia" w:ascii="宋体" w:hAnsi="宋体" w:cs="宋体"/>
          <w:kern w:val="0"/>
          <w:sz w:val="22"/>
          <w:szCs w:val="22"/>
        </w:rPr>
      </w:pPr>
      <w:r>
        <w:rPr>
          <w:rFonts w:hint="eastAsia" w:ascii="宋体" w:hAnsi="宋体" w:cs="宋体"/>
          <w:kern w:val="0"/>
          <w:sz w:val="22"/>
          <w:szCs w:val="22"/>
        </w:rPr>
        <w:t>支持确定询价小组成员的功能，小组若采用随机抽取的方式确定，从平台专家库中抽取产生；</w:t>
      </w:r>
    </w:p>
    <w:p>
      <w:pPr>
        <w:numPr>
          <w:ilvl w:val="0"/>
          <w:numId w:val="83"/>
        </w:numPr>
        <w:snapToGrid w:val="0"/>
        <w:spacing w:line="360" w:lineRule="auto"/>
        <w:jc w:val="left"/>
        <w:rPr>
          <w:rFonts w:hint="eastAsia" w:ascii="宋体" w:hAnsi="宋体" w:cs="宋体"/>
          <w:kern w:val="0"/>
          <w:sz w:val="22"/>
          <w:szCs w:val="22"/>
        </w:rPr>
      </w:pPr>
      <w:r>
        <w:rPr>
          <w:rFonts w:hint="eastAsia" w:ascii="宋体" w:hAnsi="宋体" w:cs="宋体"/>
          <w:kern w:val="0"/>
          <w:sz w:val="22"/>
          <w:szCs w:val="22"/>
        </w:rPr>
        <w:t>支持邀请供应商和供应商在线报名并进行资格审查；</w:t>
      </w:r>
    </w:p>
    <w:p>
      <w:pPr>
        <w:numPr>
          <w:ilvl w:val="0"/>
          <w:numId w:val="83"/>
        </w:numPr>
        <w:snapToGrid w:val="0"/>
        <w:spacing w:line="360" w:lineRule="auto"/>
        <w:jc w:val="left"/>
        <w:rPr>
          <w:rFonts w:hint="eastAsia" w:ascii="宋体" w:hAnsi="宋体" w:cs="宋体"/>
          <w:kern w:val="0"/>
          <w:sz w:val="22"/>
          <w:szCs w:val="22"/>
        </w:rPr>
      </w:pPr>
      <w:r>
        <w:rPr>
          <w:rFonts w:hint="eastAsia" w:ascii="宋体" w:hAnsi="宋体" w:cs="宋体"/>
          <w:kern w:val="0"/>
          <w:sz w:val="22"/>
          <w:szCs w:val="22"/>
        </w:rPr>
        <w:t>支持供应商保证金缴纳（若有）；</w:t>
      </w:r>
    </w:p>
    <w:p>
      <w:pPr>
        <w:numPr>
          <w:ilvl w:val="0"/>
          <w:numId w:val="83"/>
        </w:numPr>
        <w:snapToGrid w:val="0"/>
        <w:spacing w:line="360" w:lineRule="auto"/>
        <w:jc w:val="left"/>
        <w:rPr>
          <w:rFonts w:hint="eastAsia" w:ascii="宋体" w:hAnsi="宋体" w:cs="宋体"/>
          <w:kern w:val="0"/>
          <w:sz w:val="22"/>
          <w:szCs w:val="22"/>
        </w:rPr>
      </w:pPr>
      <w:r>
        <w:rPr>
          <w:rFonts w:hint="eastAsia" w:ascii="宋体" w:hAnsi="宋体" w:cs="宋体"/>
          <w:kern w:val="0"/>
          <w:sz w:val="22"/>
          <w:szCs w:val="22"/>
        </w:rPr>
        <w:t>具备供应商历史报价记录功能；</w:t>
      </w:r>
    </w:p>
    <w:p>
      <w:pPr>
        <w:numPr>
          <w:ilvl w:val="0"/>
          <w:numId w:val="83"/>
        </w:numPr>
        <w:snapToGrid w:val="0"/>
        <w:spacing w:line="360" w:lineRule="auto"/>
        <w:jc w:val="left"/>
        <w:rPr>
          <w:rFonts w:hint="eastAsia" w:ascii="宋体" w:hAnsi="宋体" w:cs="宋体"/>
          <w:kern w:val="0"/>
          <w:sz w:val="22"/>
          <w:szCs w:val="22"/>
        </w:rPr>
      </w:pPr>
      <w:r>
        <w:rPr>
          <w:rFonts w:hint="eastAsia" w:ascii="宋体" w:hAnsi="宋体" w:cs="宋体"/>
          <w:kern w:val="0"/>
          <w:sz w:val="22"/>
          <w:szCs w:val="22"/>
        </w:rPr>
        <w:t>支持询价小组评审、定标、发布成交公告、签发成交通知书等全部业务的在线运行及管理和记录功能。</w:t>
      </w:r>
    </w:p>
    <w:p>
      <w:pPr>
        <w:numPr>
          <w:ilvl w:val="0"/>
          <w:numId w:val="83"/>
        </w:numPr>
        <w:snapToGrid w:val="0"/>
        <w:spacing w:line="360" w:lineRule="auto"/>
        <w:jc w:val="left"/>
        <w:rPr>
          <w:rFonts w:hint="eastAsia" w:ascii="宋体" w:hAnsi="宋体" w:cs="宋体"/>
          <w:kern w:val="0"/>
          <w:sz w:val="22"/>
          <w:szCs w:val="22"/>
        </w:rPr>
      </w:pPr>
      <w:r>
        <w:rPr>
          <w:rFonts w:hint="eastAsia" w:ascii="宋体" w:hAnsi="宋体" w:cs="宋体"/>
          <w:kern w:val="0"/>
          <w:sz w:val="22"/>
          <w:szCs w:val="22"/>
        </w:rPr>
        <w:t>支持评审过程线下开展，线上录入评审结果，并在线发布结果成果公告，中标通知书。</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bookmarkStart w:id="706" w:name="_Toc2662"/>
      <w:bookmarkStart w:id="707" w:name="_Toc16743"/>
      <w:bookmarkStart w:id="708" w:name="_Toc1284"/>
      <w:bookmarkStart w:id="709" w:name="_Toc1317"/>
      <w:bookmarkStart w:id="710" w:name="_Toc28692"/>
      <w:bookmarkStart w:id="711" w:name="_Toc14257"/>
      <w:r>
        <w:rPr>
          <w:rFonts w:hint="eastAsia" w:ascii="宋体" w:hAnsi="宋体" w:cs="宋体"/>
          <w:b/>
          <w:bCs/>
          <w:sz w:val="22"/>
          <w:szCs w:val="22"/>
        </w:rPr>
        <w:t>竞争性谈判</w:t>
      </w:r>
      <w:bookmarkEnd w:id="706"/>
      <w:bookmarkEnd w:id="707"/>
      <w:bookmarkEnd w:id="708"/>
      <w:bookmarkEnd w:id="709"/>
      <w:bookmarkEnd w:id="710"/>
      <w:bookmarkEnd w:id="711"/>
    </w:p>
    <w:p>
      <w:pPr>
        <w:snapToGrid w:val="0"/>
        <w:spacing w:line="360" w:lineRule="auto"/>
        <w:ind w:firstLine="440" w:firstLineChars="200"/>
        <w:jc w:val="left"/>
        <w:rPr>
          <w:rFonts w:hint="eastAsia" w:ascii="宋体" w:hAnsi="宋体" w:cs="宋体"/>
          <w:kern w:val="0"/>
          <w:sz w:val="22"/>
          <w:szCs w:val="22"/>
        </w:rPr>
      </w:pPr>
      <w:r>
        <w:rPr>
          <w:rFonts w:hint="eastAsia" w:ascii="宋体" w:hAnsi="宋体" w:cs="宋体"/>
          <w:kern w:val="0"/>
          <w:sz w:val="22"/>
          <w:szCs w:val="22"/>
        </w:rPr>
        <w:t>需满足以下要求：</w:t>
      </w:r>
    </w:p>
    <w:p>
      <w:pPr>
        <w:numPr>
          <w:ilvl w:val="0"/>
          <w:numId w:val="84"/>
        </w:numPr>
        <w:snapToGrid w:val="0"/>
        <w:spacing w:line="360" w:lineRule="auto"/>
        <w:jc w:val="left"/>
        <w:rPr>
          <w:rFonts w:hint="eastAsia" w:ascii="宋体" w:hAnsi="宋体" w:cs="宋体"/>
          <w:kern w:val="0"/>
          <w:sz w:val="22"/>
          <w:szCs w:val="22"/>
        </w:rPr>
      </w:pPr>
      <w:r>
        <w:rPr>
          <w:rFonts w:hint="eastAsia" w:ascii="宋体" w:hAnsi="宋体" w:cs="宋体"/>
          <w:kern w:val="0"/>
          <w:sz w:val="22"/>
          <w:szCs w:val="22"/>
        </w:rPr>
        <w:t>支持谈判过程记录和谈判小组成员在线确认谈判结果功能；</w:t>
      </w:r>
    </w:p>
    <w:p>
      <w:pPr>
        <w:numPr>
          <w:ilvl w:val="0"/>
          <w:numId w:val="84"/>
        </w:numPr>
        <w:snapToGrid w:val="0"/>
        <w:spacing w:line="360" w:lineRule="auto"/>
        <w:jc w:val="left"/>
        <w:rPr>
          <w:rFonts w:hint="eastAsia" w:ascii="宋体" w:hAnsi="宋体" w:cs="宋体"/>
          <w:kern w:val="0"/>
          <w:sz w:val="22"/>
          <w:szCs w:val="22"/>
        </w:rPr>
      </w:pPr>
      <w:r>
        <w:rPr>
          <w:rFonts w:hint="eastAsia" w:ascii="宋体" w:hAnsi="宋体" w:cs="宋体"/>
          <w:kern w:val="0"/>
          <w:sz w:val="22"/>
          <w:szCs w:val="22"/>
        </w:rPr>
        <w:t>支持谈判小组成员在线确定合格供应商功能；</w:t>
      </w:r>
    </w:p>
    <w:p>
      <w:pPr>
        <w:numPr>
          <w:ilvl w:val="0"/>
          <w:numId w:val="84"/>
        </w:numPr>
        <w:snapToGrid w:val="0"/>
        <w:spacing w:line="360" w:lineRule="auto"/>
        <w:jc w:val="left"/>
        <w:rPr>
          <w:rFonts w:hint="eastAsia" w:ascii="宋体" w:hAnsi="宋体" w:cs="宋体"/>
          <w:kern w:val="0"/>
          <w:sz w:val="22"/>
          <w:szCs w:val="22"/>
        </w:rPr>
      </w:pPr>
      <w:r>
        <w:rPr>
          <w:rFonts w:hint="eastAsia" w:ascii="宋体" w:hAnsi="宋体" w:cs="宋体"/>
          <w:kern w:val="0"/>
          <w:sz w:val="22"/>
          <w:szCs w:val="22"/>
        </w:rPr>
        <w:t>支持按照采购计划立项，发布公告或邀请，编制谈判文件、组建谈判小组；</w:t>
      </w:r>
    </w:p>
    <w:p>
      <w:pPr>
        <w:numPr>
          <w:ilvl w:val="0"/>
          <w:numId w:val="84"/>
        </w:numPr>
        <w:snapToGrid w:val="0"/>
        <w:spacing w:line="360" w:lineRule="auto"/>
        <w:jc w:val="left"/>
        <w:rPr>
          <w:rFonts w:hint="eastAsia" w:ascii="宋体" w:hAnsi="宋体" w:cs="宋体"/>
          <w:kern w:val="0"/>
          <w:sz w:val="22"/>
          <w:szCs w:val="22"/>
        </w:rPr>
      </w:pPr>
      <w:r>
        <w:rPr>
          <w:rFonts w:hint="eastAsia" w:ascii="宋体" w:hAnsi="宋体" w:cs="宋体"/>
          <w:kern w:val="0"/>
          <w:sz w:val="22"/>
          <w:szCs w:val="22"/>
        </w:rPr>
        <w:t>支持确定谈判小组成员的功能，谈判小组若采用随机抽取的方式确定，从平台专家库中抽取产生；</w:t>
      </w:r>
    </w:p>
    <w:p>
      <w:pPr>
        <w:numPr>
          <w:ilvl w:val="0"/>
          <w:numId w:val="84"/>
        </w:numPr>
        <w:snapToGrid w:val="0"/>
        <w:spacing w:line="360" w:lineRule="auto"/>
        <w:jc w:val="left"/>
        <w:rPr>
          <w:rFonts w:hint="eastAsia" w:ascii="宋体" w:hAnsi="宋体" w:cs="宋体"/>
          <w:kern w:val="0"/>
          <w:sz w:val="22"/>
          <w:szCs w:val="22"/>
        </w:rPr>
      </w:pPr>
      <w:r>
        <w:rPr>
          <w:rFonts w:hint="eastAsia" w:ascii="宋体" w:hAnsi="宋体" w:cs="宋体"/>
          <w:kern w:val="0"/>
          <w:sz w:val="22"/>
          <w:szCs w:val="22"/>
        </w:rPr>
        <w:t>支持邀请供应商和供应商在线报名并进行资格审查；</w:t>
      </w:r>
    </w:p>
    <w:p>
      <w:pPr>
        <w:numPr>
          <w:ilvl w:val="0"/>
          <w:numId w:val="84"/>
        </w:numPr>
        <w:snapToGrid w:val="0"/>
        <w:spacing w:line="360" w:lineRule="auto"/>
        <w:jc w:val="left"/>
        <w:rPr>
          <w:rFonts w:hint="eastAsia" w:ascii="宋体" w:hAnsi="宋体" w:cs="宋体"/>
          <w:kern w:val="0"/>
          <w:sz w:val="22"/>
          <w:szCs w:val="22"/>
        </w:rPr>
      </w:pPr>
      <w:r>
        <w:rPr>
          <w:rFonts w:hint="eastAsia" w:ascii="宋体" w:hAnsi="宋体" w:cs="宋体"/>
          <w:kern w:val="0"/>
          <w:sz w:val="22"/>
          <w:szCs w:val="22"/>
        </w:rPr>
        <w:t>支持供应商保证金缴纳（若有）；</w:t>
      </w:r>
    </w:p>
    <w:p>
      <w:pPr>
        <w:numPr>
          <w:ilvl w:val="0"/>
          <w:numId w:val="84"/>
        </w:numPr>
        <w:snapToGrid w:val="0"/>
        <w:spacing w:line="360" w:lineRule="auto"/>
        <w:jc w:val="left"/>
        <w:rPr>
          <w:rFonts w:hint="eastAsia" w:ascii="宋体" w:hAnsi="宋体" w:cs="宋体"/>
          <w:kern w:val="0"/>
          <w:sz w:val="22"/>
          <w:szCs w:val="22"/>
        </w:rPr>
      </w:pPr>
      <w:r>
        <w:rPr>
          <w:rFonts w:hint="eastAsia" w:ascii="宋体" w:hAnsi="宋体" w:cs="宋体"/>
          <w:kern w:val="0"/>
          <w:sz w:val="22"/>
          <w:szCs w:val="22"/>
        </w:rPr>
        <w:t>具备供应商历史报价记录功能；</w:t>
      </w:r>
    </w:p>
    <w:p>
      <w:pPr>
        <w:numPr>
          <w:ilvl w:val="0"/>
          <w:numId w:val="84"/>
        </w:numPr>
        <w:snapToGrid w:val="0"/>
        <w:spacing w:line="360" w:lineRule="auto"/>
        <w:jc w:val="left"/>
        <w:rPr>
          <w:rFonts w:hint="eastAsia" w:ascii="宋体" w:hAnsi="宋体" w:cs="宋体"/>
          <w:kern w:val="0"/>
          <w:sz w:val="22"/>
          <w:szCs w:val="22"/>
        </w:rPr>
      </w:pPr>
      <w:r>
        <w:rPr>
          <w:rFonts w:hint="eastAsia" w:ascii="宋体" w:hAnsi="宋体" w:cs="宋体"/>
          <w:kern w:val="0"/>
          <w:sz w:val="22"/>
          <w:szCs w:val="22"/>
        </w:rPr>
        <w:t>支持谈判小组与供应商进行谈判以及要求供应商多轮报价，供应商多轮报价提交支持扫描文件上传功能，并以最终确定中标价格的管理和记录功能。</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bookmarkStart w:id="712" w:name="_Toc22305"/>
      <w:bookmarkStart w:id="713" w:name="_Toc21672"/>
      <w:bookmarkStart w:id="714" w:name="_Toc32446"/>
      <w:bookmarkStart w:id="715" w:name="_Toc5289"/>
      <w:bookmarkStart w:id="716" w:name="_Toc24337"/>
      <w:bookmarkStart w:id="717" w:name="_Toc23527"/>
      <w:r>
        <w:rPr>
          <w:rFonts w:hint="eastAsia" w:ascii="宋体" w:hAnsi="宋体" w:cs="宋体"/>
          <w:b/>
          <w:bCs/>
          <w:sz w:val="22"/>
          <w:szCs w:val="22"/>
        </w:rPr>
        <w:t>单一来源</w:t>
      </w:r>
      <w:bookmarkEnd w:id="712"/>
      <w:bookmarkEnd w:id="713"/>
      <w:bookmarkEnd w:id="714"/>
      <w:bookmarkEnd w:id="715"/>
      <w:bookmarkEnd w:id="716"/>
      <w:bookmarkEnd w:id="717"/>
    </w:p>
    <w:p>
      <w:pPr>
        <w:snapToGrid w:val="0"/>
        <w:spacing w:line="360" w:lineRule="auto"/>
        <w:ind w:firstLine="440" w:firstLineChars="200"/>
        <w:jc w:val="left"/>
        <w:rPr>
          <w:rFonts w:hint="eastAsia" w:ascii="宋体" w:hAnsi="宋体" w:cs="宋体"/>
          <w:kern w:val="0"/>
          <w:sz w:val="22"/>
          <w:szCs w:val="22"/>
        </w:rPr>
      </w:pPr>
      <w:r>
        <w:rPr>
          <w:rFonts w:hint="eastAsia" w:ascii="宋体" w:hAnsi="宋体" w:cs="宋体"/>
          <w:kern w:val="0"/>
          <w:sz w:val="22"/>
          <w:szCs w:val="22"/>
        </w:rPr>
        <w:t>需满足以下要求：</w:t>
      </w:r>
    </w:p>
    <w:p>
      <w:pPr>
        <w:snapToGrid w:val="0"/>
        <w:spacing w:line="360" w:lineRule="auto"/>
        <w:ind w:firstLine="440" w:firstLineChars="200"/>
        <w:jc w:val="left"/>
        <w:rPr>
          <w:rFonts w:hint="eastAsia" w:ascii="宋体" w:hAnsi="宋体" w:cs="宋体"/>
          <w:kern w:val="0"/>
          <w:sz w:val="22"/>
          <w:szCs w:val="22"/>
        </w:rPr>
      </w:pPr>
      <w:r>
        <w:rPr>
          <w:rFonts w:hint="eastAsia" w:ascii="宋体" w:hAnsi="宋体" w:cs="宋体"/>
          <w:kern w:val="0"/>
          <w:sz w:val="22"/>
          <w:szCs w:val="22"/>
        </w:rPr>
        <w:t>支持项目发布公告、保证金缴纳（若有）、供应商报价、开启、定标、发布成交公告、签发成交通知书等全部业务的在线运行及管理和记录功能。</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bookmarkStart w:id="718" w:name="_Toc20494"/>
      <w:bookmarkStart w:id="719" w:name="_Toc2423"/>
      <w:bookmarkStart w:id="720" w:name="_Toc9588"/>
      <w:bookmarkStart w:id="721" w:name="_Toc24206"/>
      <w:bookmarkStart w:id="722" w:name="_Toc8271"/>
      <w:bookmarkStart w:id="723" w:name="_Toc30931"/>
      <w:r>
        <w:rPr>
          <w:rFonts w:hint="eastAsia" w:ascii="宋体" w:hAnsi="宋体" w:cs="宋体"/>
          <w:b/>
          <w:bCs/>
          <w:sz w:val="22"/>
          <w:szCs w:val="22"/>
        </w:rPr>
        <w:t>竞价采购</w:t>
      </w:r>
      <w:bookmarkEnd w:id="718"/>
      <w:bookmarkEnd w:id="719"/>
      <w:bookmarkEnd w:id="720"/>
      <w:bookmarkEnd w:id="721"/>
      <w:bookmarkEnd w:id="722"/>
      <w:bookmarkEnd w:id="723"/>
    </w:p>
    <w:p>
      <w:pPr>
        <w:snapToGrid w:val="0"/>
        <w:spacing w:line="360" w:lineRule="auto"/>
        <w:ind w:firstLine="440" w:firstLineChars="200"/>
        <w:jc w:val="left"/>
        <w:rPr>
          <w:rFonts w:hint="eastAsia" w:ascii="宋体" w:hAnsi="宋体" w:cs="宋体"/>
          <w:kern w:val="0"/>
          <w:sz w:val="22"/>
          <w:szCs w:val="22"/>
        </w:rPr>
      </w:pPr>
      <w:r>
        <w:rPr>
          <w:rFonts w:hint="eastAsia" w:ascii="宋体" w:hAnsi="宋体" w:cs="宋体"/>
          <w:kern w:val="0"/>
          <w:sz w:val="22"/>
          <w:szCs w:val="22"/>
        </w:rPr>
        <w:t>需满足以下要求：</w:t>
      </w:r>
    </w:p>
    <w:p>
      <w:pPr>
        <w:snapToGrid w:val="0"/>
        <w:spacing w:line="360" w:lineRule="auto"/>
        <w:ind w:firstLine="440" w:firstLineChars="200"/>
        <w:jc w:val="left"/>
        <w:rPr>
          <w:rFonts w:hint="eastAsia" w:ascii="宋体" w:hAnsi="宋体" w:cs="宋体"/>
          <w:kern w:val="0"/>
          <w:sz w:val="22"/>
          <w:szCs w:val="22"/>
        </w:rPr>
      </w:pPr>
      <w:r>
        <w:rPr>
          <w:rFonts w:hint="eastAsia" w:ascii="宋体" w:hAnsi="宋体" w:cs="宋体"/>
          <w:kern w:val="0"/>
          <w:sz w:val="22"/>
          <w:szCs w:val="22"/>
        </w:rPr>
        <w:t>支持项目建档、竞价物资选择、竞价规则设置、竞价大厅显示数据配置、供应商竞价、定标、发布成交公告、签发成交通知书等全部业务的在线运行及管理和记录功能。</w:t>
      </w:r>
    </w:p>
    <w:p>
      <w:pPr>
        <w:keepNext/>
        <w:keepLines/>
        <w:numPr>
          <w:ilvl w:val="2"/>
          <w:numId w:val="57"/>
        </w:numPr>
        <w:snapToGrid w:val="0"/>
        <w:spacing w:line="360" w:lineRule="auto"/>
        <w:jc w:val="left"/>
        <w:outlineLvl w:val="2"/>
        <w:rPr>
          <w:rFonts w:hint="eastAsia" w:ascii="宋体" w:hAnsi="宋体" w:cs="宋体"/>
          <w:b/>
          <w:bCs/>
          <w:sz w:val="22"/>
          <w:szCs w:val="22"/>
        </w:rPr>
      </w:pPr>
      <w:bookmarkStart w:id="724" w:name="_Toc17940"/>
      <w:bookmarkStart w:id="725" w:name="_Toc30551"/>
      <w:bookmarkStart w:id="726" w:name="_Toc24902"/>
      <w:r>
        <w:rPr>
          <w:rFonts w:hint="eastAsia" w:ascii="宋体" w:hAnsi="宋体" w:cs="宋体"/>
          <w:b/>
          <w:bCs/>
          <w:sz w:val="22"/>
          <w:szCs w:val="22"/>
        </w:rPr>
        <w:t>协议采购管理</w:t>
      </w:r>
      <w:bookmarkEnd w:id="724"/>
      <w:bookmarkEnd w:id="725"/>
      <w:bookmarkEnd w:id="726"/>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协议商品管理</w:t>
      </w:r>
    </w:p>
    <w:p>
      <w:pPr>
        <w:snapToGrid w:val="0"/>
        <w:spacing w:line="360" w:lineRule="auto"/>
        <w:ind w:firstLine="440" w:firstLineChars="200"/>
        <w:contextualSpacing/>
        <w:jc w:val="left"/>
        <w:rPr>
          <w:rFonts w:hint="eastAsia" w:ascii="宋体" w:hAnsi="宋体" w:cs="宋体"/>
          <w:kern w:val="0"/>
          <w:sz w:val="22"/>
          <w:szCs w:val="22"/>
        </w:rPr>
      </w:pPr>
      <w:r>
        <w:rPr>
          <w:rFonts w:hint="eastAsia" w:ascii="宋体" w:hAnsi="宋体" w:cs="宋体"/>
          <w:kern w:val="0"/>
          <w:sz w:val="22"/>
          <w:szCs w:val="22"/>
        </w:rPr>
        <w:t>协议供货合同签订之后，在日常使用过程中，供应商的商品会发生更新、停产等情况，使用协议商品管理维护协议供货合同商品。</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协议供应商管理</w:t>
      </w:r>
    </w:p>
    <w:p>
      <w:pPr>
        <w:snapToGrid w:val="0"/>
        <w:spacing w:line="360" w:lineRule="auto"/>
        <w:ind w:firstLine="440" w:firstLineChars="200"/>
        <w:contextualSpacing/>
        <w:jc w:val="left"/>
        <w:rPr>
          <w:rFonts w:hint="eastAsia" w:ascii="宋体" w:hAnsi="宋体" w:cs="宋体"/>
          <w:kern w:val="0"/>
          <w:sz w:val="22"/>
          <w:szCs w:val="22"/>
        </w:rPr>
      </w:pPr>
      <w:r>
        <w:rPr>
          <w:rFonts w:hint="eastAsia" w:ascii="宋体" w:hAnsi="宋体" w:cs="宋体"/>
          <w:kern w:val="0"/>
          <w:sz w:val="22"/>
          <w:szCs w:val="22"/>
        </w:rPr>
        <w:t>在资格入围类项目招标完成后，在此功能查看某个采购目录入围的供应商，同时可进行申请停用的操作。</w:t>
      </w:r>
    </w:p>
    <w:p>
      <w:pPr>
        <w:keepNext/>
        <w:keepLines/>
        <w:numPr>
          <w:ilvl w:val="2"/>
          <w:numId w:val="57"/>
        </w:numPr>
        <w:snapToGrid w:val="0"/>
        <w:spacing w:line="360" w:lineRule="auto"/>
        <w:jc w:val="left"/>
        <w:outlineLvl w:val="2"/>
        <w:rPr>
          <w:rFonts w:hint="eastAsia" w:ascii="宋体" w:hAnsi="宋体" w:cs="宋体"/>
          <w:b/>
          <w:bCs/>
          <w:sz w:val="22"/>
          <w:szCs w:val="22"/>
        </w:rPr>
      </w:pPr>
      <w:bookmarkStart w:id="727" w:name="_Toc20832"/>
      <w:bookmarkStart w:id="728" w:name="_Toc26461"/>
      <w:bookmarkStart w:id="729" w:name="_Toc32542"/>
      <w:r>
        <w:rPr>
          <w:rFonts w:hint="eastAsia" w:ascii="宋体" w:hAnsi="宋体" w:cs="宋体"/>
          <w:b/>
          <w:bCs/>
          <w:sz w:val="22"/>
          <w:szCs w:val="22"/>
        </w:rPr>
        <w:t>商城系统</w:t>
      </w:r>
      <w:bookmarkEnd w:id="727"/>
      <w:bookmarkEnd w:id="728"/>
      <w:bookmarkEnd w:id="729"/>
    </w:p>
    <w:p>
      <w:pPr>
        <w:snapToGrid w:val="0"/>
        <w:spacing w:line="360" w:lineRule="auto"/>
        <w:ind w:firstLine="440" w:firstLineChars="200"/>
        <w:rPr>
          <w:rFonts w:hint="eastAsia" w:ascii="宋体" w:hAnsi="宋体" w:cs="宋体"/>
          <w:bCs/>
          <w:sz w:val="22"/>
          <w:szCs w:val="22"/>
        </w:rPr>
      </w:pPr>
      <w:r>
        <w:rPr>
          <w:rFonts w:hint="eastAsia" w:ascii="宋体" w:hAnsi="宋体" w:cs="宋体"/>
          <w:bCs/>
          <w:sz w:val="22"/>
          <w:szCs w:val="22"/>
        </w:rPr>
        <w:t>引入国内主流电商参与，实行厂商、代理商和电商同一平台竞争，采购人直接从网上电子商城选购商品，通过大数据和云计算技术，采购标准化的接口和价格监测系统，实现与电商价格的同步实施更新，建立与市场同步的采购价格体系。</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商品展示</w:t>
      </w:r>
      <w:r>
        <w:rPr>
          <w:rFonts w:hint="eastAsia" w:ascii="宋体" w:hAnsi="宋体" w:cs="宋体"/>
          <w:b/>
          <w:bCs/>
          <w:sz w:val="22"/>
          <w:szCs w:val="22"/>
        </w:rPr>
        <w:tab/>
      </w:r>
    </w:p>
    <w:p>
      <w:pPr>
        <w:snapToGrid w:val="0"/>
        <w:spacing w:line="360" w:lineRule="auto"/>
        <w:rPr>
          <w:rFonts w:hint="eastAsia" w:ascii="宋体" w:hAnsi="宋体" w:cs="宋体"/>
          <w:sz w:val="22"/>
          <w:szCs w:val="22"/>
        </w:rPr>
      </w:pPr>
      <w:r>
        <w:rPr>
          <w:rFonts w:hint="eastAsia" w:ascii="宋体" w:hAnsi="宋体" w:cs="宋体"/>
          <w:sz w:val="22"/>
          <w:szCs w:val="22"/>
        </w:rPr>
        <w:t xml:space="preserve">   网上商城内展示根据是否登录展示不同信息，可以浏览热销商品、框架协议，对商城中的商品进行查看、对比、搜索等。</w:t>
      </w:r>
    </w:p>
    <w:p>
      <w:pPr>
        <w:snapToGrid w:val="0"/>
        <w:spacing w:line="360" w:lineRule="auto"/>
        <w:rPr>
          <w:rFonts w:hint="eastAsia" w:ascii="宋体" w:hAnsi="宋体" w:cs="宋体"/>
          <w:sz w:val="22"/>
          <w:szCs w:val="22"/>
        </w:rPr>
      </w:pPr>
      <w:r>
        <w:rPr>
          <w:rFonts w:hint="eastAsia" w:ascii="宋体" w:hAnsi="宋体" w:cs="宋体"/>
          <w:sz w:val="22"/>
          <w:szCs w:val="22"/>
        </w:rPr>
        <w:tab/>
      </w:r>
      <w:r>
        <w:rPr>
          <w:rFonts w:hint="eastAsia" w:ascii="宋体" w:hAnsi="宋体" w:cs="宋体"/>
          <w:sz w:val="22"/>
          <w:szCs w:val="22"/>
        </w:rPr>
        <w:t xml:space="preserve"> 对于需要进行采购的需求部门，根据项目采购的需求，在进行商品查看时直接定位到所需货物类别上，最大程度上方便查找商品。</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商品信息查询</w:t>
      </w:r>
    </w:p>
    <w:p>
      <w:pPr>
        <w:snapToGrid w:val="0"/>
        <w:spacing w:line="360" w:lineRule="auto"/>
        <w:rPr>
          <w:rFonts w:hint="eastAsia" w:ascii="宋体" w:hAnsi="宋体" w:cs="宋体"/>
          <w:sz w:val="22"/>
          <w:szCs w:val="22"/>
        </w:rPr>
      </w:pPr>
      <w:r>
        <w:rPr>
          <w:rFonts w:hint="eastAsia" w:ascii="宋体" w:hAnsi="宋体" w:cs="宋体"/>
          <w:sz w:val="22"/>
          <w:szCs w:val="22"/>
        </w:rPr>
        <w:tab/>
      </w:r>
      <w:r>
        <w:rPr>
          <w:rFonts w:hint="eastAsia" w:ascii="宋体" w:hAnsi="宋体" w:cs="宋体"/>
          <w:sz w:val="22"/>
          <w:szCs w:val="22"/>
        </w:rPr>
        <w:t xml:space="preserve">   为进一步方便采购人查询，在商品信息查询时提供：按商品品牌、商品型号、价格区域等进行查询。</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商品对比</w:t>
      </w:r>
    </w:p>
    <w:p>
      <w:pPr>
        <w:snapToGrid w:val="0"/>
        <w:spacing w:line="360" w:lineRule="auto"/>
        <w:rPr>
          <w:rFonts w:hint="eastAsia" w:ascii="宋体" w:hAnsi="宋体" w:cs="宋体"/>
          <w:sz w:val="22"/>
          <w:szCs w:val="22"/>
        </w:rPr>
      </w:pPr>
      <w:r>
        <w:rPr>
          <w:rFonts w:hint="eastAsia" w:ascii="宋体" w:hAnsi="宋体" w:cs="宋体"/>
          <w:sz w:val="22"/>
          <w:szCs w:val="22"/>
        </w:rPr>
        <w:tab/>
      </w:r>
      <w:r>
        <w:rPr>
          <w:rFonts w:hint="eastAsia" w:ascii="宋体" w:hAnsi="宋体" w:cs="宋体"/>
          <w:sz w:val="22"/>
          <w:szCs w:val="22"/>
        </w:rPr>
        <w:t xml:space="preserve">   采购人在查看商品时，可对同一类商品进行对比，最多一次可同时选择四件商品进行对比。</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相似商品</w:t>
      </w:r>
    </w:p>
    <w:p>
      <w:pPr>
        <w:snapToGrid w:val="0"/>
        <w:spacing w:line="360" w:lineRule="auto"/>
        <w:rPr>
          <w:rFonts w:hint="eastAsia" w:ascii="宋体" w:hAnsi="宋体" w:cs="宋体"/>
          <w:sz w:val="22"/>
          <w:szCs w:val="22"/>
        </w:rPr>
      </w:pPr>
      <w:r>
        <w:rPr>
          <w:rFonts w:hint="eastAsia" w:ascii="宋体" w:hAnsi="宋体" w:cs="宋体"/>
          <w:sz w:val="22"/>
          <w:szCs w:val="22"/>
        </w:rPr>
        <w:t xml:space="preserve">    采购人在查询商品信息时，可以查看提供该商品的协议供应商及电商的相似商品，系统通过相似度算法自动匹配商品。</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商品采购及下单</w:t>
      </w:r>
    </w:p>
    <w:p>
      <w:pPr>
        <w:snapToGrid w:val="0"/>
        <w:spacing w:line="360" w:lineRule="auto"/>
        <w:ind w:firstLine="220" w:firstLineChars="100"/>
        <w:rPr>
          <w:rFonts w:hint="eastAsia" w:ascii="宋体" w:hAnsi="宋体" w:cs="宋体"/>
          <w:sz w:val="22"/>
          <w:szCs w:val="22"/>
        </w:rPr>
      </w:pPr>
      <w:r>
        <w:rPr>
          <w:rFonts w:hint="eastAsia" w:ascii="宋体" w:hAnsi="宋体" w:cs="宋体"/>
          <w:sz w:val="22"/>
          <w:szCs w:val="22"/>
        </w:rPr>
        <w:t>1）采购人登录系统后按照申报计划时所报需求进入商城；</w:t>
      </w:r>
    </w:p>
    <w:p>
      <w:pPr>
        <w:snapToGrid w:val="0"/>
        <w:spacing w:line="360" w:lineRule="auto"/>
        <w:rPr>
          <w:rFonts w:hint="eastAsia" w:ascii="宋体" w:hAnsi="宋体" w:cs="宋体"/>
          <w:sz w:val="22"/>
          <w:szCs w:val="22"/>
        </w:rPr>
      </w:pPr>
      <w:r>
        <w:rPr>
          <w:rFonts w:hint="eastAsia" w:ascii="宋体" w:hAnsi="宋体" w:cs="宋体"/>
          <w:sz w:val="22"/>
          <w:szCs w:val="22"/>
        </w:rPr>
        <w:t xml:space="preserve">  2）在商品中确定要购买的商品后，填写数量并选择要成交的供应后；</w:t>
      </w:r>
    </w:p>
    <w:p>
      <w:pPr>
        <w:snapToGrid w:val="0"/>
        <w:spacing w:line="360" w:lineRule="auto"/>
        <w:rPr>
          <w:rFonts w:hint="eastAsia" w:ascii="宋体" w:hAnsi="宋体" w:cs="宋体"/>
          <w:sz w:val="22"/>
          <w:szCs w:val="22"/>
        </w:rPr>
      </w:pPr>
      <w:r>
        <w:rPr>
          <w:rFonts w:hint="eastAsia" w:ascii="宋体" w:hAnsi="宋体" w:cs="宋体"/>
          <w:sz w:val="22"/>
          <w:szCs w:val="22"/>
        </w:rPr>
        <w:t xml:space="preserve">  3）直接提交至平台确认；</w:t>
      </w:r>
    </w:p>
    <w:p>
      <w:pPr>
        <w:snapToGrid w:val="0"/>
        <w:spacing w:line="360" w:lineRule="auto"/>
        <w:rPr>
          <w:rFonts w:hint="eastAsia" w:ascii="宋体" w:hAnsi="宋体" w:cs="宋体"/>
          <w:sz w:val="22"/>
          <w:szCs w:val="22"/>
        </w:rPr>
      </w:pPr>
      <w:r>
        <w:rPr>
          <w:rFonts w:hint="eastAsia" w:ascii="宋体" w:hAnsi="宋体" w:cs="宋体"/>
          <w:sz w:val="22"/>
          <w:szCs w:val="22"/>
        </w:rPr>
        <w:t xml:space="preserve">  4）提供购物车功能，采购人可以将商品先放置购物车,根据实际需要增减数量或是调换商品，及选择成交供应商后下单。页面展示如下：</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供应商确认订单</w:t>
      </w:r>
    </w:p>
    <w:p>
      <w:pPr>
        <w:snapToGrid w:val="0"/>
        <w:spacing w:line="360" w:lineRule="auto"/>
        <w:rPr>
          <w:rFonts w:hint="eastAsia" w:ascii="宋体" w:hAnsi="宋体" w:cs="宋体"/>
          <w:sz w:val="22"/>
          <w:szCs w:val="22"/>
        </w:rPr>
      </w:pPr>
      <w:r>
        <w:rPr>
          <w:rFonts w:hint="eastAsia" w:ascii="宋体" w:hAnsi="宋体" w:cs="宋体"/>
          <w:sz w:val="22"/>
          <w:szCs w:val="22"/>
        </w:rPr>
        <w:tab/>
      </w:r>
      <w:r>
        <w:rPr>
          <w:rFonts w:hint="eastAsia" w:ascii="宋体" w:hAnsi="宋体" w:cs="宋体"/>
          <w:sz w:val="22"/>
          <w:szCs w:val="22"/>
        </w:rPr>
        <w:t>供应商在收到采购人的订单信息后，可以拒绝或接受订单。拒绝订单后，采购人可重新选择供应商下单。</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订单备案</w:t>
      </w:r>
    </w:p>
    <w:p>
      <w:pPr>
        <w:snapToGrid w:val="0"/>
        <w:spacing w:line="360" w:lineRule="auto"/>
        <w:rPr>
          <w:rFonts w:hint="eastAsia" w:ascii="宋体" w:hAnsi="宋体" w:cs="宋体"/>
          <w:sz w:val="22"/>
          <w:szCs w:val="22"/>
        </w:rPr>
      </w:pPr>
      <w:r>
        <w:rPr>
          <w:rFonts w:hint="eastAsia" w:ascii="宋体" w:hAnsi="宋体" w:cs="宋体"/>
          <w:sz w:val="22"/>
          <w:szCs w:val="22"/>
        </w:rPr>
        <w:t xml:space="preserve">    供应商确认过订单后，系统会辅助生成电子合同，采购人或供应商可以随时查询，根据需要双方可自动打印签订书面合同。</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采购人验收</w:t>
      </w:r>
    </w:p>
    <w:p>
      <w:pPr>
        <w:snapToGrid w:val="0"/>
        <w:spacing w:line="360" w:lineRule="auto"/>
        <w:rPr>
          <w:rFonts w:hint="eastAsia" w:ascii="宋体" w:hAnsi="宋体" w:cs="宋体"/>
          <w:sz w:val="22"/>
          <w:szCs w:val="22"/>
        </w:rPr>
      </w:pPr>
      <w:r>
        <w:rPr>
          <w:rFonts w:hint="eastAsia" w:ascii="宋体" w:hAnsi="宋体" w:cs="宋体"/>
          <w:sz w:val="22"/>
          <w:szCs w:val="22"/>
        </w:rPr>
        <w:tab/>
      </w:r>
      <w:r>
        <w:rPr>
          <w:rFonts w:hint="eastAsia" w:ascii="宋体" w:hAnsi="宋体" w:cs="宋体"/>
          <w:sz w:val="22"/>
          <w:szCs w:val="22"/>
        </w:rPr>
        <w:t>采购人在收到供应商的货物后，按照订单提出的需求对货物进行验收（如未验收会直接影响到付款）。</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订单支付管理</w:t>
      </w:r>
    </w:p>
    <w:p>
      <w:pPr>
        <w:pStyle w:val="91"/>
        <w:snapToGrid w:val="0"/>
        <w:spacing w:before="0" w:beforeAutospacing="0" w:after="0" w:line="360" w:lineRule="auto"/>
        <w:ind w:firstLine="420"/>
        <w:rPr>
          <w:rFonts w:hint="eastAsia" w:ascii="宋体" w:hAnsi="宋体" w:cs="宋体"/>
          <w:sz w:val="22"/>
          <w:szCs w:val="22"/>
        </w:rPr>
      </w:pPr>
      <w:r>
        <w:rPr>
          <w:rFonts w:hint="eastAsia" w:ascii="宋体" w:hAnsi="宋体" w:cs="宋体"/>
          <w:sz w:val="22"/>
          <w:szCs w:val="22"/>
        </w:rPr>
        <w:t>订单验收后，可以批量发起付款流程，系统根据订单发票类型自动分组，生成对账单，发给供货商核对，核对无误经审批后，推送至财务系统支付。</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评价供应商</w:t>
      </w:r>
    </w:p>
    <w:p>
      <w:pPr>
        <w:snapToGrid w:val="0"/>
        <w:spacing w:line="360" w:lineRule="auto"/>
        <w:rPr>
          <w:rFonts w:hint="eastAsia" w:ascii="宋体" w:hAnsi="宋体" w:cs="宋体"/>
          <w:sz w:val="22"/>
          <w:szCs w:val="22"/>
        </w:rPr>
      </w:pPr>
      <w:r>
        <w:rPr>
          <w:rFonts w:hint="eastAsia" w:ascii="宋体" w:hAnsi="宋体" w:cs="宋体"/>
          <w:sz w:val="22"/>
          <w:szCs w:val="22"/>
        </w:rPr>
        <w:t xml:space="preserve">    采购人在收到供应商的货物后，对供应商的送货速度，产品质量及售后进行评价，评价后此次采购活动结束。</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订单查询</w:t>
      </w:r>
    </w:p>
    <w:p>
      <w:pPr>
        <w:snapToGrid w:val="0"/>
        <w:spacing w:line="360" w:lineRule="auto"/>
        <w:rPr>
          <w:rFonts w:hint="eastAsia" w:ascii="宋体" w:hAnsi="宋体" w:cs="宋体"/>
          <w:sz w:val="22"/>
          <w:szCs w:val="22"/>
        </w:rPr>
      </w:pPr>
      <w:r>
        <w:rPr>
          <w:rFonts w:hint="eastAsia" w:ascii="宋体" w:hAnsi="宋体" w:cs="宋体"/>
          <w:sz w:val="22"/>
          <w:szCs w:val="22"/>
        </w:rPr>
        <w:t xml:space="preserve">    采购人随时可以查看自己所有的订单的物流信息、采购环节信息等。</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售后服务</w:t>
      </w:r>
    </w:p>
    <w:p>
      <w:pPr>
        <w:snapToGrid w:val="0"/>
        <w:spacing w:line="360" w:lineRule="auto"/>
        <w:ind w:firstLine="440" w:firstLineChars="200"/>
        <w:rPr>
          <w:rFonts w:hint="eastAsia" w:ascii="宋体" w:hAnsi="宋体" w:cs="宋体"/>
          <w:sz w:val="22"/>
          <w:szCs w:val="22"/>
        </w:rPr>
      </w:pPr>
      <w:r>
        <w:rPr>
          <w:rFonts w:hint="eastAsia" w:ascii="宋体" w:hAnsi="宋体" w:cs="宋体"/>
          <w:sz w:val="22"/>
          <w:szCs w:val="22"/>
        </w:rPr>
        <w:t>采购人收到货物之后，可对货物进行退/换货申请。</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商品入库</w:t>
      </w:r>
    </w:p>
    <w:p>
      <w:pPr>
        <w:widowControl/>
        <w:snapToGrid w:val="0"/>
        <w:spacing w:line="360" w:lineRule="auto"/>
        <w:ind w:right="210" w:firstLine="440" w:firstLineChars="200"/>
        <w:jc w:val="left"/>
        <w:rPr>
          <w:rFonts w:hint="eastAsia" w:ascii="宋体" w:hAnsi="宋体" w:cs="宋体"/>
          <w:sz w:val="22"/>
          <w:szCs w:val="22"/>
        </w:rPr>
      </w:pPr>
      <w:r>
        <w:rPr>
          <w:rFonts w:hint="eastAsia" w:ascii="宋体" w:hAnsi="宋体" w:cs="宋体"/>
          <w:sz w:val="22"/>
          <w:szCs w:val="22"/>
        </w:rPr>
        <w:tab/>
      </w:r>
      <w:r>
        <w:rPr>
          <w:rFonts w:hint="eastAsia" w:ascii="宋体" w:hAnsi="宋体" w:cs="宋体"/>
          <w:sz w:val="22"/>
          <w:szCs w:val="22"/>
        </w:rPr>
        <w:t>根据确定的电子商城品目范围，电商推送该分类市场主销的商品到电子商城，所有入围供应商的商品形成电子商城商品库。商品库包括商品详情配置参数、配件信息、服务要求、成交记录、用户评价、价格趋势等内容。商品库的建立有利于价格监测和比价，系统上线后也可以根据采购人的商品需求不断完善更新。</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电商管理</w:t>
      </w:r>
    </w:p>
    <w:p>
      <w:pPr>
        <w:snapToGrid w:val="0"/>
        <w:spacing w:line="360" w:lineRule="auto"/>
        <w:ind w:firstLine="480"/>
        <w:rPr>
          <w:rFonts w:hint="eastAsia" w:ascii="宋体" w:hAnsi="宋体" w:cs="宋体"/>
          <w:sz w:val="22"/>
          <w:szCs w:val="22"/>
        </w:rPr>
      </w:pPr>
      <w:r>
        <w:rPr>
          <w:rFonts w:hint="eastAsia" w:ascii="宋体" w:hAnsi="宋体" w:cs="宋体"/>
          <w:sz w:val="22"/>
          <w:szCs w:val="22"/>
        </w:rPr>
        <w:t>对入围电商进行专区管理，专区停用后电商将无法对所有商品进行销售，采购人在采购商品时亦不能选择停用电商进行交易。提供对与第三方商城对接管理功能。</w:t>
      </w:r>
    </w:p>
    <w:p>
      <w:pPr>
        <w:keepNext/>
        <w:keepLines/>
        <w:numPr>
          <w:ilvl w:val="2"/>
          <w:numId w:val="57"/>
        </w:numPr>
        <w:snapToGrid w:val="0"/>
        <w:spacing w:line="360" w:lineRule="auto"/>
        <w:jc w:val="left"/>
        <w:outlineLvl w:val="2"/>
        <w:rPr>
          <w:rFonts w:hint="eastAsia" w:ascii="宋体" w:hAnsi="宋体" w:cs="宋体"/>
          <w:b/>
          <w:bCs/>
          <w:sz w:val="22"/>
          <w:szCs w:val="22"/>
        </w:rPr>
      </w:pPr>
      <w:bookmarkStart w:id="730" w:name="_Toc32518"/>
      <w:bookmarkStart w:id="731" w:name="_Toc15185"/>
      <w:bookmarkStart w:id="732" w:name="_Toc30248"/>
      <w:bookmarkStart w:id="733" w:name="_Toc9440"/>
      <w:bookmarkStart w:id="734" w:name="_Toc8642"/>
      <w:bookmarkStart w:id="735" w:name="_Toc8028"/>
      <w:bookmarkStart w:id="736" w:name="_Toc30115"/>
      <w:bookmarkStart w:id="737" w:name="_Toc1473"/>
      <w:bookmarkStart w:id="738" w:name="_Toc7997"/>
      <w:bookmarkStart w:id="739" w:name="_Toc12997"/>
      <w:bookmarkStart w:id="740" w:name="_Toc7713"/>
      <w:bookmarkStart w:id="741" w:name="_Toc12222414"/>
      <w:bookmarkStart w:id="742" w:name="_Toc525772540"/>
      <w:bookmarkStart w:id="743" w:name="_Toc360453481"/>
      <w:bookmarkStart w:id="744" w:name="_Toc442174131"/>
      <w:bookmarkStart w:id="745" w:name="_Toc411338074"/>
      <w:r>
        <w:rPr>
          <w:rFonts w:hint="eastAsia" w:ascii="宋体" w:hAnsi="宋体" w:cs="宋体"/>
          <w:b/>
          <w:bCs/>
          <w:sz w:val="22"/>
          <w:szCs w:val="22"/>
        </w:rPr>
        <w:t>合同模板管理</w:t>
      </w:r>
      <w:bookmarkEnd w:id="730"/>
      <w:bookmarkEnd w:id="731"/>
      <w:bookmarkEnd w:id="732"/>
    </w:p>
    <w:p>
      <w:pPr>
        <w:snapToGrid w:val="0"/>
        <w:spacing w:line="360" w:lineRule="auto"/>
        <w:ind w:firstLine="440" w:firstLineChars="200"/>
        <w:contextualSpacing/>
        <w:jc w:val="left"/>
        <w:rPr>
          <w:rFonts w:hint="eastAsia" w:ascii="宋体" w:hAnsi="宋体" w:cs="宋体"/>
          <w:kern w:val="0"/>
          <w:sz w:val="22"/>
          <w:szCs w:val="22"/>
        </w:rPr>
      </w:pPr>
      <w:r>
        <w:rPr>
          <w:rFonts w:hint="eastAsia" w:ascii="宋体" w:hAnsi="宋体" w:cs="宋体"/>
          <w:kern w:val="0"/>
          <w:sz w:val="22"/>
          <w:szCs w:val="22"/>
        </w:rPr>
        <w:t>支持在系统中创建各种合同模板，创建的合同模板将会运用于合同创建过程。在创建模板过程中，可以对模板的部分要素设置不可更改。</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合同（含框架协议）管理</w:t>
      </w:r>
    </w:p>
    <w:p>
      <w:pPr>
        <w:snapToGrid w:val="0"/>
        <w:spacing w:line="360" w:lineRule="auto"/>
        <w:ind w:firstLine="440" w:firstLineChars="200"/>
        <w:contextualSpacing/>
        <w:jc w:val="left"/>
        <w:rPr>
          <w:rFonts w:hint="eastAsia" w:ascii="宋体" w:hAnsi="宋体" w:cs="宋体"/>
          <w:kern w:val="0"/>
          <w:sz w:val="22"/>
          <w:szCs w:val="22"/>
        </w:rPr>
      </w:pPr>
      <w:r>
        <w:rPr>
          <w:rFonts w:hint="eastAsia" w:ascii="宋体" w:hAnsi="宋体" w:cs="宋体"/>
          <w:kern w:val="0"/>
          <w:sz w:val="22"/>
          <w:szCs w:val="22"/>
        </w:rPr>
        <w:t>合同经办人通过此功能在系统中起草合同。在系统中固化各种合同范本模板及文本信息，在采购招标结果通过后，直接在系统中选定中标供应商，确定合同范本，起草合同；或选择对应的招标项目、系统自动带出中标供应商，生成合同。合同明细来源于采购管理中的采购决策后的采购结果，也支持手工录入；支持合同的供应商协同、会签和审批流程；审批通过后，合同生效；支持手工录入采购合同。</w:t>
      </w:r>
    </w:p>
    <w:p>
      <w:pPr>
        <w:keepNext/>
        <w:keepLines/>
        <w:numPr>
          <w:ilvl w:val="2"/>
          <w:numId w:val="57"/>
        </w:numPr>
        <w:snapToGrid w:val="0"/>
        <w:spacing w:line="360" w:lineRule="auto"/>
        <w:jc w:val="left"/>
        <w:outlineLvl w:val="2"/>
        <w:rPr>
          <w:rFonts w:hint="eastAsia" w:ascii="宋体" w:hAnsi="宋体" w:cs="宋体"/>
          <w:b/>
          <w:bCs/>
          <w:sz w:val="22"/>
          <w:szCs w:val="22"/>
        </w:rPr>
      </w:pPr>
      <w:bookmarkStart w:id="746" w:name="_Toc4624"/>
      <w:bookmarkStart w:id="747" w:name="_Toc17902"/>
      <w:bookmarkStart w:id="748" w:name="_Toc1468"/>
      <w:r>
        <w:rPr>
          <w:rFonts w:hint="eastAsia" w:ascii="宋体" w:hAnsi="宋体" w:cs="宋体"/>
          <w:b/>
          <w:bCs/>
          <w:sz w:val="22"/>
          <w:szCs w:val="22"/>
        </w:rPr>
        <w:t>合同管理</w:t>
      </w:r>
      <w:bookmarkEnd w:id="746"/>
      <w:bookmarkEnd w:id="747"/>
      <w:bookmarkEnd w:id="748"/>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bookmarkStart w:id="749" w:name="_Toc8843543"/>
      <w:r>
        <w:rPr>
          <w:rFonts w:hint="eastAsia" w:ascii="宋体" w:hAnsi="宋体" w:cs="宋体"/>
          <w:b/>
          <w:bCs/>
          <w:sz w:val="22"/>
          <w:szCs w:val="22"/>
        </w:rPr>
        <w:t>合同</w:t>
      </w:r>
      <w:bookmarkEnd w:id="749"/>
      <w:r>
        <w:rPr>
          <w:rFonts w:hint="eastAsia" w:ascii="宋体" w:hAnsi="宋体" w:cs="宋体"/>
          <w:b/>
          <w:bCs/>
          <w:sz w:val="22"/>
          <w:szCs w:val="22"/>
        </w:rPr>
        <w:t>在线签章管理</w:t>
      </w:r>
    </w:p>
    <w:p>
      <w:pPr>
        <w:numPr>
          <w:ilvl w:val="0"/>
          <w:numId w:val="85"/>
        </w:numPr>
        <w:snapToGrid w:val="0"/>
        <w:spacing w:line="360" w:lineRule="auto"/>
        <w:ind w:firstLine="601"/>
        <w:rPr>
          <w:rFonts w:hint="eastAsia" w:ascii="宋体" w:hAnsi="宋体" w:cs="宋体"/>
          <w:kern w:val="0"/>
          <w:sz w:val="22"/>
          <w:szCs w:val="22"/>
        </w:rPr>
      </w:pPr>
      <w:r>
        <w:rPr>
          <w:rFonts w:hint="eastAsia" w:ascii="宋体" w:hAnsi="宋体" w:cs="宋体"/>
          <w:kern w:val="0"/>
          <w:sz w:val="22"/>
          <w:szCs w:val="22"/>
        </w:rPr>
        <w:t>合同审批通过，提供申请盖章功能，由采购人员申请，到盖章部门完成合同电子盖章。</w:t>
      </w:r>
    </w:p>
    <w:p>
      <w:pPr>
        <w:numPr>
          <w:ilvl w:val="0"/>
          <w:numId w:val="85"/>
        </w:numPr>
        <w:snapToGrid w:val="0"/>
        <w:spacing w:line="360" w:lineRule="auto"/>
        <w:ind w:firstLine="601"/>
        <w:rPr>
          <w:rFonts w:hint="eastAsia" w:ascii="宋体" w:hAnsi="宋体" w:cs="宋体"/>
          <w:sz w:val="22"/>
          <w:szCs w:val="22"/>
        </w:rPr>
      </w:pPr>
      <w:r>
        <w:rPr>
          <w:rFonts w:hint="eastAsia" w:ascii="宋体" w:hAnsi="宋体" w:cs="宋体"/>
          <w:kern w:val="0"/>
          <w:sz w:val="22"/>
          <w:szCs w:val="22"/>
        </w:rPr>
        <w:t>提供供应商合同在线电子签章功能。</w:t>
      </w:r>
    </w:p>
    <w:p>
      <w:pPr>
        <w:numPr>
          <w:ilvl w:val="0"/>
          <w:numId w:val="85"/>
        </w:numPr>
        <w:snapToGrid w:val="0"/>
        <w:spacing w:line="360" w:lineRule="auto"/>
        <w:ind w:firstLine="601"/>
        <w:rPr>
          <w:rFonts w:hint="eastAsia" w:ascii="宋体" w:hAnsi="宋体" w:cs="宋体"/>
          <w:sz w:val="22"/>
          <w:szCs w:val="22"/>
        </w:rPr>
      </w:pPr>
      <w:r>
        <w:rPr>
          <w:rFonts w:hint="eastAsia" w:ascii="宋体" w:hAnsi="宋体" w:cs="宋体"/>
          <w:kern w:val="0"/>
          <w:sz w:val="22"/>
          <w:szCs w:val="22"/>
        </w:rPr>
        <w:t>支持合同修订意见在线交互，版本留档记录。</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合同验收</w:t>
      </w:r>
    </w:p>
    <w:p>
      <w:pPr>
        <w:snapToGrid w:val="0"/>
        <w:spacing w:line="360" w:lineRule="auto"/>
        <w:ind w:firstLine="601"/>
        <w:rPr>
          <w:rFonts w:hint="eastAsia" w:ascii="宋体" w:hAnsi="宋体" w:cs="宋体"/>
          <w:kern w:val="0"/>
          <w:sz w:val="22"/>
          <w:szCs w:val="22"/>
        </w:rPr>
      </w:pPr>
      <w:r>
        <w:rPr>
          <w:rFonts w:hint="eastAsia" w:ascii="宋体" w:hAnsi="宋体" w:cs="宋体"/>
          <w:kern w:val="0"/>
          <w:sz w:val="22"/>
          <w:szCs w:val="22"/>
        </w:rPr>
        <w:t>合同经办人通过此功能完成合同的验收，可录入验收内容、选择验收结果、上传验收报告等。</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付款管理</w:t>
      </w:r>
    </w:p>
    <w:p>
      <w:pPr>
        <w:snapToGrid w:val="0"/>
        <w:spacing w:line="360" w:lineRule="auto"/>
        <w:ind w:firstLine="440" w:firstLineChars="200"/>
        <w:contextualSpacing/>
        <w:jc w:val="left"/>
        <w:rPr>
          <w:rFonts w:hint="eastAsia" w:ascii="宋体" w:hAnsi="宋体" w:cs="宋体"/>
          <w:kern w:val="0"/>
          <w:sz w:val="22"/>
          <w:szCs w:val="22"/>
        </w:rPr>
      </w:pPr>
      <w:r>
        <w:rPr>
          <w:rFonts w:hint="eastAsia" w:ascii="宋体" w:hAnsi="宋体" w:cs="宋体"/>
          <w:kern w:val="0"/>
          <w:sz w:val="22"/>
          <w:szCs w:val="22"/>
        </w:rPr>
        <w:t>在付款条件达到后，合同经办人可以发起付款申请，可选择付款时间、付款金额，如果需要验收，请选择已经录入的验收批次；如果具备供应商协同子模块，可关联供应商上传的发票信息。</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异常管理</w:t>
      </w:r>
    </w:p>
    <w:p>
      <w:pPr>
        <w:snapToGrid w:val="0"/>
        <w:spacing w:line="360" w:lineRule="auto"/>
        <w:ind w:firstLine="440" w:firstLineChars="200"/>
        <w:contextualSpacing/>
        <w:jc w:val="left"/>
        <w:rPr>
          <w:rFonts w:hint="eastAsia" w:ascii="宋体" w:hAnsi="宋体" w:cs="宋体"/>
          <w:kern w:val="0"/>
          <w:sz w:val="22"/>
          <w:szCs w:val="22"/>
        </w:rPr>
      </w:pPr>
      <w:r>
        <w:rPr>
          <w:rFonts w:hint="eastAsia" w:ascii="宋体" w:hAnsi="宋体" w:cs="宋体"/>
          <w:kern w:val="0"/>
          <w:sz w:val="22"/>
          <w:szCs w:val="22"/>
        </w:rPr>
        <w:t>提供合同履行过程中出现的异常情况的登记管理功能。</w:t>
      </w:r>
    </w:p>
    <w:p>
      <w:pPr>
        <w:keepNext/>
        <w:keepLines/>
        <w:numPr>
          <w:ilvl w:val="2"/>
          <w:numId w:val="57"/>
        </w:numPr>
        <w:snapToGrid w:val="0"/>
        <w:spacing w:line="360" w:lineRule="auto"/>
        <w:jc w:val="left"/>
        <w:outlineLvl w:val="2"/>
        <w:rPr>
          <w:rFonts w:hint="eastAsia" w:ascii="宋体" w:hAnsi="宋体" w:cs="宋体"/>
          <w:b/>
          <w:bCs/>
          <w:sz w:val="22"/>
          <w:szCs w:val="22"/>
        </w:rPr>
      </w:pPr>
      <w:bookmarkStart w:id="750" w:name="_Toc6658"/>
      <w:bookmarkStart w:id="751" w:name="_Toc10088"/>
      <w:bookmarkStart w:id="752" w:name="_Toc25726"/>
      <w:r>
        <w:rPr>
          <w:rFonts w:hint="eastAsia" w:ascii="宋体" w:hAnsi="宋体" w:cs="宋体"/>
          <w:b/>
          <w:bCs/>
          <w:sz w:val="22"/>
          <w:szCs w:val="22"/>
        </w:rPr>
        <w:t>归档管理</w:t>
      </w:r>
      <w:bookmarkEnd w:id="750"/>
      <w:bookmarkEnd w:id="751"/>
      <w:bookmarkEnd w:id="752"/>
    </w:p>
    <w:p>
      <w:pPr>
        <w:snapToGrid w:val="0"/>
        <w:spacing w:line="360" w:lineRule="auto"/>
        <w:ind w:firstLine="440" w:firstLineChars="200"/>
        <w:contextualSpacing/>
        <w:jc w:val="left"/>
        <w:rPr>
          <w:rFonts w:hint="eastAsia" w:ascii="宋体" w:hAnsi="宋体" w:cs="宋体"/>
          <w:kern w:val="0"/>
          <w:sz w:val="22"/>
          <w:szCs w:val="22"/>
        </w:rPr>
      </w:pPr>
      <w:r>
        <w:rPr>
          <w:rFonts w:hint="eastAsia" w:ascii="宋体" w:hAnsi="宋体" w:cs="宋体"/>
          <w:kern w:val="0"/>
          <w:sz w:val="22"/>
          <w:szCs w:val="22"/>
        </w:rPr>
        <w:t>对系统内文档进行归档、审批、打包下载、借阅等操作。</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项目归档</w:t>
      </w:r>
    </w:p>
    <w:p>
      <w:pPr>
        <w:snapToGrid w:val="0"/>
        <w:spacing w:line="360" w:lineRule="auto"/>
        <w:ind w:firstLine="440" w:firstLineChars="200"/>
        <w:contextualSpacing/>
        <w:jc w:val="left"/>
        <w:rPr>
          <w:rFonts w:hint="eastAsia" w:ascii="宋体" w:hAnsi="宋体" w:cs="宋体"/>
          <w:kern w:val="0"/>
          <w:sz w:val="22"/>
          <w:szCs w:val="22"/>
        </w:rPr>
      </w:pPr>
      <w:r>
        <w:rPr>
          <w:rFonts w:hint="eastAsia" w:ascii="宋体" w:hAnsi="宋体" w:cs="宋体"/>
          <w:kern w:val="0"/>
          <w:sz w:val="22"/>
          <w:szCs w:val="22"/>
        </w:rPr>
        <w:t>对供应链赋能平台产生的文档，包括采购过程相关招标文件、结果通知等；合同履约相关合同文本、补充协议等进行归档。</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归档查看</w:t>
      </w:r>
    </w:p>
    <w:p>
      <w:pPr>
        <w:snapToGrid w:val="0"/>
        <w:spacing w:line="360" w:lineRule="auto"/>
        <w:ind w:firstLine="440" w:firstLineChars="200"/>
        <w:contextualSpacing/>
        <w:jc w:val="left"/>
        <w:rPr>
          <w:rFonts w:hint="eastAsia" w:ascii="宋体" w:hAnsi="宋体" w:cs="宋体"/>
          <w:kern w:val="0"/>
          <w:sz w:val="22"/>
          <w:szCs w:val="22"/>
        </w:rPr>
      </w:pPr>
      <w:r>
        <w:rPr>
          <w:rFonts w:hint="eastAsia" w:ascii="宋体" w:hAnsi="宋体" w:cs="宋体"/>
          <w:kern w:val="0"/>
          <w:sz w:val="22"/>
          <w:szCs w:val="22"/>
        </w:rPr>
        <w:t>可按照预制的权限对归档文档进行查看。</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档案借阅</w:t>
      </w:r>
    </w:p>
    <w:p>
      <w:pPr>
        <w:snapToGrid w:val="0"/>
        <w:spacing w:line="360" w:lineRule="auto"/>
        <w:ind w:firstLine="440" w:firstLineChars="200"/>
        <w:contextualSpacing/>
        <w:jc w:val="left"/>
        <w:rPr>
          <w:rFonts w:hint="eastAsia" w:ascii="宋体" w:hAnsi="宋体" w:cs="宋体"/>
          <w:kern w:val="0"/>
          <w:sz w:val="22"/>
          <w:szCs w:val="22"/>
        </w:rPr>
      </w:pPr>
      <w:r>
        <w:rPr>
          <w:rFonts w:hint="eastAsia" w:ascii="宋体" w:hAnsi="宋体" w:cs="宋体"/>
          <w:kern w:val="0"/>
          <w:sz w:val="22"/>
          <w:szCs w:val="22"/>
        </w:rPr>
        <w:t>支持发起流程对归档后的文件申请查看权限，在审批通过后，可查看相应的归档文件。</w:t>
      </w:r>
    </w:p>
    <w:p>
      <w:pPr>
        <w:keepNext/>
        <w:keepLines/>
        <w:numPr>
          <w:ilvl w:val="2"/>
          <w:numId w:val="57"/>
        </w:numPr>
        <w:snapToGrid w:val="0"/>
        <w:spacing w:line="360" w:lineRule="auto"/>
        <w:jc w:val="left"/>
        <w:outlineLvl w:val="2"/>
        <w:rPr>
          <w:rFonts w:hint="eastAsia" w:ascii="宋体" w:hAnsi="宋体" w:cs="宋体"/>
          <w:b/>
          <w:bCs/>
          <w:sz w:val="22"/>
          <w:szCs w:val="22"/>
        </w:rPr>
      </w:pPr>
      <w:bookmarkStart w:id="753" w:name="_Toc23756"/>
      <w:bookmarkStart w:id="754" w:name="_Toc982"/>
      <w:bookmarkStart w:id="755" w:name="_Toc6181"/>
      <w:bookmarkStart w:id="756" w:name="_Toc8232"/>
      <w:bookmarkStart w:id="757" w:name="_Toc18651"/>
      <w:bookmarkStart w:id="758" w:name="_Toc12951"/>
      <w:bookmarkStart w:id="759" w:name="_Toc20276"/>
      <w:bookmarkStart w:id="760" w:name="_Toc8538"/>
      <w:bookmarkStart w:id="761" w:name="_Toc27158"/>
      <w:bookmarkStart w:id="762" w:name="_Toc4878"/>
      <w:r>
        <w:rPr>
          <w:rFonts w:hint="eastAsia" w:ascii="宋体" w:hAnsi="宋体" w:cs="宋体"/>
          <w:b/>
          <w:bCs/>
          <w:sz w:val="22"/>
          <w:szCs w:val="22"/>
        </w:rPr>
        <w:t>采购监督管理</w:t>
      </w:r>
      <w:bookmarkEnd w:id="753"/>
      <w:bookmarkEnd w:id="754"/>
      <w:bookmarkEnd w:id="755"/>
      <w:bookmarkEnd w:id="756"/>
      <w:bookmarkEnd w:id="757"/>
      <w:bookmarkEnd w:id="758"/>
      <w:bookmarkEnd w:id="759"/>
      <w:bookmarkEnd w:id="760"/>
      <w:bookmarkEnd w:id="761"/>
      <w:bookmarkEnd w:id="762"/>
    </w:p>
    <w:p>
      <w:pPr>
        <w:snapToGrid w:val="0"/>
        <w:spacing w:line="360" w:lineRule="auto"/>
        <w:ind w:firstLine="440" w:firstLineChars="200"/>
        <w:contextualSpacing/>
        <w:jc w:val="left"/>
        <w:rPr>
          <w:rFonts w:hint="eastAsia" w:ascii="宋体" w:hAnsi="宋体" w:cs="宋体"/>
          <w:sz w:val="22"/>
          <w:szCs w:val="22"/>
        </w:rPr>
      </w:pPr>
      <w:r>
        <w:rPr>
          <w:rFonts w:hint="eastAsia" w:ascii="宋体" w:hAnsi="宋体" w:cs="宋体"/>
          <w:sz w:val="22"/>
          <w:szCs w:val="22"/>
        </w:rPr>
        <w:t>通过监督功能，支持展示项目从采购申请到合同执行的所有环节和各环节节点的进度一览表，清晰明确的展示项目进度信息，领导可监控所有的招标项目，并能查看每个项目的进度和具体信息。</w:t>
      </w:r>
    </w:p>
    <w:p>
      <w:pPr>
        <w:keepNext/>
        <w:keepLines/>
        <w:numPr>
          <w:ilvl w:val="2"/>
          <w:numId w:val="57"/>
        </w:numPr>
        <w:snapToGrid w:val="0"/>
        <w:spacing w:line="360" w:lineRule="auto"/>
        <w:jc w:val="left"/>
        <w:outlineLvl w:val="2"/>
        <w:rPr>
          <w:rFonts w:hint="eastAsia" w:ascii="宋体" w:hAnsi="宋体" w:cs="宋体"/>
          <w:b/>
          <w:bCs/>
          <w:sz w:val="22"/>
          <w:szCs w:val="22"/>
        </w:rPr>
      </w:pPr>
      <w:bookmarkStart w:id="763" w:name="_Toc3649"/>
      <w:bookmarkStart w:id="764" w:name="_Toc5358"/>
      <w:bookmarkStart w:id="765" w:name="_Toc22352"/>
      <w:bookmarkStart w:id="766" w:name="_Toc21351"/>
      <w:bookmarkStart w:id="767" w:name="_Toc8292"/>
      <w:bookmarkStart w:id="768" w:name="_Toc25130"/>
      <w:bookmarkStart w:id="769" w:name="_Toc31568"/>
      <w:bookmarkStart w:id="770" w:name="_Toc28342"/>
      <w:bookmarkStart w:id="771" w:name="_Toc21405"/>
      <w:bookmarkStart w:id="772" w:name="_Toc23586"/>
      <w:r>
        <w:rPr>
          <w:rFonts w:hint="eastAsia" w:ascii="宋体" w:hAnsi="宋体" w:cs="宋体"/>
          <w:b/>
          <w:bCs/>
          <w:sz w:val="22"/>
          <w:szCs w:val="22"/>
        </w:rPr>
        <w:t>采购时效管理</w:t>
      </w:r>
      <w:bookmarkEnd w:id="763"/>
      <w:bookmarkEnd w:id="764"/>
      <w:bookmarkEnd w:id="765"/>
      <w:bookmarkEnd w:id="766"/>
      <w:bookmarkEnd w:id="767"/>
      <w:bookmarkEnd w:id="768"/>
      <w:bookmarkEnd w:id="769"/>
      <w:bookmarkEnd w:id="770"/>
      <w:bookmarkEnd w:id="771"/>
      <w:bookmarkEnd w:id="772"/>
    </w:p>
    <w:p>
      <w:pPr>
        <w:snapToGrid w:val="0"/>
        <w:spacing w:line="360" w:lineRule="auto"/>
        <w:ind w:firstLine="440" w:firstLineChars="200"/>
        <w:contextualSpacing/>
        <w:jc w:val="left"/>
        <w:rPr>
          <w:rFonts w:hint="eastAsia" w:ascii="宋体" w:hAnsi="宋体" w:cs="宋体"/>
          <w:sz w:val="22"/>
          <w:szCs w:val="22"/>
        </w:rPr>
      </w:pPr>
      <w:r>
        <w:rPr>
          <w:rFonts w:hint="eastAsia" w:ascii="宋体" w:hAnsi="宋体" w:cs="宋体"/>
          <w:sz w:val="22"/>
          <w:szCs w:val="22"/>
        </w:rPr>
        <w:t>应支持按照供应链时效管理要求针对不同采购方式进行统一设置，项目实施过程中，根据各节点实际触发和完成的时间，计算出符合时效管理要求的开始时间和结束时间与实际的开始时间和结束时间进行对比，判断该节点是否符合时效管理要求。超出时效管理要求的节点，会标注超时标志，并推送代办事项或提醒消息给项目相关人。</w:t>
      </w:r>
    </w:p>
    <w:p>
      <w:pPr>
        <w:snapToGrid w:val="0"/>
        <w:spacing w:line="360" w:lineRule="auto"/>
        <w:ind w:firstLine="440" w:firstLineChars="200"/>
        <w:contextualSpacing/>
        <w:jc w:val="left"/>
        <w:rPr>
          <w:rFonts w:hint="eastAsia" w:ascii="宋体" w:hAnsi="宋体" w:cs="宋体"/>
          <w:sz w:val="22"/>
          <w:szCs w:val="22"/>
        </w:rPr>
      </w:pPr>
      <w:r>
        <w:rPr>
          <w:rFonts w:hint="eastAsia" w:ascii="宋体" w:hAnsi="宋体" w:cs="宋体"/>
          <w:sz w:val="22"/>
          <w:szCs w:val="22"/>
        </w:rPr>
        <w:t>监督部门、项目经办人可以清晰的查看超时项目和超时节点，有针对性的对复杂项目进行指导和监督。</w:t>
      </w:r>
    </w:p>
    <w:p>
      <w:pPr>
        <w:keepNext/>
        <w:keepLines/>
        <w:numPr>
          <w:ilvl w:val="2"/>
          <w:numId w:val="57"/>
        </w:numPr>
        <w:snapToGrid w:val="0"/>
        <w:spacing w:line="360" w:lineRule="auto"/>
        <w:jc w:val="left"/>
        <w:outlineLvl w:val="2"/>
        <w:rPr>
          <w:rFonts w:hint="eastAsia" w:ascii="宋体" w:hAnsi="宋体" w:cs="宋体"/>
          <w:b/>
          <w:bCs/>
          <w:sz w:val="22"/>
          <w:szCs w:val="22"/>
        </w:rPr>
      </w:pPr>
      <w:bookmarkStart w:id="773" w:name="_Toc20638"/>
      <w:bookmarkStart w:id="774" w:name="_Toc10549"/>
      <w:bookmarkStart w:id="775" w:name="_Toc27437"/>
      <w:r>
        <w:rPr>
          <w:rFonts w:hint="eastAsia" w:ascii="宋体" w:hAnsi="宋体" w:cs="宋体"/>
          <w:b/>
          <w:bCs/>
          <w:sz w:val="22"/>
          <w:szCs w:val="22"/>
        </w:rPr>
        <w:t>基础支撑</w:t>
      </w:r>
      <w:bookmarkEnd w:id="773"/>
      <w:bookmarkEnd w:id="774"/>
      <w:bookmarkEnd w:id="775"/>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bookmarkStart w:id="776" w:name="_Toc3560"/>
      <w:bookmarkStart w:id="777" w:name="_Toc4998"/>
      <w:bookmarkStart w:id="778" w:name="_Toc7652"/>
      <w:bookmarkStart w:id="779" w:name="_Toc23122"/>
      <w:bookmarkStart w:id="780" w:name="_Toc4287"/>
      <w:bookmarkStart w:id="781" w:name="_Toc16475"/>
      <w:bookmarkStart w:id="782" w:name="_Toc2116"/>
      <w:r>
        <w:rPr>
          <w:rFonts w:hint="eastAsia" w:ascii="宋体" w:hAnsi="宋体" w:cs="宋体"/>
          <w:b/>
          <w:bCs/>
          <w:sz w:val="22"/>
          <w:szCs w:val="22"/>
        </w:rPr>
        <w:t>采购目录管理</w:t>
      </w:r>
      <w:bookmarkEnd w:id="776"/>
      <w:bookmarkEnd w:id="777"/>
      <w:bookmarkEnd w:id="778"/>
      <w:bookmarkEnd w:id="779"/>
      <w:bookmarkEnd w:id="780"/>
      <w:bookmarkEnd w:id="781"/>
      <w:bookmarkEnd w:id="782"/>
    </w:p>
    <w:p>
      <w:pPr>
        <w:numPr>
          <w:ilvl w:val="0"/>
          <w:numId w:val="86"/>
        </w:numPr>
        <w:snapToGrid w:val="0"/>
        <w:spacing w:line="360" w:lineRule="auto"/>
        <w:ind w:firstLine="440" w:firstLineChars="200"/>
        <w:rPr>
          <w:rFonts w:hint="eastAsia" w:ascii="宋体" w:hAnsi="宋体" w:cs="宋体"/>
          <w:kern w:val="0"/>
          <w:sz w:val="22"/>
          <w:szCs w:val="22"/>
          <w:lang w:bidi="en-US"/>
        </w:rPr>
      </w:pPr>
      <w:r>
        <w:rPr>
          <w:rFonts w:hint="eastAsia" w:ascii="宋体" w:hAnsi="宋体" w:cs="宋体"/>
          <w:kern w:val="0"/>
          <w:sz w:val="22"/>
          <w:szCs w:val="22"/>
          <w:lang w:bidi="en-US"/>
        </w:rPr>
        <w:t>应支持对采购品类目录在线维护，支持增加、修改、删除等功能。</w:t>
      </w:r>
    </w:p>
    <w:p>
      <w:pPr>
        <w:numPr>
          <w:ilvl w:val="0"/>
          <w:numId w:val="86"/>
        </w:numPr>
        <w:snapToGrid w:val="0"/>
        <w:spacing w:line="360" w:lineRule="auto"/>
        <w:ind w:firstLine="440" w:firstLineChars="200"/>
        <w:rPr>
          <w:rFonts w:hint="eastAsia" w:ascii="宋体" w:hAnsi="宋体" w:cs="宋体"/>
          <w:kern w:val="0"/>
          <w:sz w:val="22"/>
          <w:szCs w:val="22"/>
          <w:lang w:bidi="en-US"/>
        </w:rPr>
      </w:pPr>
      <w:r>
        <w:rPr>
          <w:rFonts w:hint="eastAsia" w:ascii="宋体" w:hAnsi="宋体" w:cs="宋体"/>
          <w:kern w:val="0"/>
          <w:sz w:val="22"/>
          <w:szCs w:val="22"/>
          <w:lang w:bidi="en-US"/>
        </w:rPr>
        <w:t>提供品类明细的分层次分类管理功能，支持增加、修改、删除等功能。</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bookmarkStart w:id="783" w:name="_Toc4669"/>
      <w:bookmarkStart w:id="784" w:name="_Toc20138"/>
      <w:bookmarkStart w:id="785" w:name="_Toc9229"/>
      <w:bookmarkStart w:id="786" w:name="_Toc22206"/>
      <w:bookmarkStart w:id="787" w:name="_Toc5131"/>
      <w:bookmarkStart w:id="788" w:name="_Toc728"/>
      <w:bookmarkStart w:id="789" w:name="_Toc20123"/>
      <w:r>
        <w:rPr>
          <w:rFonts w:hint="eastAsia" w:ascii="宋体" w:hAnsi="宋体" w:cs="宋体"/>
          <w:b/>
          <w:bCs/>
          <w:sz w:val="22"/>
          <w:szCs w:val="22"/>
        </w:rPr>
        <w:t>价格库管理</w:t>
      </w:r>
      <w:bookmarkEnd w:id="783"/>
      <w:bookmarkEnd w:id="784"/>
      <w:bookmarkEnd w:id="785"/>
      <w:bookmarkEnd w:id="786"/>
      <w:bookmarkEnd w:id="787"/>
      <w:bookmarkEnd w:id="788"/>
      <w:bookmarkEnd w:id="789"/>
    </w:p>
    <w:p>
      <w:pPr>
        <w:numPr>
          <w:ilvl w:val="0"/>
          <w:numId w:val="87"/>
        </w:numPr>
        <w:snapToGrid w:val="0"/>
        <w:spacing w:line="360" w:lineRule="auto"/>
        <w:ind w:firstLine="440" w:firstLineChars="200"/>
        <w:rPr>
          <w:rFonts w:hint="eastAsia" w:ascii="宋体" w:hAnsi="宋体" w:cs="宋体"/>
          <w:kern w:val="0"/>
          <w:sz w:val="22"/>
          <w:szCs w:val="22"/>
          <w:lang w:bidi="en-US"/>
        </w:rPr>
      </w:pPr>
      <w:r>
        <w:rPr>
          <w:rFonts w:hint="eastAsia" w:ascii="宋体" w:hAnsi="宋体" w:cs="宋体"/>
          <w:kern w:val="0"/>
          <w:sz w:val="22"/>
          <w:szCs w:val="22"/>
          <w:lang w:bidi="en-US"/>
        </w:rPr>
        <w:t>应支持基于采购目录的价格检索功能。</w:t>
      </w:r>
    </w:p>
    <w:p>
      <w:pPr>
        <w:numPr>
          <w:ilvl w:val="0"/>
          <w:numId w:val="87"/>
        </w:numPr>
        <w:snapToGrid w:val="0"/>
        <w:spacing w:line="360" w:lineRule="auto"/>
        <w:ind w:firstLine="440" w:firstLineChars="200"/>
        <w:rPr>
          <w:rFonts w:hint="eastAsia" w:ascii="宋体" w:hAnsi="宋体" w:cs="宋体"/>
          <w:kern w:val="0"/>
          <w:sz w:val="22"/>
          <w:szCs w:val="22"/>
          <w:lang w:bidi="en-US"/>
        </w:rPr>
      </w:pPr>
      <w:r>
        <w:rPr>
          <w:rFonts w:hint="eastAsia" w:ascii="宋体" w:hAnsi="宋体" w:cs="宋体"/>
          <w:kern w:val="0"/>
          <w:sz w:val="22"/>
          <w:szCs w:val="22"/>
          <w:lang w:bidi="en-US"/>
        </w:rPr>
        <w:t>提供采购品类中标价格趋势查看功能，包括：最高价、最低价、平均价、上月平均价、上年平均价。</w:t>
      </w:r>
    </w:p>
    <w:p>
      <w:pPr>
        <w:numPr>
          <w:ilvl w:val="0"/>
          <w:numId w:val="87"/>
        </w:numPr>
        <w:snapToGrid w:val="0"/>
        <w:spacing w:line="360" w:lineRule="auto"/>
        <w:ind w:firstLine="440" w:firstLineChars="200"/>
        <w:rPr>
          <w:rFonts w:hint="eastAsia" w:ascii="宋体" w:hAnsi="宋体" w:cs="宋体"/>
          <w:kern w:val="0"/>
          <w:sz w:val="22"/>
          <w:szCs w:val="22"/>
          <w:lang w:bidi="en-US"/>
        </w:rPr>
      </w:pPr>
      <w:r>
        <w:rPr>
          <w:rFonts w:hint="eastAsia" w:ascii="宋体" w:hAnsi="宋体" w:cs="宋体"/>
          <w:kern w:val="0"/>
          <w:sz w:val="22"/>
          <w:szCs w:val="22"/>
          <w:lang w:bidi="en-US"/>
        </w:rPr>
        <w:t>提供采购品类成交结果清单查看功能。</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bookmarkStart w:id="790" w:name="_Toc29136"/>
      <w:bookmarkStart w:id="791" w:name="_Toc9139"/>
      <w:bookmarkStart w:id="792" w:name="_Toc29328"/>
      <w:bookmarkStart w:id="793" w:name="_Toc23390"/>
      <w:bookmarkStart w:id="794" w:name="_Toc23361"/>
      <w:bookmarkStart w:id="795" w:name="_Toc9230"/>
      <w:bookmarkStart w:id="796" w:name="_Toc28866"/>
      <w:r>
        <w:rPr>
          <w:rFonts w:hint="eastAsia" w:ascii="宋体" w:hAnsi="宋体" w:cs="宋体"/>
          <w:b/>
          <w:bCs/>
          <w:sz w:val="22"/>
          <w:szCs w:val="22"/>
        </w:rPr>
        <w:t>模板库管理</w:t>
      </w:r>
      <w:bookmarkEnd w:id="790"/>
      <w:bookmarkEnd w:id="791"/>
      <w:bookmarkEnd w:id="792"/>
      <w:bookmarkEnd w:id="793"/>
      <w:bookmarkEnd w:id="794"/>
      <w:bookmarkEnd w:id="795"/>
      <w:bookmarkEnd w:id="796"/>
    </w:p>
    <w:p>
      <w:pPr>
        <w:snapToGrid w:val="0"/>
        <w:spacing w:line="360" w:lineRule="auto"/>
        <w:ind w:firstLine="420"/>
        <w:rPr>
          <w:rFonts w:hint="eastAsia" w:ascii="宋体" w:hAnsi="宋体" w:cs="宋体"/>
          <w:sz w:val="22"/>
          <w:szCs w:val="22"/>
        </w:rPr>
      </w:pPr>
      <w:r>
        <w:rPr>
          <w:rFonts w:hint="eastAsia" w:ascii="宋体" w:hAnsi="宋体" w:cs="宋体"/>
          <w:sz w:val="22"/>
          <w:szCs w:val="22"/>
        </w:rPr>
        <w:t>应支持各类文档的模板管理，包括各类公告、采购文件、评分标准、邀请函、各类通知书、评标报告、合同等模板。</w:t>
      </w:r>
    </w:p>
    <w:p>
      <w:pPr>
        <w:numPr>
          <w:ilvl w:val="0"/>
          <w:numId w:val="88"/>
        </w:numPr>
        <w:snapToGrid w:val="0"/>
        <w:spacing w:line="360" w:lineRule="auto"/>
        <w:ind w:left="0" w:firstLine="420"/>
        <w:rPr>
          <w:rFonts w:hint="eastAsia" w:ascii="宋体" w:hAnsi="宋体" w:cs="宋体"/>
          <w:sz w:val="22"/>
          <w:szCs w:val="22"/>
        </w:rPr>
      </w:pPr>
      <w:r>
        <w:rPr>
          <w:rFonts w:hint="eastAsia" w:ascii="宋体" w:hAnsi="宋体" w:cs="宋体"/>
          <w:sz w:val="22"/>
          <w:szCs w:val="22"/>
        </w:rPr>
        <w:t>提供招标/采购公告、澄清公告、结果公示、结果公告模版管理功能，支持模版在线编辑，支持用户自定义插入项目信息、时间信息、中标人信息等数据标签功能。</w:t>
      </w:r>
    </w:p>
    <w:p>
      <w:pPr>
        <w:numPr>
          <w:ilvl w:val="0"/>
          <w:numId w:val="88"/>
        </w:numPr>
        <w:snapToGrid w:val="0"/>
        <w:spacing w:line="360" w:lineRule="auto"/>
        <w:ind w:left="0" w:firstLine="420"/>
        <w:rPr>
          <w:rFonts w:hint="eastAsia" w:ascii="宋体" w:hAnsi="宋体" w:cs="宋体"/>
          <w:sz w:val="22"/>
          <w:szCs w:val="22"/>
        </w:rPr>
      </w:pPr>
      <w:r>
        <w:rPr>
          <w:rFonts w:hint="eastAsia" w:ascii="宋体" w:hAnsi="宋体" w:cs="宋体"/>
          <w:sz w:val="22"/>
          <w:szCs w:val="22"/>
        </w:rPr>
        <w:t>提供招标/采购文件、邀请函、评标报告、结果通知书、合同模版管理功能，支持模版在线编辑，支持用户自定义插入数据标签功能。</w:t>
      </w:r>
    </w:p>
    <w:p>
      <w:pPr>
        <w:numPr>
          <w:ilvl w:val="0"/>
          <w:numId w:val="88"/>
        </w:numPr>
        <w:snapToGrid w:val="0"/>
        <w:spacing w:line="360" w:lineRule="auto"/>
        <w:ind w:left="0" w:firstLine="420"/>
        <w:rPr>
          <w:rFonts w:hint="eastAsia" w:ascii="宋体" w:hAnsi="宋体" w:cs="宋体"/>
          <w:sz w:val="22"/>
          <w:szCs w:val="22"/>
        </w:rPr>
      </w:pPr>
      <w:r>
        <w:rPr>
          <w:rFonts w:hint="eastAsia" w:ascii="宋体" w:hAnsi="宋体" w:cs="宋体"/>
          <w:sz w:val="22"/>
          <w:szCs w:val="22"/>
        </w:rPr>
        <w:t>提供评分标准结构化模版定义管理功能，支持资格审查条件、商务打分条款、技术打分条款、报价分计算公式的管理功能。</w:t>
      </w:r>
    </w:p>
    <w:p>
      <w:pPr>
        <w:numPr>
          <w:ilvl w:val="0"/>
          <w:numId w:val="88"/>
        </w:numPr>
        <w:snapToGrid w:val="0"/>
        <w:spacing w:line="360" w:lineRule="auto"/>
        <w:ind w:left="0" w:firstLine="420"/>
        <w:rPr>
          <w:rFonts w:hint="eastAsia" w:ascii="宋体" w:hAnsi="宋体" w:cs="宋体"/>
          <w:sz w:val="22"/>
          <w:szCs w:val="22"/>
        </w:rPr>
      </w:pPr>
      <w:r>
        <w:rPr>
          <w:rFonts w:hint="eastAsia" w:ascii="宋体" w:hAnsi="宋体" w:cs="宋体"/>
          <w:sz w:val="22"/>
          <w:szCs w:val="22"/>
        </w:rPr>
        <w:t>支持模版按照集团、单位、部门等纬度进行权限设置功能。</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采购异常管理</w:t>
      </w:r>
      <w:bookmarkEnd w:id="733"/>
      <w:bookmarkEnd w:id="734"/>
      <w:bookmarkEnd w:id="735"/>
      <w:bookmarkEnd w:id="736"/>
      <w:bookmarkEnd w:id="737"/>
      <w:bookmarkEnd w:id="738"/>
      <w:bookmarkEnd w:id="739"/>
    </w:p>
    <w:p>
      <w:pPr>
        <w:numPr>
          <w:ilvl w:val="0"/>
          <w:numId w:val="89"/>
        </w:numPr>
        <w:snapToGrid w:val="0"/>
        <w:spacing w:line="360" w:lineRule="auto"/>
        <w:jc w:val="left"/>
        <w:rPr>
          <w:rFonts w:hint="eastAsia" w:ascii="宋体" w:hAnsi="宋体" w:cs="宋体"/>
          <w:kern w:val="0"/>
          <w:sz w:val="22"/>
          <w:szCs w:val="22"/>
        </w:rPr>
      </w:pPr>
      <w:r>
        <w:rPr>
          <w:rFonts w:hint="eastAsia" w:ascii="宋体" w:hAnsi="宋体" w:cs="宋体"/>
          <w:kern w:val="0"/>
          <w:sz w:val="22"/>
          <w:szCs w:val="22"/>
        </w:rPr>
        <w:t>应支持采购方式变更及基本信息复制功能。</w:t>
      </w:r>
    </w:p>
    <w:p>
      <w:pPr>
        <w:numPr>
          <w:ilvl w:val="0"/>
          <w:numId w:val="89"/>
        </w:numPr>
        <w:snapToGrid w:val="0"/>
        <w:spacing w:line="360" w:lineRule="auto"/>
        <w:jc w:val="left"/>
        <w:rPr>
          <w:rFonts w:hint="eastAsia" w:ascii="宋体" w:hAnsi="宋体" w:cs="宋体"/>
          <w:kern w:val="0"/>
          <w:sz w:val="22"/>
          <w:szCs w:val="22"/>
        </w:rPr>
      </w:pPr>
      <w:r>
        <w:rPr>
          <w:rFonts w:hint="eastAsia" w:ascii="宋体" w:hAnsi="宋体" w:cs="宋体"/>
          <w:kern w:val="0"/>
          <w:sz w:val="22"/>
          <w:szCs w:val="22"/>
        </w:rPr>
        <w:t>应支持重新招标项目基本信息复制功能。</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bookmarkStart w:id="797" w:name="_Toc4989"/>
      <w:bookmarkStart w:id="798" w:name="_Toc2888"/>
      <w:bookmarkStart w:id="799" w:name="_Toc18876"/>
      <w:bookmarkStart w:id="800" w:name="_Toc17582"/>
      <w:bookmarkStart w:id="801" w:name="_Toc29203"/>
      <w:bookmarkStart w:id="802" w:name="_Toc8816"/>
      <w:bookmarkStart w:id="803" w:name="_Toc9713"/>
      <w:r>
        <w:rPr>
          <w:rFonts w:hint="eastAsia" w:ascii="宋体" w:hAnsi="宋体" w:cs="宋体"/>
          <w:b/>
          <w:bCs/>
          <w:sz w:val="22"/>
          <w:szCs w:val="22"/>
        </w:rPr>
        <w:t>评标室管理</w:t>
      </w:r>
      <w:bookmarkEnd w:id="797"/>
      <w:bookmarkEnd w:id="798"/>
      <w:bookmarkEnd w:id="799"/>
      <w:bookmarkEnd w:id="800"/>
      <w:bookmarkEnd w:id="801"/>
      <w:bookmarkEnd w:id="802"/>
      <w:bookmarkEnd w:id="803"/>
    </w:p>
    <w:p>
      <w:pPr>
        <w:numPr>
          <w:ilvl w:val="0"/>
          <w:numId w:val="90"/>
        </w:numPr>
        <w:snapToGrid w:val="0"/>
        <w:spacing w:line="360" w:lineRule="auto"/>
        <w:ind w:firstLine="440" w:firstLineChars="200"/>
        <w:contextualSpacing/>
        <w:jc w:val="left"/>
        <w:rPr>
          <w:rFonts w:hint="eastAsia" w:ascii="宋体" w:hAnsi="宋体" w:cs="宋体"/>
          <w:sz w:val="22"/>
          <w:szCs w:val="22"/>
        </w:rPr>
      </w:pPr>
      <w:r>
        <w:rPr>
          <w:rFonts w:hint="eastAsia" w:ascii="宋体" w:hAnsi="宋体" w:cs="宋体"/>
          <w:sz w:val="22"/>
          <w:szCs w:val="22"/>
        </w:rPr>
        <w:t>应能实现开评标室的预约及审核功能。包括场地的预约、时间，真正使交易场地能够得到最大程度的有效合理利用。</w:t>
      </w:r>
    </w:p>
    <w:p>
      <w:pPr>
        <w:numPr>
          <w:ilvl w:val="0"/>
          <w:numId w:val="90"/>
        </w:numPr>
        <w:snapToGrid w:val="0"/>
        <w:spacing w:line="360" w:lineRule="auto"/>
        <w:ind w:firstLine="440" w:firstLineChars="200"/>
        <w:contextualSpacing/>
        <w:jc w:val="left"/>
        <w:rPr>
          <w:rFonts w:hint="eastAsia" w:ascii="宋体" w:hAnsi="宋体" w:cs="宋体"/>
          <w:sz w:val="22"/>
          <w:szCs w:val="22"/>
        </w:rPr>
      </w:pPr>
      <w:r>
        <w:rPr>
          <w:rFonts w:hint="eastAsia" w:ascii="宋体" w:hAnsi="宋体" w:cs="宋体"/>
          <w:sz w:val="22"/>
          <w:szCs w:val="22"/>
        </w:rPr>
        <w:t>提供评标室预约审批管理功能。</w:t>
      </w:r>
    </w:p>
    <w:bookmarkEnd w:id="740"/>
    <w:bookmarkEnd w:id="741"/>
    <w:bookmarkEnd w:id="742"/>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bookmarkStart w:id="804" w:name="_Toc16223"/>
      <w:bookmarkStart w:id="805" w:name="_Toc25312"/>
      <w:bookmarkStart w:id="806" w:name="_Toc5689"/>
      <w:bookmarkStart w:id="807" w:name="_Toc9395"/>
      <w:bookmarkStart w:id="808" w:name="_Toc4599"/>
      <w:bookmarkStart w:id="809" w:name="_Toc32513"/>
      <w:bookmarkStart w:id="810" w:name="_Toc15558"/>
      <w:r>
        <w:rPr>
          <w:rFonts w:hint="eastAsia" w:ascii="宋体" w:hAnsi="宋体" w:cs="宋体"/>
          <w:b/>
          <w:bCs/>
          <w:sz w:val="22"/>
          <w:szCs w:val="22"/>
        </w:rPr>
        <w:t>开标月历</w:t>
      </w:r>
      <w:bookmarkEnd w:id="804"/>
      <w:bookmarkEnd w:id="805"/>
      <w:bookmarkEnd w:id="806"/>
      <w:bookmarkEnd w:id="807"/>
      <w:bookmarkEnd w:id="808"/>
      <w:bookmarkEnd w:id="809"/>
      <w:bookmarkEnd w:id="810"/>
    </w:p>
    <w:p>
      <w:pPr>
        <w:snapToGrid w:val="0"/>
        <w:spacing w:line="360" w:lineRule="auto"/>
        <w:ind w:firstLine="440" w:firstLineChars="200"/>
        <w:contextualSpacing/>
        <w:jc w:val="left"/>
        <w:rPr>
          <w:rFonts w:hint="eastAsia" w:ascii="宋体" w:hAnsi="宋体" w:cs="宋体"/>
          <w:sz w:val="22"/>
          <w:szCs w:val="22"/>
        </w:rPr>
      </w:pPr>
      <w:r>
        <w:rPr>
          <w:rFonts w:hint="eastAsia" w:ascii="宋体" w:hAnsi="宋体" w:cs="宋体"/>
          <w:sz w:val="22"/>
          <w:szCs w:val="22"/>
        </w:rPr>
        <w:t>所有的招标项目的开标信息和评标信息全部以月历形式展示，以便于经办人可整体预览近期的开标安排。部门经理可通过开标月历查看所属部门所有的开标项目。</w:t>
      </w:r>
    </w:p>
    <w:p>
      <w:pPr>
        <w:keepNext/>
        <w:keepLines/>
        <w:numPr>
          <w:ilvl w:val="2"/>
          <w:numId w:val="57"/>
        </w:numPr>
        <w:snapToGrid w:val="0"/>
        <w:spacing w:before="0" w:beforeLines="0" w:after="0" w:afterLines="0" w:line="360" w:lineRule="auto"/>
        <w:ind w:left="0" w:firstLine="0"/>
        <w:jc w:val="left"/>
        <w:outlineLvl w:val="2"/>
        <w:rPr>
          <w:rFonts w:hint="eastAsia" w:ascii="宋体" w:hAnsi="宋体" w:cs="宋体"/>
          <w:b/>
          <w:bCs/>
          <w:sz w:val="22"/>
          <w:szCs w:val="22"/>
        </w:rPr>
      </w:pPr>
      <w:bookmarkStart w:id="811" w:name="_Toc5173"/>
      <w:bookmarkStart w:id="812" w:name="_Toc15325"/>
      <w:r>
        <w:rPr>
          <w:rFonts w:hint="eastAsia" w:ascii="宋体" w:hAnsi="宋体" w:cs="宋体"/>
          <w:b/>
          <w:bCs/>
          <w:sz w:val="22"/>
          <w:szCs w:val="22"/>
        </w:rPr>
        <w:t>第三方用户管理</w:t>
      </w:r>
    </w:p>
    <w:p>
      <w:pPr>
        <w:snapToGrid/>
        <w:spacing w:before="0" w:beforeLines="0" w:after="0" w:afterLines="0" w:line="360" w:lineRule="auto"/>
        <w:ind w:firstLine="440" w:firstLineChars="200"/>
        <w:contextualSpacing/>
        <w:jc w:val="left"/>
        <w:rPr>
          <w:rFonts w:hint="eastAsia" w:ascii="宋体" w:hAnsi="宋体" w:cs="宋体"/>
          <w:sz w:val="22"/>
          <w:szCs w:val="22"/>
        </w:rPr>
      </w:pPr>
      <w:r>
        <w:rPr>
          <w:rFonts w:hint="eastAsia" w:ascii="宋体" w:hAnsi="宋体" w:cs="宋体"/>
          <w:sz w:val="22"/>
          <w:szCs w:val="22"/>
        </w:rPr>
        <w:t>支持第三方用户注册登记、审核。</w:t>
      </w:r>
    </w:p>
    <w:p>
      <w:pPr>
        <w:keepNext/>
        <w:keepLines/>
        <w:numPr>
          <w:ilvl w:val="2"/>
          <w:numId w:val="57"/>
        </w:numPr>
        <w:snapToGrid w:val="0"/>
        <w:spacing w:before="0" w:beforeLines="0" w:after="0" w:afterLines="0" w:line="360" w:lineRule="auto"/>
        <w:ind w:left="0" w:firstLine="0"/>
        <w:jc w:val="left"/>
        <w:outlineLvl w:val="2"/>
        <w:rPr>
          <w:rFonts w:hint="eastAsia" w:ascii="宋体" w:hAnsi="宋体" w:cs="宋体"/>
          <w:b/>
          <w:bCs/>
          <w:sz w:val="22"/>
          <w:szCs w:val="22"/>
        </w:rPr>
      </w:pPr>
      <w:r>
        <w:rPr>
          <w:rFonts w:hint="eastAsia" w:ascii="宋体" w:hAnsi="宋体" w:cs="宋体"/>
          <w:b/>
          <w:bCs/>
          <w:sz w:val="22"/>
          <w:szCs w:val="22"/>
        </w:rPr>
        <w:t>增值服务</w:t>
      </w:r>
    </w:p>
    <w:p>
      <w:pPr>
        <w:snapToGrid/>
        <w:spacing w:before="0" w:beforeLines="0" w:after="0" w:afterLines="0" w:line="360" w:lineRule="auto"/>
        <w:ind w:firstLine="440" w:firstLineChars="200"/>
        <w:contextualSpacing/>
        <w:jc w:val="left"/>
        <w:rPr>
          <w:rFonts w:hint="eastAsia" w:ascii="宋体" w:hAnsi="宋体" w:cs="宋体"/>
          <w:sz w:val="22"/>
          <w:szCs w:val="22"/>
        </w:rPr>
      </w:pPr>
      <w:r>
        <w:rPr>
          <w:rFonts w:hint="eastAsia" w:ascii="宋体" w:hAnsi="宋体" w:cs="宋体"/>
          <w:sz w:val="22"/>
          <w:szCs w:val="22"/>
        </w:rPr>
        <w:t>面向供应商提供的服务，供应商付费后开通，提供定制化信息检索、分析服务</w:t>
      </w:r>
      <w:r>
        <w:rPr>
          <w:rFonts w:hint="eastAsia" w:ascii="宋体" w:hAnsi="宋体" w:cs="宋体"/>
          <w:sz w:val="22"/>
          <w:szCs w:val="22"/>
          <w:lang w:eastAsia="zh-CN"/>
        </w:rPr>
        <w:t>，</w:t>
      </w:r>
      <w:r>
        <w:rPr>
          <w:rFonts w:hint="eastAsia" w:ascii="宋体" w:hAnsi="宋体" w:cs="宋体"/>
          <w:sz w:val="22"/>
          <w:szCs w:val="22"/>
          <w:lang w:val="en-US" w:eastAsia="zh-CN"/>
        </w:rPr>
        <w:t>具体服务与信息链接口结合实现</w:t>
      </w:r>
      <w:r>
        <w:rPr>
          <w:rFonts w:hint="eastAsia" w:ascii="宋体" w:hAnsi="宋体" w:cs="宋体"/>
          <w:sz w:val="22"/>
          <w:szCs w:val="22"/>
        </w:rPr>
        <w:t>。</w:t>
      </w:r>
    </w:p>
    <w:p>
      <w:pPr>
        <w:keepNext/>
        <w:keepLines/>
        <w:numPr>
          <w:ilvl w:val="2"/>
          <w:numId w:val="57"/>
        </w:numPr>
        <w:snapToGrid w:val="0"/>
        <w:spacing w:before="0" w:beforeLines="0" w:after="0" w:afterLines="0" w:line="360" w:lineRule="auto"/>
        <w:ind w:left="0" w:firstLine="0"/>
        <w:jc w:val="left"/>
        <w:outlineLvl w:val="2"/>
        <w:rPr>
          <w:rFonts w:hint="eastAsia" w:ascii="宋体" w:hAnsi="宋体" w:cs="宋体"/>
          <w:b/>
          <w:bCs/>
          <w:sz w:val="22"/>
          <w:szCs w:val="22"/>
        </w:rPr>
      </w:pPr>
      <w:r>
        <w:rPr>
          <w:rFonts w:hint="eastAsia" w:ascii="宋体" w:hAnsi="宋体" w:cs="宋体"/>
          <w:b/>
          <w:bCs/>
          <w:sz w:val="22"/>
          <w:szCs w:val="22"/>
        </w:rPr>
        <w:t>支付系统</w:t>
      </w:r>
    </w:p>
    <w:p>
      <w:pPr>
        <w:keepNext/>
        <w:keepLines/>
        <w:numPr>
          <w:ilvl w:val="-1"/>
          <w:numId w:val="0"/>
        </w:numPr>
        <w:snapToGrid/>
        <w:spacing w:before="0" w:beforeLines="0" w:after="0" w:afterLines="0" w:line="360" w:lineRule="auto"/>
        <w:ind w:left="0" w:firstLine="0"/>
        <w:outlineLvl w:val="3"/>
        <w:rPr>
          <w:rFonts w:hint="eastAsia" w:ascii="宋体" w:hAnsi="宋体" w:eastAsia="宋体" w:cs="宋体"/>
          <w:b/>
          <w:bCs/>
          <w:sz w:val="22"/>
          <w:szCs w:val="22"/>
        </w:rPr>
      </w:pPr>
      <w:r>
        <w:rPr>
          <w:rFonts w:hint="eastAsia" w:ascii="宋体" w:hAnsi="宋体" w:cs="宋体"/>
          <w:b/>
          <w:bCs/>
          <w:sz w:val="22"/>
          <w:szCs w:val="22"/>
          <w:lang w:val="en-US" w:eastAsia="zh-CN"/>
        </w:rPr>
        <w:t>1.2.20.1</w:t>
      </w:r>
      <w:r>
        <w:rPr>
          <w:rFonts w:hint="eastAsia" w:ascii="宋体" w:hAnsi="宋体" w:eastAsia="宋体" w:cs="宋体"/>
          <w:b/>
          <w:bCs/>
          <w:sz w:val="22"/>
          <w:szCs w:val="22"/>
        </w:rPr>
        <w:t>设置</w:t>
      </w:r>
    </w:p>
    <w:p>
      <w:pPr>
        <w:snapToGrid/>
        <w:spacing w:before="0" w:beforeLines="0" w:after="0" w:afterLines="0" w:line="360" w:lineRule="auto"/>
        <w:ind w:firstLine="440" w:firstLineChars="200"/>
        <w:contextualSpacing/>
        <w:jc w:val="left"/>
        <w:rPr>
          <w:rFonts w:hint="eastAsia" w:ascii="宋体" w:hAnsi="宋体" w:cs="宋体"/>
          <w:sz w:val="22"/>
          <w:szCs w:val="22"/>
        </w:rPr>
      </w:pPr>
      <w:r>
        <w:rPr>
          <w:rFonts w:hint="eastAsia" w:ascii="宋体" w:hAnsi="宋体" w:cs="宋体"/>
          <w:sz w:val="22"/>
          <w:szCs w:val="22"/>
        </w:rPr>
        <w:t>支持系统管理员设置收款账户、收款人等信息设置；支持用户设置付款账户、付款方式等内容。</w:t>
      </w:r>
    </w:p>
    <w:p>
      <w:pPr>
        <w:keepNext/>
        <w:keepLines/>
        <w:numPr>
          <w:ilvl w:val="-1"/>
          <w:numId w:val="0"/>
        </w:numPr>
        <w:snapToGrid/>
        <w:spacing w:before="0" w:beforeLines="0" w:after="0" w:afterLines="0" w:line="360" w:lineRule="auto"/>
        <w:ind w:left="0" w:firstLine="0"/>
        <w:jc w:val="both"/>
        <w:outlineLvl w:val="3"/>
        <w:rPr>
          <w:rFonts w:hint="eastAsia" w:ascii="宋体" w:hAnsi="宋体" w:eastAsia="宋体" w:cs="宋体"/>
          <w:b/>
          <w:bCs/>
          <w:sz w:val="22"/>
          <w:szCs w:val="22"/>
        </w:rPr>
      </w:pPr>
      <w:r>
        <w:rPr>
          <w:rFonts w:hint="eastAsia" w:ascii="宋体" w:hAnsi="宋体" w:cs="宋体"/>
          <w:b/>
          <w:bCs/>
          <w:sz w:val="22"/>
          <w:szCs w:val="22"/>
          <w:lang w:val="en-US" w:eastAsia="zh-CN"/>
        </w:rPr>
        <w:t>1.2.20.2</w:t>
      </w:r>
      <w:r>
        <w:rPr>
          <w:rFonts w:hint="eastAsia" w:ascii="宋体" w:hAnsi="宋体" w:eastAsia="宋体" w:cs="宋体"/>
          <w:b/>
          <w:bCs/>
          <w:sz w:val="22"/>
          <w:szCs w:val="22"/>
        </w:rPr>
        <w:t>付费</w:t>
      </w:r>
    </w:p>
    <w:p>
      <w:pPr>
        <w:snapToGrid/>
        <w:spacing w:before="0" w:beforeLines="0" w:after="0" w:afterLines="0" w:line="360" w:lineRule="auto"/>
        <w:ind w:firstLine="440" w:firstLineChars="200"/>
        <w:contextualSpacing/>
        <w:jc w:val="left"/>
        <w:rPr>
          <w:rFonts w:hint="eastAsia" w:ascii="宋体" w:hAnsi="宋体" w:cs="宋体"/>
          <w:sz w:val="22"/>
          <w:szCs w:val="22"/>
          <w:lang w:val="en-US" w:eastAsia="zh-CN"/>
        </w:rPr>
      </w:pPr>
      <w:r>
        <w:rPr>
          <w:rFonts w:hint="eastAsia" w:ascii="宋体" w:hAnsi="宋体" w:cs="宋体"/>
          <w:sz w:val="22"/>
          <w:szCs w:val="22"/>
        </w:rPr>
        <w:t>提供用户付费功能模块。</w:t>
      </w:r>
    </w:p>
    <w:p>
      <w:pPr>
        <w:keepNext/>
        <w:keepLines/>
        <w:numPr>
          <w:ilvl w:val="2"/>
          <w:numId w:val="57"/>
        </w:numPr>
        <w:snapToGrid w:val="0"/>
        <w:spacing w:beforeLines="0" w:afterLines="0" w:line="360" w:lineRule="auto"/>
        <w:jc w:val="left"/>
        <w:outlineLvl w:val="2"/>
        <w:rPr>
          <w:rFonts w:hint="eastAsia" w:ascii="宋体" w:hAnsi="宋体" w:cs="宋体"/>
          <w:b/>
          <w:bCs/>
          <w:sz w:val="22"/>
          <w:szCs w:val="22"/>
        </w:rPr>
      </w:pPr>
      <w:r>
        <w:rPr>
          <w:rFonts w:hint="eastAsia" w:ascii="宋体" w:hAnsi="宋体" w:cs="宋体"/>
          <w:b/>
          <w:bCs/>
          <w:sz w:val="22"/>
          <w:szCs w:val="22"/>
        </w:rPr>
        <w:t>移动应用</w:t>
      </w:r>
      <w:bookmarkEnd w:id="811"/>
      <w:bookmarkEnd w:id="812"/>
    </w:p>
    <w:p>
      <w:pPr>
        <w:snapToGrid w:val="0"/>
        <w:spacing w:line="360" w:lineRule="auto"/>
        <w:ind w:firstLine="440" w:firstLineChars="200"/>
        <w:rPr>
          <w:rFonts w:hint="eastAsia" w:ascii="宋体" w:hAnsi="宋体" w:cs="宋体"/>
          <w:sz w:val="22"/>
          <w:szCs w:val="22"/>
        </w:rPr>
      </w:pPr>
      <w:r>
        <w:rPr>
          <w:rFonts w:hint="eastAsia" w:ascii="宋体" w:hAnsi="宋体" w:cs="宋体"/>
          <w:sz w:val="22"/>
          <w:szCs w:val="22"/>
        </w:rPr>
        <w:t>基于手机APP/微信/钉钉等，可以实现内部业务审批和对供应商的信息推送，供应商还可以基于移动端进行报名、报价等应标工作。</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经办人端</w:t>
      </w:r>
    </w:p>
    <w:p>
      <w:pPr>
        <w:keepNext/>
        <w:keepLines/>
        <w:numPr>
          <w:ilvl w:val="4"/>
          <w:numId w:val="57"/>
        </w:numPr>
        <w:snapToGrid w:val="0"/>
        <w:spacing w:line="360" w:lineRule="auto"/>
        <w:outlineLvl w:val="4"/>
        <w:rPr>
          <w:rFonts w:hint="eastAsia" w:ascii="宋体" w:hAnsi="宋体" w:cs="宋体"/>
          <w:b/>
          <w:bCs/>
          <w:sz w:val="22"/>
          <w:szCs w:val="22"/>
        </w:rPr>
      </w:pPr>
      <w:r>
        <w:rPr>
          <w:rFonts w:hint="eastAsia" w:ascii="宋体" w:hAnsi="宋体" w:cs="宋体"/>
          <w:b/>
          <w:bCs/>
          <w:sz w:val="22"/>
          <w:szCs w:val="22"/>
        </w:rPr>
        <w:t>移动审批</w:t>
      </w:r>
    </w:p>
    <w:p>
      <w:pPr>
        <w:snapToGrid w:val="0"/>
        <w:spacing w:line="360" w:lineRule="auto"/>
        <w:ind w:firstLine="440" w:firstLineChars="200"/>
        <w:rPr>
          <w:rFonts w:hint="eastAsia" w:ascii="宋体" w:hAnsi="宋体" w:cs="宋体"/>
          <w:sz w:val="22"/>
          <w:szCs w:val="22"/>
        </w:rPr>
      </w:pPr>
      <w:r>
        <w:rPr>
          <w:rFonts w:hint="eastAsia" w:ascii="宋体" w:hAnsi="宋体" w:cs="宋体"/>
          <w:sz w:val="22"/>
          <w:szCs w:val="22"/>
        </w:rPr>
        <w:t>主要面向审批人员，</w:t>
      </w:r>
      <w:r>
        <w:rPr>
          <w:rFonts w:hint="eastAsia" w:ascii="宋体" w:hAnsi="宋体" w:cs="宋体"/>
          <w:sz w:val="22"/>
          <w:szCs w:val="22"/>
          <w:lang w:val="en-US" w:eastAsia="zh-CN"/>
        </w:rPr>
        <w:t>提供需求申报、项目立项、招标/采购文件、项目澄清、项目定标、合同审批、合同履约订单等，</w:t>
      </w:r>
      <w:r>
        <w:rPr>
          <w:rFonts w:hint="eastAsia" w:ascii="宋体" w:hAnsi="宋体" w:cs="宋体"/>
          <w:sz w:val="22"/>
          <w:szCs w:val="22"/>
        </w:rPr>
        <w:t>在不同业务场景中使用手机进行快捷审批。</w:t>
      </w:r>
    </w:p>
    <w:p>
      <w:pPr>
        <w:keepNext/>
        <w:keepLines/>
        <w:numPr>
          <w:ilvl w:val="4"/>
          <w:numId w:val="57"/>
        </w:numPr>
        <w:snapToGrid w:val="0"/>
        <w:spacing w:line="360" w:lineRule="auto"/>
        <w:outlineLvl w:val="4"/>
        <w:rPr>
          <w:rFonts w:hint="eastAsia" w:ascii="宋体" w:hAnsi="宋体" w:cs="宋体"/>
          <w:b/>
          <w:bCs/>
          <w:sz w:val="22"/>
          <w:szCs w:val="22"/>
        </w:rPr>
      </w:pPr>
      <w:r>
        <w:rPr>
          <w:rFonts w:hint="eastAsia" w:ascii="宋体" w:hAnsi="宋体" w:cs="宋体"/>
          <w:b/>
          <w:bCs/>
          <w:sz w:val="22"/>
          <w:szCs w:val="22"/>
        </w:rPr>
        <w:t>项目信息查看</w:t>
      </w:r>
    </w:p>
    <w:p>
      <w:pPr>
        <w:snapToGrid w:val="0"/>
        <w:spacing w:line="360" w:lineRule="auto"/>
        <w:ind w:firstLine="440" w:firstLineChars="200"/>
        <w:rPr>
          <w:rFonts w:hint="eastAsia" w:ascii="宋体" w:hAnsi="宋体" w:cs="宋体"/>
          <w:sz w:val="22"/>
          <w:szCs w:val="22"/>
        </w:rPr>
      </w:pPr>
      <w:r>
        <w:rPr>
          <w:rFonts w:hint="eastAsia" w:ascii="宋体" w:hAnsi="宋体" w:cs="宋体"/>
          <w:sz w:val="22"/>
          <w:szCs w:val="22"/>
        </w:rPr>
        <w:t>使用手机快捷查看项目信息，包括</w:t>
      </w:r>
      <w:r>
        <w:rPr>
          <w:rFonts w:hint="eastAsia" w:ascii="宋体" w:hAnsi="宋体" w:cs="宋体"/>
          <w:sz w:val="22"/>
          <w:szCs w:val="22"/>
          <w:lang w:val="en-US" w:eastAsia="zh-CN"/>
        </w:rPr>
        <w:t>需求申报、项目立项、招标/采购文件、项目澄清、项目定标、合同审批、合同履约订单</w:t>
      </w:r>
      <w:r>
        <w:rPr>
          <w:rFonts w:hint="eastAsia" w:ascii="宋体" w:hAnsi="宋体" w:cs="宋体"/>
          <w:sz w:val="22"/>
          <w:szCs w:val="22"/>
        </w:rPr>
        <w:t>等内容。</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供应商端</w:t>
      </w:r>
    </w:p>
    <w:p>
      <w:pPr>
        <w:keepNext/>
        <w:keepLines/>
        <w:numPr>
          <w:ilvl w:val="4"/>
          <w:numId w:val="57"/>
        </w:numPr>
        <w:snapToGrid w:val="0"/>
        <w:spacing w:line="360" w:lineRule="auto"/>
        <w:outlineLvl w:val="4"/>
        <w:rPr>
          <w:rFonts w:hint="eastAsia" w:ascii="宋体" w:hAnsi="宋体" w:cs="宋体"/>
          <w:b/>
          <w:bCs/>
          <w:sz w:val="22"/>
          <w:szCs w:val="22"/>
        </w:rPr>
      </w:pPr>
      <w:r>
        <w:rPr>
          <w:rFonts w:hint="eastAsia" w:ascii="宋体" w:hAnsi="宋体" w:cs="宋体"/>
          <w:b/>
          <w:bCs/>
          <w:sz w:val="22"/>
          <w:szCs w:val="22"/>
        </w:rPr>
        <w:t>用户登录</w:t>
      </w:r>
    </w:p>
    <w:p>
      <w:pPr>
        <w:snapToGrid w:val="0"/>
        <w:spacing w:line="360" w:lineRule="auto"/>
        <w:ind w:firstLine="440" w:firstLineChars="200"/>
        <w:rPr>
          <w:rFonts w:hint="eastAsia" w:ascii="宋体" w:hAnsi="宋体" w:cs="宋体"/>
          <w:sz w:val="22"/>
          <w:szCs w:val="22"/>
        </w:rPr>
      </w:pPr>
      <w:r>
        <w:rPr>
          <w:rFonts w:hint="eastAsia" w:ascii="宋体" w:hAnsi="宋体" w:cs="宋体"/>
          <w:sz w:val="22"/>
          <w:szCs w:val="22"/>
        </w:rPr>
        <w:t>系统支持账号密码登录和移动证书登录两种方式，在申请并下载移动证书后，用户可通过移动证书扫码登录系统。</w:t>
      </w:r>
    </w:p>
    <w:p>
      <w:pPr>
        <w:snapToGrid w:val="0"/>
        <w:spacing w:line="360" w:lineRule="auto"/>
        <w:ind w:firstLine="440" w:firstLineChars="200"/>
        <w:rPr>
          <w:rFonts w:hint="eastAsia" w:ascii="宋体" w:hAnsi="宋体" w:cs="宋体"/>
          <w:sz w:val="22"/>
          <w:szCs w:val="22"/>
        </w:rPr>
      </w:pPr>
      <w:r>
        <w:rPr>
          <w:rFonts w:hint="eastAsia" w:ascii="宋体" w:hAnsi="宋体" w:cs="宋体"/>
          <w:sz w:val="22"/>
          <w:szCs w:val="22"/>
        </w:rPr>
        <w:t>注：移动证书登录CA支持。</w:t>
      </w:r>
    </w:p>
    <w:p>
      <w:pPr>
        <w:keepNext/>
        <w:keepLines/>
        <w:numPr>
          <w:ilvl w:val="4"/>
          <w:numId w:val="57"/>
        </w:numPr>
        <w:snapToGrid w:val="0"/>
        <w:spacing w:line="360" w:lineRule="auto"/>
        <w:outlineLvl w:val="4"/>
        <w:rPr>
          <w:rFonts w:hint="eastAsia" w:ascii="宋体" w:hAnsi="宋体" w:cs="宋体"/>
          <w:b/>
          <w:bCs/>
          <w:sz w:val="22"/>
          <w:szCs w:val="22"/>
        </w:rPr>
      </w:pPr>
      <w:r>
        <w:rPr>
          <w:rFonts w:hint="eastAsia" w:ascii="宋体" w:hAnsi="宋体" w:cs="宋体"/>
          <w:b/>
          <w:bCs/>
          <w:sz w:val="22"/>
          <w:szCs w:val="22"/>
        </w:rPr>
        <w:t>移动桌面</w:t>
      </w:r>
    </w:p>
    <w:p>
      <w:pPr>
        <w:snapToGrid w:val="0"/>
        <w:spacing w:line="360" w:lineRule="auto"/>
        <w:ind w:firstLine="440" w:firstLineChars="200"/>
        <w:rPr>
          <w:rFonts w:hint="eastAsia" w:ascii="宋体" w:hAnsi="宋体" w:cs="宋体"/>
          <w:sz w:val="22"/>
          <w:szCs w:val="22"/>
        </w:rPr>
      </w:pPr>
      <w:r>
        <w:rPr>
          <w:rFonts w:hint="eastAsia" w:ascii="宋体" w:hAnsi="宋体" w:cs="宋体"/>
          <w:sz w:val="22"/>
          <w:szCs w:val="22"/>
        </w:rPr>
        <w:t>供应商登录后的主界面，包括公告查看、我参与的项目、今日交易的项目、近期交易的项目等信息。</w:t>
      </w:r>
    </w:p>
    <w:p>
      <w:pPr>
        <w:keepNext/>
        <w:keepLines/>
        <w:numPr>
          <w:ilvl w:val="4"/>
          <w:numId w:val="57"/>
        </w:numPr>
        <w:snapToGrid w:val="0"/>
        <w:spacing w:line="360" w:lineRule="auto"/>
        <w:outlineLvl w:val="4"/>
        <w:rPr>
          <w:rFonts w:hint="eastAsia" w:ascii="宋体" w:hAnsi="宋体" w:cs="宋体"/>
          <w:b/>
          <w:bCs/>
          <w:sz w:val="22"/>
          <w:szCs w:val="22"/>
        </w:rPr>
      </w:pPr>
      <w:r>
        <w:rPr>
          <w:rFonts w:hint="eastAsia" w:ascii="宋体" w:hAnsi="宋体" w:cs="宋体"/>
          <w:b/>
          <w:bCs/>
          <w:sz w:val="22"/>
          <w:szCs w:val="22"/>
        </w:rPr>
        <w:t>公告查看</w:t>
      </w:r>
    </w:p>
    <w:p>
      <w:pPr>
        <w:snapToGrid w:val="0"/>
        <w:spacing w:line="360" w:lineRule="auto"/>
        <w:ind w:firstLine="440" w:firstLineChars="200"/>
        <w:rPr>
          <w:rFonts w:hint="eastAsia" w:ascii="宋体" w:hAnsi="宋体" w:cs="宋体"/>
          <w:sz w:val="22"/>
          <w:szCs w:val="22"/>
        </w:rPr>
      </w:pPr>
      <w:r>
        <w:rPr>
          <w:rFonts w:hint="eastAsia" w:ascii="宋体" w:hAnsi="宋体" w:cs="宋体"/>
          <w:sz w:val="22"/>
          <w:szCs w:val="22"/>
        </w:rPr>
        <w:t>主要包括采购公告与系统公告两部分，供应商使用手机可查看采购网站中的公告信息与系统管理员发布的系统公告信息。</w:t>
      </w:r>
    </w:p>
    <w:p>
      <w:pPr>
        <w:keepNext/>
        <w:keepLines/>
        <w:numPr>
          <w:ilvl w:val="4"/>
          <w:numId w:val="57"/>
        </w:numPr>
        <w:snapToGrid w:val="0"/>
        <w:spacing w:line="360" w:lineRule="auto"/>
        <w:outlineLvl w:val="4"/>
        <w:rPr>
          <w:rFonts w:hint="eastAsia" w:ascii="宋体" w:hAnsi="宋体" w:cs="宋体"/>
          <w:b/>
          <w:bCs/>
          <w:sz w:val="22"/>
          <w:szCs w:val="22"/>
        </w:rPr>
      </w:pPr>
      <w:r>
        <w:rPr>
          <w:rFonts w:hint="eastAsia" w:ascii="宋体" w:hAnsi="宋体" w:cs="宋体"/>
          <w:b/>
          <w:bCs/>
          <w:sz w:val="22"/>
          <w:szCs w:val="22"/>
        </w:rPr>
        <w:t>项目报名</w:t>
      </w:r>
    </w:p>
    <w:p>
      <w:pPr>
        <w:snapToGrid w:val="0"/>
        <w:spacing w:line="360" w:lineRule="auto"/>
        <w:ind w:firstLine="440" w:firstLineChars="200"/>
        <w:rPr>
          <w:rFonts w:hint="eastAsia" w:ascii="宋体" w:hAnsi="宋体" w:cs="宋体"/>
          <w:sz w:val="22"/>
          <w:szCs w:val="22"/>
        </w:rPr>
      </w:pPr>
      <w:r>
        <w:rPr>
          <w:rFonts w:hint="eastAsia" w:ascii="宋体" w:hAnsi="宋体" w:cs="宋体"/>
          <w:sz w:val="22"/>
          <w:szCs w:val="22"/>
        </w:rPr>
        <w:t>实现供应商使用移动端进行报名、查看已报名项目等功能。</w:t>
      </w:r>
    </w:p>
    <w:p>
      <w:pPr>
        <w:keepNext/>
        <w:keepLines/>
        <w:numPr>
          <w:ilvl w:val="4"/>
          <w:numId w:val="57"/>
        </w:numPr>
        <w:snapToGrid w:val="0"/>
        <w:spacing w:line="360" w:lineRule="auto"/>
        <w:outlineLvl w:val="4"/>
        <w:rPr>
          <w:rFonts w:hint="eastAsia" w:ascii="宋体" w:hAnsi="宋体" w:cs="宋体"/>
          <w:b/>
          <w:bCs/>
          <w:sz w:val="22"/>
          <w:szCs w:val="22"/>
        </w:rPr>
      </w:pPr>
      <w:r>
        <w:rPr>
          <w:rFonts w:hint="eastAsia" w:ascii="宋体" w:hAnsi="宋体" w:cs="宋体"/>
          <w:b/>
          <w:bCs/>
          <w:sz w:val="22"/>
          <w:szCs w:val="22"/>
        </w:rPr>
        <w:t>项目信息查看</w:t>
      </w:r>
    </w:p>
    <w:p>
      <w:pPr>
        <w:snapToGrid w:val="0"/>
        <w:spacing w:line="360" w:lineRule="auto"/>
        <w:ind w:firstLine="440" w:firstLineChars="200"/>
        <w:rPr>
          <w:rFonts w:hint="eastAsia" w:ascii="宋体" w:hAnsi="宋体" w:cs="宋体"/>
          <w:sz w:val="22"/>
          <w:szCs w:val="22"/>
        </w:rPr>
      </w:pPr>
      <w:r>
        <w:rPr>
          <w:rFonts w:hint="eastAsia" w:ascii="宋体" w:hAnsi="宋体" w:cs="宋体"/>
          <w:sz w:val="22"/>
          <w:szCs w:val="22"/>
        </w:rPr>
        <w:t>实现供应商使用移动端对项目信息进行查看，包括邀请函、公告、澄清信息、结果公告、中标结果等。</w:t>
      </w:r>
    </w:p>
    <w:p>
      <w:pPr>
        <w:keepNext/>
        <w:keepLines/>
        <w:numPr>
          <w:ilvl w:val="4"/>
          <w:numId w:val="57"/>
        </w:numPr>
        <w:snapToGrid w:val="0"/>
        <w:spacing w:line="360" w:lineRule="auto"/>
        <w:outlineLvl w:val="4"/>
        <w:rPr>
          <w:rFonts w:hint="eastAsia" w:ascii="宋体" w:hAnsi="宋体" w:cs="宋体"/>
          <w:b/>
          <w:bCs/>
          <w:sz w:val="22"/>
          <w:szCs w:val="22"/>
        </w:rPr>
      </w:pPr>
      <w:r>
        <w:rPr>
          <w:rFonts w:hint="eastAsia" w:ascii="宋体" w:hAnsi="宋体" w:cs="宋体"/>
          <w:b/>
          <w:bCs/>
          <w:sz w:val="22"/>
          <w:szCs w:val="22"/>
        </w:rPr>
        <w:t>移动端加解密</w:t>
      </w:r>
    </w:p>
    <w:p>
      <w:pPr>
        <w:snapToGrid w:val="0"/>
        <w:spacing w:line="360" w:lineRule="auto"/>
        <w:ind w:firstLine="440" w:firstLineChars="200"/>
        <w:rPr>
          <w:rFonts w:hint="eastAsia" w:ascii="宋体" w:hAnsi="宋体" w:cs="宋体"/>
          <w:sz w:val="22"/>
          <w:szCs w:val="22"/>
        </w:rPr>
      </w:pPr>
      <w:r>
        <w:rPr>
          <w:rFonts w:hint="eastAsia" w:ascii="宋体" w:hAnsi="宋体" w:cs="宋体"/>
          <w:sz w:val="22"/>
          <w:szCs w:val="22"/>
        </w:rPr>
        <w:t>在办理CA移动证书后，将证书下载到手机中，供应商可以使用手机对招标文件进行扫码加密、扫码解密。</w:t>
      </w:r>
    </w:p>
    <w:p>
      <w:pPr>
        <w:snapToGrid w:val="0"/>
        <w:spacing w:line="360" w:lineRule="auto"/>
        <w:ind w:firstLine="440" w:firstLineChars="200"/>
        <w:rPr>
          <w:rFonts w:hint="eastAsia" w:ascii="宋体" w:hAnsi="宋体" w:cs="宋体"/>
          <w:sz w:val="22"/>
          <w:szCs w:val="22"/>
        </w:rPr>
      </w:pPr>
      <w:r>
        <w:rPr>
          <w:rFonts w:hint="eastAsia" w:ascii="宋体" w:hAnsi="宋体" w:cs="宋体"/>
          <w:sz w:val="22"/>
          <w:szCs w:val="22"/>
        </w:rPr>
        <w:t>注：该功能需要CA支持。</w:t>
      </w:r>
    </w:p>
    <w:p>
      <w:pPr>
        <w:keepNext/>
        <w:keepLines/>
        <w:numPr>
          <w:ilvl w:val="4"/>
          <w:numId w:val="57"/>
        </w:numPr>
        <w:snapToGrid w:val="0"/>
        <w:spacing w:line="360" w:lineRule="auto"/>
        <w:outlineLvl w:val="4"/>
        <w:rPr>
          <w:rFonts w:hint="eastAsia" w:ascii="宋体" w:hAnsi="宋体" w:cs="宋体"/>
          <w:b/>
          <w:bCs/>
          <w:sz w:val="22"/>
          <w:szCs w:val="22"/>
        </w:rPr>
      </w:pPr>
      <w:r>
        <w:rPr>
          <w:rFonts w:hint="eastAsia" w:ascii="宋体" w:hAnsi="宋体" w:cs="宋体"/>
          <w:b/>
          <w:bCs/>
          <w:sz w:val="22"/>
          <w:szCs w:val="22"/>
        </w:rPr>
        <w:t>移动端签章</w:t>
      </w:r>
    </w:p>
    <w:p>
      <w:pPr>
        <w:snapToGrid w:val="0"/>
        <w:spacing w:line="360" w:lineRule="auto"/>
        <w:ind w:firstLine="440" w:firstLineChars="200"/>
        <w:rPr>
          <w:rFonts w:hint="eastAsia" w:ascii="宋体" w:hAnsi="宋体" w:cs="宋体"/>
          <w:sz w:val="22"/>
          <w:szCs w:val="22"/>
        </w:rPr>
      </w:pPr>
      <w:r>
        <w:rPr>
          <w:rFonts w:hint="eastAsia" w:ascii="宋体" w:hAnsi="宋体" w:cs="宋体"/>
          <w:sz w:val="22"/>
          <w:szCs w:val="22"/>
        </w:rPr>
        <w:t>在办理CA移动证书后，将签章信息存储在手机端，支持供应商使用手机对投标文件、开标一览表、合同等文档进行签章。</w:t>
      </w:r>
    </w:p>
    <w:p>
      <w:pPr>
        <w:snapToGrid w:val="0"/>
        <w:spacing w:line="360" w:lineRule="auto"/>
        <w:ind w:firstLine="440" w:firstLineChars="200"/>
        <w:rPr>
          <w:rFonts w:hint="eastAsia" w:ascii="宋体" w:hAnsi="宋体" w:cs="宋体"/>
          <w:sz w:val="22"/>
          <w:szCs w:val="22"/>
        </w:rPr>
      </w:pPr>
      <w:r>
        <w:rPr>
          <w:rFonts w:hint="eastAsia" w:ascii="宋体" w:hAnsi="宋体" w:cs="宋体"/>
          <w:sz w:val="22"/>
          <w:szCs w:val="22"/>
        </w:rPr>
        <w:t>注：该功能需要CA支持。</w:t>
      </w:r>
    </w:p>
    <w:p>
      <w:pPr>
        <w:keepNext/>
        <w:keepLines/>
        <w:numPr>
          <w:ilvl w:val="4"/>
          <w:numId w:val="57"/>
        </w:numPr>
        <w:snapToGrid w:val="0"/>
        <w:spacing w:line="360" w:lineRule="auto"/>
        <w:outlineLvl w:val="4"/>
        <w:rPr>
          <w:rFonts w:hint="eastAsia" w:ascii="宋体" w:hAnsi="宋体" w:cs="宋体"/>
          <w:b/>
          <w:bCs/>
          <w:sz w:val="22"/>
          <w:szCs w:val="22"/>
        </w:rPr>
      </w:pPr>
      <w:r>
        <w:rPr>
          <w:rFonts w:hint="eastAsia" w:ascii="宋体" w:hAnsi="宋体" w:cs="宋体"/>
          <w:b/>
          <w:bCs/>
          <w:sz w:val="22"/>
          <w:szCs w:val="22"/>
        </w:rPr>
        <w:t>在线报价</w:t>
      </w:r>
    </w:p>
    <w:p>
      <w:pPr>
        <w:snapToGrid w:val="0"/>
        <w:spacing w:line="360" w:lineRule="auto"/>
        <w:ind w:firstLine="440" w:firstLineChars="200"/>
        <w:rPr>
          <w:rFonts w:hint="eastAsia" w:ascii="宋体" w:hAnsi="宋体" w:cs="宋体"/>
          <w:sz w:val="22"/>
          <w:szCs w:val="22"/>
        </w:rPr>
      </w:pPr>
      <w:r>
        <w:rPr>
          <w:rFonts w:hint="eastAsia" w:ascii="宋体" w:hAnsi="宋体" w:cs="宋体"/>
          <w:sz w:val="22"/>
          <w:szCs w:val="22"/>
        </w:rPr>
        <w:t>对于询比、竞价采购方式，支持供应商使用手机进行在线报价。</w:t>
      </w:r>
    </w:p>
    <w:p>
      <w:pPr>
        <w:keepNext/>
        <w:keepLines/>
        <w:numPr>
          <w:ilvl w:val="2"/>
          <w:numId w:val="57"/>
        </w:numPr>
        <w:snapToGrid w:val="0"/>
        <w:spacing w:line="360" w:lineRule="auto"/>
        <w:jc w:val="left"/>
        <w:outlineLvl w:val="2"/>
        <w:rPr>
          <w:rFonts w:hint="eastAsia" w:ascii="宋体" w:hAnsi="宋体" w:cs="宋体"/>
          <w:b/>
          <w:bCs/>
          <w:sz w:val="22"/>
          <w:szCs w:val="22"/>
        </w:rPr>
      </w:pPr>
      <w:bookmarkStart w:id="813" w:name="_Toc32215"/>
      <w:bookmarkStart w:id="814" w:name="_Toc1617"/>
      <w:bookmarkStart w:id="815" w:name="_Toc27406"/>
      <w:r>
        <w:rPr>
          <w:rFonts w:hint="eastAsia" w:ascii="宋体" w:hAnsi="宋体" w:cs="宋体"/>
          <w:b/>
          <w:bCs/>
          <w:sz w:val="22"/>
          <w:szCs w:val="22"/>
        </w:rPr>
        <w:t>接口集成</w:t>
      </w:r>
      <w:bookmarkEnd w:id="813"/>
      <w:bookmarkEnd w:id="814"/>
      <w:bookmarkEnd w:id="815"/>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bookmarkStart w:id="816" w:name="_Toc9812"/>
      <w:bookmarkStart w:id="817" w:name="_Toc4684"/>
      <w:bookmarkStart w:id="818" w:name="_Toc22718"/>
      <w:bookmarkStart w:id="819" w:name="_Toc13399"/>
      <w:bookmarkStart w:id="820" w:name="_Toc21799"/>
      <w:bookmarkStart w:id="821" w:name="_Toc3812"/>
      <w:bookmarkStart w:id="822" w:name="_Toc23425"/>
      <w:r>
        <w:rPr>
          <w:rFonts w:hint="eastAsia" w:ascii="宋体" w:hAnsi="宋体" w:cs="宋体"/>
          <w:b/>
          <w:bCs/>
          <w:sz w:val="22"/>
          <w:szCs w:val="22"/>
        </w:rPr>
        <w:t>短信邮件</w:t>
      </w:r>
      <w:bookmarkEnd w:id="816"/>
      <w:bookmarkEnd w:id="817"/>
      <w:bookmarkEnd w:id="818"/>
      <w:bookmarkEnd w:id="819"/>
      <w:bookmarkEnd w:id="820"/>
      <w:bookmarkEnd w:id="821"/>
      <w:bookmarkEnd w:id="822"/>
    </w:p>
    <w:p>
      <w:pPr>
        <w:widowControl/>
        <w:snapToGrid w:val="0"/>
        <w:spacing w:line="360" w:lineRule="auto"/>
        <w:ind w:firstLine="440" w:firstLineChars="200"/>
        <w:jc w:val="left"/>
        <w:rPr>
          <w:rFonts w:hint="eastAsia" w:ascii="宋体" w:hAnsi="宋体" w:cs="宋体"/>
          <w:kern w:val="0"/>
          <w:sz w:val="22"/>
          <w:szCs w:val="22"/>
        </w:rPr>
      </w:pPr>
      <w:r>
        <w:rPr>
          <w:rFonts w:hint="eastAsia" w:ascii="宋体" w:hAnsi="宋体" w:cs="宋体"/>
          <w:kern w:val="0"/>
          <w:sz w:val="22"/>
          <w:szCs w:val="22"/>
        </w:rPr>
        <w:t>支持即时通讯工具，需客户方提供短信、邮件平台集成。</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国家服务平台</w:t>
      </w:r>
    </w:p>
    <w:p>
      <w:pPr>
        <w:widowControl/>
        <w:snapToGrid w:val="0"/>
        <w:spacing w:line="360" w:lineRule="auto"/>
        <w:ind w:firstLine="440" w:firstLineChars="200"/>
        <w:jc w:val="left"/>
        <w:rPr>
          <w:rFonts w:hint="eastAsia" w:ascii="宋体" w:hAnsi="宋体" w:cs="宋体"/>
          <w:sz w:val="22"/>
          <w:szCs w:val="22"/>
        </w:rPr>
      </w:pPr>
      <w:r>
        <w:rPr>
          <w:rFonts w:hint="eastAsia" w:ascii="宋体" w:hAnsi="宋体" w:cs="宋体"/>
          <w:sz w:val="22"/>
          <w:szCs w:val="22"/>
        </w:rPr>
        <w:t>实现与中国招标投标服务公共平台对接，实现招标信息与国家平台对接。</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OA平台</w:t>
      </w:r>
    </w:p>
    <w:p>
      <w:pPr>
        <w:snapToGrid w:val="0"/>
        <w:spacing w:line="360" w:lineRule="auto"/>
        <w:ind w:firstLine="440" w:firstLineChars="200"/>
        <w:jc w:val="left"/>
        <w:rPr>
          <w:rFonts w:hint="eastAsia" w:ascii="宋体" w:hAnsi="宋体" w:cs="宋体"/>
          <w:kern w:val="0"/>
          <w:sz w:val="22"/>
          <w:szCs w:val="22"/>
        </w:rPr>
      </w:pPr>
      <w:r>
        <w:rPr>
          <w:rFonts w:hint="eastAsia" w:ascii="宋体" w:hAnsi="宋体" w:cs="宋体"/>
          <w:kern w:val="0"/>
          <w:sz w:val="22"/>
          <w:szCs w:val="22"/>
        </w:rPr>
        <w:t>实现与集团组织架构同步、</w:t>
      </w:r>
      <w:bookmarkEnd w:id="743"/>
      <w:bookmarkEnd w:id="744"/>
      <w:bookmarkEnd w:id="745"/>
      <w:r>
        <w:rPr>
          <w:rFonts w:hint="eastAsia" w:ascii="宋体" w:hAnsi="宋体" w:cs="宋体"/>
          <w:kern w:val="0"/>
          <w:sz w:val="22"/>
          <w:szCs w:val="22"/>
        </w:rPr>
        <w:t>统一身份认证集成对接。</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CA集成</w:t>
      </w:r>
    </w:p>
    <w:p>
      <w:pPr>
        <w:widowControl/>
        <w:snapToGrid w:val="0"/>
        <w:spacing w:line="360" w:lineRule="auto"/>
        <w:ind w:firstLine="440" w:firstLineChars="200"/>
        <w:jc w:val="left"/>
        <w:rPr>
          <w:rFonts w:hint="eastAsia" w:ascii="宋体" w:hAnsi="宋体" w:cs="宋体"/>
          <w:kern w:val="0"/>
          <w:sz w:val="22"/>
          <w:szCs w:val="22"/>
        </w:rPr>
      </w:pPr>
      <w:r>
        <w:rPr>
          <w:rFonts w:hint="eastAsia" w:ascii="宋体" w:hAnsi="宋体" w:cs="宋体"/>
          <w:kern w:val="0"/>
          <w:sz w:val="22"/>
          <w:szCs w:val="22"/>
        </w:rPr>
        <w:t>支持与CA集成，实现身份认证、加解密、电子签名、电子签章。</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银企直连</w:t>
      </w:r>
    </w:p>
    <w:p>
      <w:pPr>
        <w:widowControl/>
        <w:snapToGrid w:val="0"/>
        <w:spacing w:line="360" w:lineRule="auto"/>
        <w:ind w:firstLine="440" w:firstLineChars="200"/>
        <w:jc w:val="left"/>
        <w:rPr>
          <w:rFonts w:hint="eastAsia" w:ascii="宋体" w:hAnsi="宋体" w:cs="宋体"/>
          <w:sz w:val="22"/>
          <w:szCs w:val="22"/>
        </w:rPr>
      </w:pPr>
      <w:r>
        <w:rPr>
          <w:rFonts w:hint="eastAsia" w:ascii="宋体" w:hAnsi="宋体" w:cs="宋体"/>
          <w:sz w:val="22"/>
          <w:szCs w:val="22"/>
        </w:rPr>
        <w:t>实现与银行支付平台对接，实现标书费、保证金等费用在线缴纳。</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电子保函</w:t>
      </w:r>
    </w:p>
    <w:p>
      <w:pPr>
        <w:snapToGrid w:val="0"/>
        <w:spacing w:line="360" w:lineRule="auto"/>
        <w:jc w:val="left"/>
        <w:rPr>
          <w:rFonts w:hint="eastAsia" w:ascii="宋体" w:hAnsi="宋体" w:cs="宋体"/>
          <w:kern w:val="0"/>
          <w:sz w:val="22"/>
          <w:szCs w:val="22"/>
        </w:rPr>
      </w:pPr>
      <w:r>
        <w:rPr>
          <w:rFonts w:hint="eastAsia" w:ascii="宋体" w:hAnsi="宋体" w:cs="宋体"/>
          <w:kern w:val="0"/>
          <w:sz w:val="22"/>
          <w:szCs w:val="22"/>
        </w:rPr>
        <w:t xml:space="preserve">    实现与电子保函厂商对接，实现电子保函对接。</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电子商城对接</w:t>
      </w:r>
    </w:p>
    <w:p>
      <w:pPr>
        <w:snapToGrid w:val="0"/>
        <w:spacing w:line="360" w:lineRule="auto"/>
        <w:jc w:val="left"/>
        <w:rPr>
          <w:rFonts w:hint="eastAsia" w:ascii="宋体" w:hAnsi="宋体" w:cs="宋体"/>
          <w:kern w:val="0"/>
          <w:sz w:val="22"/>
          <w:szCs w:val="22"/>
        </w:rPr>
      </w:pPr>
      <w:r>
        <w:rPr>
          <w:rFonts w:hint="eastAsia" w:ascii="宋体" w:hAnsi="宋体" w:cs="宋体"/>
          <w:kern w:val="0"/>
          <w:sz w:val="22"/>
          <w:szCs w:val="22"/>
        </w:rPr>
        <w:t xml:space="preserve">    可实现与京东/苏宁/得力</w:t>
      </w:r>
      <w:r>
        <w:rPr>
          <w:rFonts w:hint="eastAsia" w:ascii="宋体" w:hAnsi="宋体" w:cs="宋体"/>
          <w:kern w:val="0"/>
          <w:sz w:val="22"/>
          <w:szCs w:val="22"/>
          <w:lang w:val="en-US" w:eastAsia="zh-CN"/>
        </w:rPr>
        <w:t>三家</w:t>
      </w:r>
      <w:r>
        <w:rPr>
          <w:rFonts w:hint="eastAsia" w:ascii="宋体" w:hAnsi="宋体" w:cs="宋体"/>
          <w:kern w:val="0"/>
          <w:sz w:val="22"/>
          <w:szCs w:val="22"/>
        </w:rPr>
        <w:t>主流商城平台对接。</w:t>
      </w:r>
    </w:p>
    <w:p>
      <w:pPr>
        <w:keepNext/>
        <w:keepLines/>
        <w:numPr>
          <w:ilvl w:val="1"/>
          <w:numId w:val="57"/>
        </w:numPr>
        <w:snapToGrid w:val="0"/>
        <w:spacing w:line="360" w:lineRule="auto"/>
        <w:jc w:val="left"/>
        <w:outlineLvl w:val="1"/>
        <w:rPr>
          <w:rFonts w:hint="eastAsia" w:ascii="宋体" w:hAnsi="宋体" w:cs="宋体"/>
          <w:b/>
          <w:bCs/>
          <w:sz w:val="22"/>
          <w:szCs w:val="22"/>
        </w:rPr>
      </w:pPr>
      <w:bookmarkStart w:id="823" w:name="_Toc17279"/>
      <w:bookmarkStart w:id="824" w:name="_Toc20676"/>
      <w:bookmarkStart w:id="825" w:name="_Toc13153"/>
      <w:bookmarkStart w:id="826" w:name="_Toc110279035"/>
      <w:r>
        <w:rPr>
          <w:rFonts w:hint="eastAsia" w:ascii="宋体" w:hAnsi="宋体" w:cs="宋体"/>
          <w:b/>
          <w:bCs/>
          <w:sz w:val="22"/>
          <w:szCs w:val="22"/>
        </w:rPr>
        <w:t>物资链</w:t>
      </w:r>
      <w:bookmarkEnd w:id="823"/>
      <w:r>
        <w:rPr>
          <w:rFonts w:hint="eastAsia" w:ascii="宋体" w:hAnsi="宋体" w:cs="宋体"/>
          <w:b/>
          <w:bCs/>
          <w:sz w:val="22"/>
          <w:szCs w:val="22"/>
        </w:rPr>
        <w:t>建设内容</w:t>
      </w:r>
      <w:bookmarkEnd w:id="824"/>
      <w:bookmarkEnd w:id="825"/>
      <w:bookmarkEnd w:id="826"/>
    </w:p>
    <w:p>
      <w:pPr>
        <w:keepNext/>
        <w:keepLines/>
        <w:numPr>
          <w:ilvl w:val="2"/>
          <w:numId w:val="57"/>
        </w:numPr>
        <w:snapToGrid w:val="0"/>
        <w:spacing w:line="360" w:lineRule="auto"/>
        <w:jc w:val="left"/>
        <w:outlineLvl w:val="2"/>
        <w:rPr>
          <w:rFonts w:hint="eastAsia" w:ascii="宋体" w:hAnsi="宋体" w:cs="宋体"/>
          <w:b/>
          <w:bCs/>
          <w:sz w:val="22"/>
          <w:szCs w:val="22"/>
        </w:rPr>
      </w:pPr>
      <w:bookmarkStart w:id="827" w:name="_Toc14685"/>
      <w:bookmarkStart w:id="828" w:name="_Toc27584"/>
      <w:bookmarkStart w:id="829" w:name="_Toc13057"/>
      <w:bookmarkStart w:id="830" w:name="_Toc6599"/>
      <w:bookmarkStart w:id="831" w:name="_Toc32090"/>
      <w:bookmarkStart w:id="832" w:name="_Toc12139"/>
      <w:bookmarkStart w:id="833" w:name="_Toc9708"/>
      <w:bookmarkStart w:id="834" w:name="_Toc15769"/>
      <w:bookmarkStart w:id="835" w:name="_Toc24566"/>
      <w:bookmarkStart w:id="836" w:name="_Toc16347"/>
      <w:r>
        <w:rPr>
          <w:rFonts w:hint="eastAsia" w:ascii="宋体" w:hAnsi="宋体" w:cs="宋体"/>
          <w:b/>
          <w:bCs/>
          <w:sz w:val="22"/>
          <w:szCs w:val="22"/>
        </w:rPr>
        <w:t>物资管理</w:t>
      </w:r>
      <w:bookmarkEnd w:id="827"/>
      <w:bookmarkEnd w:id="828"/>
      <w:bookmarkEnd w:id="829"/>
    </w:p>
    <w:p>
      <w:pPr>
        <w:numPr>
          <w:ilvl w:val="0"/>
          <w:numId w:val="91"/>
        </w:numPr>
        <w:snapToGrid w:val="0"/>
        <w:spacing w:line="360" w:lineRule="auto"/>
        <w:ind w:firstLine="440" w:firstLineChars="200"/>
        <w:contextualSpacing/>
        <w:jc w:val="left"/>
        <w:rPr>
          <w:rFonts w:hint="eastAsia" w:ascii="宋体" w:hAnsi="宋体" w:cs="宋体"/>
          <w:kern w:val="0"/>
          <w:sz w:val="22"/>
          <w:szCs w:val="22"/>
        </w:rPr>
      </w:pPr>
      <w:r>
        <w:rPr>
          <w:rFonts w:hint="eastAsia" w:ascii="宋体" w:hAnsi="宋体" w:cs="宋体"/>
          <w:kern w:val="0"/>
          <w:sz w:val="22"/>
          <w:szCs w:val="22"/>
        </w:rPr>
        <w:t>支持采购物资的分类管理、多种物资的编码规则。</w:t>
      </w:r>
    </w:p>
    <w:p>
      <w:pPr>
        <w:numPr>
          <w:ilvl w:val="0"/>
          <w:numId w:val="91"/>
        </w:numPr>
        <w:snapToGrid w:val="0"/>
        <w:spacing w:line="360" w:lineRule="auto"/>
        <w:ind w:firstLine="440" w:firstLineChars="200"/>
        <w:contextualSpacing/>
        <w:jc w:val="left"/>
        <w:rPr>
          <w:rFonts w:hint="eastAsia" w:ascii="宋体" w:hAnsi="宋体" w:cs="宋体"/>
          <w:kern w:val="0"/>
          <w:sz w:val="22"/>
          <w:szCs w:val="22"/>
        </w:rPr>
      </w:pPr>
      <w:r>
        <w:rPr>
          <w:rFonts w:hint="eastAsia" w:ascii="宋体" w:hAnsi="宋体" w:cs="宋体"/>
          <w:kern w:val="0"/>
          <w:sz w:val="22"/>
          <w:szCs w:val="22"/>
        </w:rPr>
        <w:t>支持采购系统与ERP系统物资信息进行同步，数据与物资信息同步且匹配。</w:t>
      </w:r>
    </w:p>
    <w:p>
      <w:pPr>
        <w:numPr>
          <w:ilvl w:val="0"/>
          <w:numId w:val="91"/>
        </w:numPr>
        <w:snapToGrid w:val="0"/>
        <w:spacing w:line="360" w:lineRule="auto"/>
        <w:ind w:firstLine="440" w:firstLineChars="200"/>
        <w:contextualSpacing/>
        <w:jc w:val="left"/>
        <w:rPr>
          <w:rFonts w:hint="eastAsia" w:ascii="宋体" w:hAnsi="宋体" w:cs="宋体"/>
          <w:kern w:val="0"/>
          <w:sz w:val="22"/>
          <w:szCs w:val="22"/>
        </w:rPr>
      </w:pPr>
      <w:r>
        <w:rPr>
          <w:rFonts w:hint="eastAsia" w:ascii="宋体" w:hAnsi="宋体" w:cs="宋体"/>
          <w:kern w:val="0"/>
          <w:sz w:val="22"/>
          <w:szCs w:val="22"/>
        </w:rPr>
        <w:t>支持采购物资历史价格信息的记录与查询。</w:t>
      </w:r>
    </w:p>
    <w:p>
      <w:pPr>
        <w:numPr>
          <w:ilvl w:val="0"/>
          <w:numId w:val="91"/>
        </w:numPr>
        <w:snapToGrid w:val="0"/>
        <w:spacing w:line="360" w:lineRule="auto"/>
        <w:ind w:firstLine="440" w:firstLineChars="200"/>
        <w:contextualSpacing/>
        <w:jc w:val="left"/>
        <w:rPr>
          <w:rFonts w:hint="eastAsia" w:ascii="宋体" w:hAnsi="宋体" w:cs="宋体"/>
          <w:kern w:val="0"/>
          <w:sz w:val="22"/>
          <w:szCs w:val="22"/>
        </w:rPr>
      </w:pPr>
      <w:r>
        <w:rPr>
          <w:rFonts w:hint="eastAsia" w:ascii="宋体" w:hAnsi="宋体" w:cs="宋体"/>
          <w:kern w:val="0"/>
          <w:sz w:val="22"/>
          <w:szCs w:val="22"/>
        </w:rPr>
        <w:t>物料标准体系、物料品类库、物料智能化识别、物料价格库、物料数据共享等功能。</w:t>
      </w:r>
    </w:p>
    <w:p>
      <w:pPr>
        <w:keepNext/>
        <w:keepLines/>
        <w:numPr>
          <w:ilvl w:val="2"/>
          <w:numId w:val="57"/>
        </w:numPr>
        <w:snapToGrid w:val="0"/>
        <w:spacing w:line="360" w:lineRule="auto"/>
        <w:jc w:val="left"/>
        <w:outlineLvl w:val="2"/>
        <w:rPr>
          <w:rFonts w:hint="eastAsia" w:ascii="宋体" w:hAnsi="宋体" w:cs="宋体"/>
          <w:b/>
          <w:bCs/>
          <w:sz w:val="22"/>
          <w:szCs w:val="22"/>
        </w:rPr>
      </w:pPr>
      <w:bookmarkStart w:id="837" w:name="_Toc6047"/>
      <w:bookmarkStart w:id="838" w:name="_Toc4679"/>
      <w:bookmarkStart w:id="839" w:name="_Toc26314"/>
      <w:r>
        <w:rPr>
          <w:rFonts w:hint="eastAsia" w:ascii="宋体" w:hAnsi="宋体" w:cs="宋体"/>
          <w:b/>
          <w:bCs/>
          <w:sz w:val="22"/>
          <w:szCs w:val="22"/>
        </w:rPr>
        <w:t>需求管理</w:t>
      </w:r>
      <w:bookmarkEnd w:id="830"/>
      <w:bookmarkEnd w:id="831"/>
      <w:bookmarkEnd w:id="832"/>
      <w:bookmarkEnd w:id="833"/>
      <w:bookmarkEnd w:id="834"/>
      <w:bookmarkEnd w:id="835"/>
      <w:bookmarkEnd w:id="836"/>
      <w:bookmarkEnd w:id="837"/>
      <w:bookmarkEnd w:id="838"/>
      <w:bookmarkEnd w:id="839"/>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需求申报管理</w:t>
      </w:r>
    </w:p>
    <w:p>
      <w:pPr>
        <w:snapToGrid w:val="0"/>
        <w:spacing w:line="360" w:lineRule="auto"/>
        <w:ind w:firstLine="440" w:firstLineChars="200"/>
        <w:contextualSpacing/>
        <w:jc w:val="left"/>
        <w:rPr>
          <w:rFonts w:hint="eastAsia" w:ascii="宋体" w:hAnsi="宋体" w:cs="宋体"/>
          <w:kern w:val="0"/>
          <w:sz w:val="22"/>
          <w:szCs w:val="22"/>
        </w:rPr>
      </w:pPr>
      <w:r>
        <w:rPr>
          <w:rFonts w:hint="eastAsia" w:ascii="宋体" w:hAnsi="宋体" w:cs="宋体"/>
          <w:kern w:val="0"/>
          <w:sz w:val="22"/>
          <w:szCs w:val="22"/>
        </w:rPr>
        <w:t>采购计划管理指企业的采购计划编制和管理。采购计划包括定期采购计划（如周、月度、季度、年度）、非定期采购任务计划。</w:t>
      </w:r>
    </w:p>
    <w:p>
      <w:pPr>
        <w:snapToGrid w:val="0"/>
        <w:spacing w:line="360" w:lineRule="auto"/>
        <w:ind w:firstLine="420"/>
        <w:rPr>
          <w:rFonts w:hint="eastAsia" w:ascii="宋体" w:hAnsi="宋体" w:cs="宋体"/>
          <w:sz w:val="22"/>
          <w:szCs w:val="22"/>
        </w:rPr>
      </w:pPr>
      <w:r>
        <w:rPr>
          <w:rFonts w:hint="eastAsia" w:ascii="宋体" w:hAnsi="宋体" w:cs="宋体"/>
          <w:sz w:val="22"/>
          <w:szCs w:val="22"/>
        </w:rPr>
        <w:t>需具备以下功能：</w:t>
      </w:r>
    </w:p>
    <w:p>
      <w:pPr>
        <w:numPr>
          <w:ilvl w:val="0"/>
          <w:numId w:val="92"/>
        </w:numPr>
        <w:snapToGrid w:val="0"/>
        <w:spacing w:line="360" w:lineRule="auto"/>
        <w:ind w:left="0" w:firstLine="440" w:firstLineChars="200"/>
        <w:rPr>
          <w:rFonts w:hint="eastAsia" w:ascii="宋体" w:hAnsi="宋体" w:cs="宋体"/>
          <w:sz w:val="22"/>
          <w:szCs w:val="22"/>
        </w:rPr>
      </w:pPr>
      <w:r>
        <w:rPr>
          <w:rFonts w:hint="eastAsia" w:ascii="宋体" w:hAnsi="宋体" w:cs="宋体"/>
          <w:sz w:val="22"/>
          <w:szCs w:val="22"/>
        </w:rPr>
        <w:t>支持计划信息维护、编辑及审批；采购计划支持模板导入。</w:t>
      </w:r>
    </w:p>
    <w:p>
      <w:pPr>
        <w:numPr>
          <w:ilvl w:val="0"/>
          <w:numId w:val="92"/>
        </w:numPr>
        <w:snapToGrid w:val="0"/>
        <w:spacing w:line="360" w:lineRule="auto"/>
        <w:ind w:left="0" w:firstLine="440" w:firstLineChars="200"/>
        <w:rPr>
          <w:rFonts w:hint="eastAsia" w:ascii="宋体" w:hAnsi="宋体" w:cs="宋体"/>
          <w:sz w:val="22"/>
          <w:szCs w:val="22"/>
        </w:rPr>
      </w:pPr>
      <w:r>
        <w:rPr>
          <w:rFonts w:hint="eastAsia" w:ascii="宋体" w:hAnsi="宋体" w:cs="宋体"/>
          <w:sz w:val="22"/>
          <w:szCs w:val="22"/>
        </w:rPr>
        <w:t>支持采购计划按照各个单位管理要求定义条件进行审批配置。</w:t>
      </w:r>
    </w:p>
    <w:p>
      <w:pPr>
        <w:numPr>
          <w:ilvl w:val="0"/>
          <w:numId w:val="92"/>
        </w:numPr>
        <w:snapToGrid w:val="0"/>
        <w:spacing w:line="360" w:lineRule="auto"/>
        <w:ind w:left="0" w:firstLine="440" w:firstLineChars="200"/>
        <w:rPr>
          <w:rFonts w:hint="eastAsia" w:ascii="宋体" w:hAnsi="宋体" w:cs="宋体"/>
          <w:sz w:val="22"/>
          <w:szCs w:val="22"/>
        </w:rPr>
      </w:pPr>
      <w:r>
        <w:rPr>
          <w:rFonts w:hint="eastAsia" w:ascii="宋体" w:hAnsi="宋体" w:cs="宋体"/>
          <w:sz w:val="22"/>
          <w:szCs w:val="22"/>
        </w:rPr>
        <w:t>采购计划数据项计划名称、采购目录类别、需求单位、物料编码、物料名称、型号规格、数量、供货期要求、采购时效等信息。</w:t>
      </w:r>
    </w:p>
    <w:p>
      <w:pPr>
        <w:numPr>
          <w:ilvl w:val="0"/>
          <w:numId w:val="92"/>
        </w:numPr>
        <w:snapToGrid w:val="0"/>
        <w:spacing w:line="360" w:lineRule="auto"/>
        <w:ind w:left="0" w:firstLine="440" w:firstLineChars="200"/>
        <w:rPr>
          <w:rFonts w:hint="eastAsia" w:ascii="宋体" w:hAnsi="宋体" w:cs="宋体"/>
          <w:sz w:val="22"/>
          <w:szCs w:val="22"/>
        </w:rPr>
      </w:pPr>
      <w:r>
        <w:rPr>
          <w:rFonts w:hint="eastAsia" w:ascii="宋体" w:hAnsi="宋体" w:cs="宋体"/>
          <w:sz w:val="22"/>
          <w:szCs w:val="22"/>
        </w:rPr>
        <w:t>支持采购计划按照统一规则自动生成物资设备统一身份证编码功能。</w:t>
      </w:r>
    </w:p>
    <w:p>
      <w:pPr>
        <w:numPr>
          <w:ilvl w:val="0"/>
          <w:numId w:val="92"/>
        </w:numPr>
        <w:snapToGrid w:val="0"/>
        <w:spacing w:line="360" w:lineRule="auto"/>
        <w:ind w:left="0" w:firstLine="440" w:firstLineChars="200"/>
        <w:rPr>
          <w:rFonts w:hint="eastAsia" w:ascii="宋体" w:hAnsi="宋体" w:cs="宋体"/>
          <w:sz w:val="22"/>
          <w:szCs w:val="22"/>
        </w:rPr>
      </w:pPr>
      <w:r>
        <w:rPr>
          <w:rFonts w:hint="eastAsia" w:ascii="宋体" w:hAnsi="宋体" w:cs="宋体"/>
          <w:sz w:val="22"/>
          <w:szCs w:val="22"/>
        </w:rPr>
        <w:t>支持采购计划汇总、分析；支持计划执行情况统计分析。</w:t>
      </w:r>
    </w:p>
    <w:p>
      <w:pPr>
        <w:numPr>
          <w:ilvl w:val="0"/>
          <w:numId w:val="92"/>
        </w:numPr>
        <w:snapToGrid w:val="0"/>
        <w:spacing w:line="360" w:lineRule="auto"/>
        <w:ind w:left="0" w:firstLine="440" w:firstLineChars="200"/>
        <w:rPr>
          <w:rFonts w:hint="eastAsia" w:ascii="宋体" w:hAnsi="宋体" w:cs="宋体"/>
          <w:sz w:val="22"/>
          <w:szCs w:val="22"/>
        </w:rPr>
      </w:pPr>
      <w:r>
        <w:rPr>
          <w:rFonts w:hint="eastAsia" w:ascii="宋体" w:hAnsi="宋体" w:cs="宋体"/>
          <w:sz w:val="22"/>
          <w:szCs w:val="22"/>
          <w:lang w:eastAsia="zh-Hans"/>
        </w:rPr>
        <w:t>采购管理系统提供</w:t>
      </w:r>
      <w:r>
        <w:rPr>
          <w:rFonts w:hint="eastAsia" w:ascii="宋体" w:hAnsi="宋体" w:cs="宋体"/>
          <w:sz w:val="22"/>
          <w:szCs w:val="22"/>
          <w:lang w:val="zh-CN"/>
        </w:rPr>
        <w:t>采购</w:t>
      </w:r>
      <w:r>
        <w:rPr>
          <w:rFonts w:hint="eastAsia" w:ascii="宋体" w:hAnsi="宋体" w:cs="宋体"/>
          <w:sz w:val="22"/>
          <w:szCs w:val="22"/>
        </w:rPr>
        <w:t>采购</w:t>
      </w:r>
      <w:r>
        <w:rPr>
          <w:rFonts w:hint="eastAsia" w:ascii="宋体" w:hAnsi="宋体" w:cs="宋体"/>
          <w:sz w:val="22"/>
          <w:szCs w:val="22"/>
          <w:lang w:val="zh-CN"/>
        </w:rPr>
        <w:t>需求</w:t>
      </w:r>
      <w:r>
        <w:rPr>
          <w:rFonts w:hint="eastAsia" w:ascii="宋体" w:hAnsi="宋体" w:cs="宋体"/>
          <w:sz w:val="22"/>
          <w:szCs w:val="22"/>
          <w:lang w:eastAsia="zh-Hans"/>
        </w:rPr>
        <w:t>申报功能</w:t>
      </w:r>
      <w:r>
        <w:rPr>
          <w:rFonts w:hint="eastAsia" w:ascii="宋体" w:hAnsi="宋体" w:cs="宋体"/>
          <w:sz w:val="22"/>
          <w:szCs w:val="22"/>
        </w:rPr>
        <w:t>、需求汇总和平衡</w:t>
      </w:r>
      <w:r>
        <w:rPr>
          <w:rFonts w:hint="eastAsia" w:ascii="宋体" w:hAnsi="宋体" w:cs="宋体"/>
          <w:sz w:val="22"/>
          <w:szCs w:val="22"/>
          <w:lang w:eastAsia="zh-Hans"/>
        </w:rPr>
        <w:t>。申报采购需求时，需要关联项目信息，同时要结构化采购内容，形成采购明细</w:t>
      </w:r>
      <w:r>
        <w:rPr>
          <w:rFonts w:hint="eastAsia" w:ascii="宋体" w:hAnsi="宋体" w:cs="宋体"/>
          <w:sz w:val="22"/>
          <w:szCs w:val="22"/>
        </w:rPr>
        <w:t>。</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需求预测</w:t>
      </w:r>
    </w:p>
    <w:p>
      <w:pPr>
        <w:snapToGrid w:val="0"/>
        <w:spacing w:line="360" w:lineRule="auto"/>
        <w:ind w:firstLine="440" w:firstLineChars="200"/>
        <w:rPr>
          <w:rFonts w:hint="eastAsia" w:ascii="宋体" w:hAnsi="宋体" w:cs="宋体"/>
          <w:kern w:val="0"/>
          <w:sz w:val="22"/>
          <w:szCs w:val="22"/>
        </w:rPr>
      </w:pPr>
      <w:r>
        <w:rPr>
          <w:rFonts w:hint="eastAsia" w:ascii="宋体" w:hAnsi="宋体" w:cs="宋体"/>
          <w:kern w:val="0"/>
          <w:sz w:val="22"/>
          <w:szCs w:val="22"/>
        </w:rPr>
        <w:t>支持根据物资分类对需求进行预测提醒的功能。</w:t>
      </w:r>
    </w:p>
    <w:p>
      <w:pPr>
        <w:keepNext/>
        <w:keepLines/>
        <w:numPr>
          <w:ilvl w:val="2"/>
          <w:numId w:val="57"/>
        </w:numPr>
        <w:snapToGrid w:val="0"/>
        <w:spacing w:line="360" w:lineRule="auto"/>
        <w:jc w:val="left"/>
        <w:outlineLvl w:val="2"/>
        <w:rPr>
          <w:rFonts w:hint="eastAsia" w:ascii="宋体" w:hAnsi="宋体" w:cs="宋体"/>
          <w:b/>
          <w:bCs/>
          <w:sz w:val="22"/>
          <w:szCs w:val="22"/>
        </w:rPr>
      </w:pPr>
      <w:bookmarkStart w:id="840" w:name="_Toc16961"/>
      <w:bookmarkStart w:id="841" w:name="_Toc16423"/>
      <w:bookmarkStart w:id="842" w:name="_Toc16553"/>
      <w:r>
        <w:rPr>
          <w:rFonts w:hint="eastAsia" w:ascii="宋体" w:hAnsi="宋体" w:cs="宋体"/>
          <w:b/>
          <w:bCs/>
          <w:sz w:val="22"/>
          <w:szCs w:val="22"/>
        </w:rPr>
        <w:t>合同履约管理</w:t>
      </w:r>
      <w:bookmarkEnd w:id="840"/>
      <w:bookmarkEnd w:id="841"/>
      <w:bookmarkEnd w:id="842"/>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订单管理</w:t>
      </w:r>
    </w:p>
    <w:p>
      <w:pPr>
        <w:snapToGrid w:val="0"/>
        <w:spacing w:line="360" w:lineRule="auto"/>
        <w:ind w:firstLine="440" w:firstLineChars="200"/>
        <w:contextualSpacing/>
        <w:jc w:val="left"/>
        <w:rPr>
          <w:rFonts w:hint="eastAsia" w:ascii="宋体" w:hAnsi="宋体" w:cs="宋体"/>
          <w:kern w:val="0"/>
          <w:sz w:val="22"/>
          <w:szCs w:val="22"/>
        </w:rPr>
      </w:pPr>
      <w:r>
        <w:rPr>
          <w:rFonts w:hint="eastAsia" w:ascii="宋体" w:hAnsi="宋体" w:cs="宋体"/>
          <w:kern w:val="0"/>
          <w:sz w:val="22"/>
          <w:szCs w:val="22"/>
        </w:rPr>
        <w:t>经办人根据合同的约定和实际公司的需求，向供应商下达采购订单；采购订单拟定完成后会同步到供应商门户，由供应商进行确认。采购订货单新建时，允许批量导入明细；支持采购订单与合同相关联；支持不同时间多批次采购需求汇总成同一编号采购订单。采购订货单支持审批功能。</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查看发货情况</w:t>
      </w:r>
    </w:p>
    <w:p>
      <w:pPr>
        <w:snapToGrid w:val="0"/>
        <w:spacing w:line="360" w:lineRule="auto"/>
        <w:ind w:firstLine="220" w:firstLineChars="100"/>
        <w:rPr>
          <w:rFonts w:hint="eastAsia" w:ascii="宋体" w:hAnsi="宋体" w:cs="宋体"/>
          <w:kern w:val="0"/>
          <w:sz w:val="22"/>
          <w:szCs w:val="22"/>
        </w:rPr>
      </w:pPr>
      <w:r>
        <w:rPr>
          <w:rFonts w:hint="eastAsia" w:ascii="宋体" w:hAnsi="宋体" w:cs="宋体"/>
          <w:kern w:val="0"/>
          <w:sz w:val="22"/>
          <w:szCs w:val="22"/>
        </w:rPr>
        <w:t xml:space="preserve">支持供应商根据订单创建送货排程，送货排程支持审批；支持供需双方通过排程跟踪排程执行情况；支持供应商分批送货；支持发货后与物流系统信息集成同步。 </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对账管理</w:t>
      </w:r>
    </w:p>
    <w:p>
      <w:pPr>
        <w:snapToGrid w:val="0"/>
        <w:spacing w:line="360" w:lineRule="auto"/>
        <w:ind w:firstLine="440" w:firstLineChars="200"/>
        <w:rPr>
          <w:rFonts w:hint="eastAsia" w:ascii="宋体" w:hAnsi="宋体" w:cs="宋体"/>
          <w:sz w:val="22"/>
          <w:szCs w:val="22"/>
        </w:rPr>
      </w:pPr>
      <w:r>
        <w:rPr>
          <w:rFonts w:hint="eastAsia" w:ascii="宋体" w:hAnsi="宋体" w:cs="宋体"/>
          <w:sz w:val="22"/>
          <w:szCs w:val="22"/>
        </w:rPr>
        <w:t>根据双方约定的账期，供应商可在合适的时间发起对账申请，对账申请明细可直接关联当前账期内已经到货验收的物资，实现物资明细的自动匹配，减轻财务人员对账工作量。</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到货确认</w:t>
      </w:r>
    </w:p>
    <w:p>
      <w:pPr>
        <w:snapToGrid w:val="0"/>
        <w:spacing w:line="360" w:lineRule="auto"/>
        <w:ind w:firstLine="440" w:firstLineChars="200"/>
        <w:rPr>
          <w:rFonts w:hint="eastAsia" w:ascii="宋体" w:hAnsi="宋体" w:cs="宋体"/>
          <w:sz w:val="22"/>
          <w:szCs w:val="22"/>
        </w:rPr>
      </w:pPr>
      <w:r>
        <w:rPr>
          <w:rFonts w:hint="eastAsia" w:ascii="宋体" w:hAnsi="宋体" w:cs="宋体"/>
          <w:sz w:val="22"/>
          <w:szCs w:val="22"/>
        </w:rPr>
        <w:t>货物进入仓库后，可录入到货时间，也可与第三方系统信息集成及时返回入库、验收情况。</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发票确认</w:t>
      </w:r>
    </w:p>
    <w:p>
      <w:pPr>
        <w:snapToGrid w:val="0"/>
        <w:spacing w:line="360" w:lineRule="auto"/>
        <w:ind w:firstLine="440" w:firstLineChars="200"/>
        <w:rPr>
          <w:rFonts w:hint="eastAsia" w:ascii="宋体" w:hAnsi="宋体" w:cs="宋体"/>
          <w:sz w:val="22"/>
          <w:szCs w:val="22"/>
        </w:rPr>
      </w:pPr>
      <w:r>
        <w:rPr>
          <w:rFonts w:hint="eastAsia" w:ascii="宋体" w:hAnsi="宋体" w:cs="宋体"/>
          <w:sz w:val="22"/>
          <w:szCs w:val="22"/>
        </w:rPr>
        <w:t>合同经办人针对供应商上传的发票进行校验，发票校验通过后，系统支持将发票信息同步到财务系统。</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付款管理</w:t>
      </w:r>
    </w:p>
    <w:p>
      <w:pPr>
        <w:snapToGrid w:val="0"/>
        <w:spacing w:line="360" w:lineRule="auto"/>
        <w:ind w:firstLine="440" w:firstLineChars="200"/>
        <w:rPr>
          <w:rFonts w:hint="eastAsia" w:ascii="宋体" w:hAnsi="宋体" w:cs="宋体"/>
          <w:sz w:val="22"/>
          <w:szCs w:val="22"/>
        </w:rPr>
      </w:pPr>
      <w:r>
        <w:rPr>
          <w:rFonts w:hint="eastAsia" w:ascii="宋体" w:hAnsi="宋体" w:cs="宋体"/>
          <w:sz w:val="22"/>
          <w:szCs w:val="22"/>
        </w:rPr>
        <w:t>在付款条件达到后，合同经办人可以发起付款申请，也可对供应商发起的付款申请进行完善，可选择付款时间、付款金额，如果需要验收，请选择已经录入的验收批次；如果具备供应商协同子模块，可关联供应商上传的发票信息。</w:t>
      </w:r>
    </w:p>
    <w:p>
      <w:pPr>
        <w:keepNext/>
        <w:keepLines/>
        <w:numPr>
          <w:ilvl w:val="2"/>
          <w:numId w:val="57"/>
        </w:numPr>
        <w:snapToGrid w:val="0"/>
        <w:spacing w:line="360" w:lineRule="auto"/>
        <w:jc w:val="left"/>
        <w:outlineLvl w:val="2"/>
        <w:rPr>
          <w:rFonts w:hint="eastAsia" w:ascii="宋体" w:hAnsi="宋体" w:cs="宋体"/>
          <w:b/>
          <w:bCs/>
          <w:sz w:val="22"/>
          <w:szCs w:val="22"/>
        </w:rPr>
      </w:pPr>
      <w:bookmarkStart w:id="843" w:name="_Toc863"/>
      <w:bookmarkStart w:id="844" w:name="_Toc27596"/>
      <w:bookmarkStart w:id="845" w:name="_Toc6747"/>
      <w:r>
        <w:rPr>
          <w:rFonts w:hint="eastAsia" w:ascii="宋体" w:hAnsi="宋体" w:cs="宋体"/>
          <w:b/>
          <w:bCs/>
          <w:sz w:val="22"/>
          <w:szCs w:val="22"/>
        </w:rPr>
        <w:t>仓储管理</w:t>
      </w:r>
      <w:bookmarkEnd w:id="843"/>
      <w:bookmarkEnd w:id="844"/>
      <w:bookmarkEnd w:id="845"/>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入库</w:t>
      </w:r>
    </w:p>
    <w:p>
      <w:pPr>
        <w:snapToGrid w:val="0"/>
        <w:spacing w:line="360" w:lineRule="auto"/>
        <w:rPr>
          <w:rFonts w:hint="eastAsia" w:ascii="宋体" w:hAnsi="宋体" w:cs="宋体"/>
          <w:sz w:val="22"/>
          <w:szCs w:val="22"/>
        </w:rPr>
      </w:pPr>
      <w:r>
        <w:rPr>
          <w:rFonts w:hint="eastAsia" w:ascii="宋体" w:hAnsi="宋体" w:cs="宋体"/>
          <w:sz w:val="22"/>
          <w:szCs w:val="22"/>
        </w:rPr>
        <w:t xml:space="preserve">  仓库负责人根据物资到货通知指定仓管员收货，仓管员对配送到库物资进行数量、外观、资料等验收，经验收合格后按规定进仓存储，提供到货通知、到货验收、入库登记管理功能。</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出库</w:t>
      </w:r>
    </w:p>
    <w:p>
      <w:pPr>
        <w:numPr>
          <w:ilvl w:val="0"/>
          <w:numId w:val="93"/>
        </w:numPr>
        <w:snapToGrid w:val="0"/>
        <w:spacing w:line="360" w:lineRule="auto"/>
        <w:ind w:firstLine="440" w:firstLineChars="200"/>
        <w:rPr>
          <w:rFonts w:hint="eastAsia" w:ascii="宋体" w:hAnsi="宋体" w:cs="宋体"/>
          <w:sz w:val="22"/>
          <w:szCs w:val="22"/>
        </w:rPr>
      </w:pPr>
      <w:r>
        <w:rPr>
          <w:rFonts w:hint="eastAsia" w:ascii="宋体" w:hAnsi="宋体" w:cs="宋体"/>
          <w:sz w:val="22"/>
          <w:szCs w:val="22"/>
        </w:rPr>
        <w:t>领用申请：物资需求单位提出领用需求，负责物资出库工作的相关人员（仓管员）根据出库待办提醒，制作出库登记单，并上报仓库负责人审批</w:t>
      </w:r>
    </w:p>
    <w:p>
      <w:pPr>
        <w:numPr>
          <w:ilvl w:val="0"/>
          <w:numId w:val="93"/>
        </w:numPr>
        <w:snapToGrid w:val="0"/>
        <w:spacing w:line="360" w:lineRule="auto"/>
        <w:ind w:firstLine="440" w:firstLineChars="200"/>
        <w:rPr>
          <w:rFonts w:hint="eastAsia" w:ascii="宋体" w:hAnsi="宋体" w:cs="宋体"/>
          <w:sz w:val="22"/>
          <w:szCs w:val="22"/>
        </w:rPr>
      </w:pPr>
      <w:r>
        <w:rPr>
          <w:rFonts w:hint="eastAsia" w:ascii="宋体" w:hAnsi="宋体" w:cs="宋体"/>
          <w:sz w:val="22"/>
          <w:szCs w:val="22"/>
        </w:rPr>
        <w:t>出库登记：需求部门材料员在系统提交急救包物资领用申请，查询急救包储备库存，正确点选需求物资，明确“项目名称”、“计划领料时间” “数量”，确认领料类型（是否紧急），并报所在部门批准。</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保管保养</w:t>
      </w:r>
    </w:p>
    <w:p>
      <w:pPr>
        <w:numPr>
          <w:ilvl w:val="0"/>
          <w:numId w:val="94"/>
        </w:numPr>
        <w:snapToGrid w:val="0"/>
        <w:spacing w:line="360" w:lineRule="auto"/>
        <w:ind w:firstLine="440" w:firstLineChars="200"/>
        <w:rPr>
          <w:rFonts w:hint="eastAsia" w:ascii="宋体" w:hAnsi="宋体" w:cs="宋体"/>
          <w:sz w:val="22"/>
          <w:szCs w:val="22"/>
        </w:rPr>
      </w:pPr>
      <w:r>
        <w:rPr>
          <w:rFonts w:hint="eastAsia" w:ascii="宋体" w:hAnsi="宋体" w:cs="宋体"/>
          <w:sz w:val="22"/>
          <w:szCs w:val="22"/>
        </w:rPr>
        <w:t>系统根据物资保管保养周期对库存物资做保管保养提醒，业务员依据提示进行物资保管保养登记作业</w:t>
      </w:r>
    </w:p>
    <w:p>
      <w:pPr>
        <w:numPr>
          <w:ilvl w:val="0"/>
          <w:numId w:val="94"/>
        </w:numPr>
        <w:snapToGrid w:val="0"/>
        <w:spacing w:line="360" w:lineRule="auto"/>
        <w:ind w:firstLine="440" w:firstLineChars="200"/>
        <w:rPr>
          <w:rFonts w:hint="eastAsia" w:ascii="宋体" w:hAnsi="宋体" w:cs="宋体"/>
          <w:sz w:val="22"/>
          <w:szCs w:val="22"/>
        </w:rPr>
      </w:pPr>
      <w:r>
        <w:rPr>
          <w:rFonts w:hint="eastAsia" w:ascii="宋体" w:hAnsi="宋体" w:cs="宋体"/>
          <w:sz w:val="22"/>
          <w:szCs w:val="22"/>
        </w:rPr>
        <w:t>物资保管保养主要功能包括录入物资检测保养清单，打印预览，上传相关资料的原件与复印件、保养到期自动提醒、保养物资清单查询功能等。</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储备管理</w:t>
      </w:r>
    </w:p>
    <w:p>
      <w:pPr>
        <w:numPr>
          <w:ilvl w:val="0"/>
          <w:numId w:val="95"/>
        </w:numPr>
        <w:snapToGrid w:val="0"/>
        <w:spacing w:line="360" w:lineRule="auto"/>
        <w:ind w:firstLine="440" w:firstLineChars="200"/>
        <w:rPr>
          <w:rFonts w:hint="eastAsia" w:ascii="宋体" w:hAnsi="宋体" w:cs="宋体"/>
          <w:sz w:val="22"/>
          <w:szCs w:val="22"/>
        </w:rPr>
      </w:pPr>
      <w:r>
        <w:rPr>
          <w:rFonts w:hint="eastAsia" w:ascii="宋体" w:hAnsi="宋体" w:cs="宋体"/>
          <w:sz w:val="22"/>
          <w:szCs w:val="22"/>
        </w:rPr>
        <w:t>提供库存盘点计划管理功能，包括新增计划、删除计划、启动计划、终止计划、查询计划。</w:t>
      </w:r>
    </w:p>
    <w:p>
      <w:pPr>
        <w:numPr>
          <w:ilvl w:val="0"/>
          <w:numId w:val="95"/>
        </w:numPr>
        <w:snapToGrid w:val="0"/>
        <w:spacing w:line="360" w:lineRule="auto"/>
        <w:ind w:firstLine="440" w:firstLineChars="200"/>
        <w:rPr>
          <w:rFonts w:hint="eastAsia" w:ascii="宋体" w:hAnsi="宋体" w:cs="宋体"/>
          <w:sz w:val="22"/>
          <w:szCs w:val="22"/>
        </w:rPr>
      </w:pPr>
      <w:r>
        <w:rPr>
          <w:rFonts w:hint="eastAsia" w:ascii="宋体" w:hAnsi="宋体" w:cs="宋体"/>
          <w:sz w:val="22"/>
          <w:szCs w:val="22"/>
        </w:rPr>
        <w:t>提供仓库盘点分配功能，包括盘点分工、作业单发送、盘点分工撤回等。</w:t>
      </w:r>
    </w:p>
    <w:p>
      <w:pPr>
        <w:numPr>
          <w:ilvl w:val="0"/>
          <w:numId w:val="95"/>
        </w:numPr>
        <w:snapToGrid w:val="0"/>
        <w:spacing w:line="360" w:lineRule="auto"/>
        <w:ind w:firstLine="440" w:firstLineChars="200"/>
        <w:rPr>
          <w:rFonts w:hint="eastAsia" w:ascii="宋体" w:hAnsi="宋体" w:cs="宋体"/>
          <w:sz w:val="22"/>
          <w:szCs w:val="22"/>
        </w:rPr>
      </w:pPr>
      <w:r>
        <w:rPr>
          <w:rFonts w:hint="eastAsia" w:ascii="宋体" w:hAnsi="宋体" w:cs="宋体"/>
          <w:sz w:val="22"/>
          <w:szCs w:val="22"/>
        </w:rPr>
        <w:t>仓库盘点功能，提供录入盘点结果、生成盘点差异、撤回盘点结果、查询盘点明细。</w:t>
      </w:r>
    </w:p>
    <w:p>
      <w:pPr>
        <w:numPr>
          <w:ilvl w:val="0"/>
          <w:numId w:val="95"/>
        </w:numPr>
        <w:snapToGrid w:val="0"/>
        <w:spacing w:line="360" w:lineRule="auto"/>
        <w:ind w:firstLine="440" w:firstLineChars="200"/>
        <w:rPr>
          <w:rFonts w:hint="eastAsia" w:ascii="宋体" w:hAnsi="宋体" w:cs="宋体"/>
          <w:sz w:val="22"/>
          <w:szCs w:val="22"/>
        </w:rPr>
      </w:pPr>
      <w:r>
        <w:rPr>
          <w:rFonts w:hint="eastAsia" w:ascii="宋体" w:hAnsi="宋体" w:cs="宋体"/>
          <w:sz w:val="22"/>
          <w:szCs w:val="22"/>
        </w:rPr>
        <w:t>盈亏盘点汇总，汇总盘盈、盘亏明细及查询。</w:t>
      </w:r>
    </w:p>
    <w:p>
      <w:pPr>
        <w:keepNext/>
        <w:keepLines/>
        <w:numPr>
          <w:ilvl w:val="2"/>
          <w:numId w:val="57"/>
        </w:numPr>
        <w:snapToGrid w:val="0"/>
        <w:spacing w:line="360" w:lineRule="auto"/>
        <w:jc w:val="left"/>
        <w:outlineLvl w:val="3"/>
        <w:rPr>
          <w:rFonts w:hint="eastAsia" w:ascii="宋体" w:hAnsi="宋体" w:cs="宋体"/>
          <w:b/>
          <w:bCs/>
          <w:sz w:val="22"/>
          <w:szCs w:val="22"/>
        </w:rPr>
      </w:pPr>
      <w:bookmarkStart w:id="846" w:name="_Toc23952"/>
      <w:r>
        <w:rPr>
          <w:rFonts w:hint="eastAsia" w:ascii="宋体" w:hAnsi="宋体" w:cs="宋体"/>
          <w:b/>
          <w:bCs/>
          <w:sz w:val="22"/>
          <w:szCs w:val="22"/>
        </w:rPr>
        <w:t>品控管理</w:t>
      </w:r>
      <w:bookmarkEnd w:id="846"/>
    </w:p>
    <w:p>
      <w:pPr>
        <w:numPr>
          <w:ilvl w:val="0"/>
          <w:numId w:val="96"/>
        </w:numPr>
        <w:snapToGrid w:val="0"/>
        <w:spacing w:line="360" w:lineRule="auto"/>
        <w:ind w:firstLine="440" w:firstLineChars="200"/>
        <w:rPr>
          <w:rFonts w:hint="eastAsia" w:ascii="宋体" w:hAnsi="宋体" w:cs="宋体"/>
          <w:kern w:val="0"/>
          <w:sz w:val="22"/>
          <w:szCs w:val="22"/>
          <w:lang w:val="zh-CN"/>
        </w:rPr>
      </w:pPr>
      <w:r>
        <w:rPr>
          <w:rFonts w:hint="eastAsia" w:ascii="宋体" w:hAnsi="宋体" w:cs="宋体"/>
          <w:kern w:val="0"/>
          <w:sz w:val="22"/>
          <w:szCs w:val="22"/>
          <w:lang w:val="zh-CN"/>
        </w:rPr>
        <w:t>支持对品控标准维护管理。</w:t>
      </w:r>
    </w:p>
    <w:p>
      <w:pPr>
        <w:numPr>
          <w:ilvl w:val="0"/>
          <w:numId w:val="96"/>
        </w:numPr>
        <w:snapToGrid w:val="0"/>
        <w:spacing w:line="360" w:lineRule="auto"/>
        <w:ind w:firstLine="440" w:firstLineChars="200"/>
        <w:rPr>
          <w:rFonts w:hint="eastAsia" w:ascii="宋体" w:hAnsi="宋体" w:cs="宋体"/>
          <w:kern w:val="0"/>
          <w:sz w:val="22"/>
          <w:szCs w:val="22"/>
          <w:lang w:val="zh-CN"/>
        </w:rPr>
      </w:pPr>
      <w:r>
        <w:rPr>
          <w:rFonts w:hint="eastAsia" w:ascii="宋体" w:hAnsi="宋体" w:cs="宋体"/>
          <w:kern w:val="0"/>
          <w:sz w:val="22"/>
          <w:szCs w:val="22"/>
          <w:lang w:val="zh-CN"/>
        </w:rPr>
        <w:t>支持创建品控计划、开展品控抽查及缺陷跟踪处理。</w:t>
      </w:r>
    </w:p>
    <w:p>
      <w:pPr>
        <w:keepNext/>
        <w:keepLines/>
        <w:numPr>
          <w:ilvl w:val="1"/>
          <w:numId w:val="57"/>
        </w:numPr>
        <w:snapToGrid w:val="0"/>
        <w:spacing w:line="360" w:lineRule="auto"/>
        <w:jc w:val="left"/>
        <w:outlineLvl w:val="1"/>
        <w:rPr>
          <w:rFonts w:hint="eastAsia" w:ascii="宋体" w:hAnsi="宋体" w:cs="宋体"/>
          <w:b/>
          <w:bCs/>
          <w:sz w:val="22"/>
          <w:szCs w:val="22"/>
        </w:rPr>
      </w:pPr>
      <w:bookmarkStart w:id="847" w:name="_Toc1102"/>
      <w:bookmarkStart w:id="848" w:name="_Toc30535"/>
      <w:bookmarkStart w:id="849" w:name="_Toc13074"/>
      <w:bookmarkStart w:id="850" w:name="_Toc110279036"/>
      <w:r>
        <w:rPr>
          <w:rFonts w:hint="eastAsia" w:ascii="宋体" w:hAnsi="宋体" w:cs="宋体"/>
          <w:b/>
          <w:bCs/>
          <w:sz w:val="22"/>
          <w:szCs w:val="22"/>
        </w:rPr>
        <w:t>信息链</w:t>
      </w:r>
      <w:bookmarkEnd w:id="847"/>
      <w:r>
        <w:rPr>
          <w:rFonts w:hint="eastAsia" w:ascii="宋体" w:hAnsi="宋体" w:cs="宋体"/>
          <w:b/>
          <w:bCs/>
          <w:sz w:val="22"/>
          <w:szCs w:val="22"/>
        </w:rPr>
        <w:t>建设内容</w:t>
      </w:r>
      <w:bookmarkEnd w:id="848"/>
      <w:bookmarkEnd w:id="849"/>
      <w:bookmarkEnd w:id="850"/>
    </w:p>
    <w:p>
      <w:pPr>
        <w:keepNext/>
        <w:keepLines/>
        <w:numPr>
          <w:ilvl w:val="2"/>
          <w:numId w:val="57"/>
        </w:numPr>
        <w:snapToGrid w:val="0"/>
        <w:spacing w:line="360" w:lineRule="auto"/>
        <w:jc w:val="left"/>
        <w:outlineLvl w:val="2"/>
        <w:rPr>
          <w:rFonts w:hint="eastAsia" w:ascii="宋体" w:hAnsi="宋体" w:cs="宋体"/>
          <w:b/>
          <w:bCs/>
          <w:sz w:val="22"/>
          <w:szCs w:val="22"/>
        </w:rPr>
      </w:pPr>
      <w:bookmarkStart w:id="851" w:name="_Toc27233"/>
      <w:bookmarkStart w:id="852" w:name="_Toc10520"/>
      <w:bookmarkStart w:id="853" w:name="_Toc1621"/>
      <w:r>
        <w:rPr>
          <w:rFonts w:hint="eastAsia" w:ascii="宋体" w:hAnsi="宋体" w:cs="宋体"/>
          <w:b/>
          <w:bCs/>
          <w:sz w:val="22"/>
          <w:szCs w:val="22"/>
        </w:rPr>
        <w:t>驾驶舱</w:t>
      </w:r>
      <w:bookmarkEnd w:id="851"/>
      <w:bookmarkEnd w:id="852"/>
      <w:bookmarkEnd w:id="853"/>
    </w:p>
    <w:p>
      <w:pPr>
        <w:snapToGrid w:val="0"/>
        <w:spacing w:line="360" w:lineRule="auto"/>
        <w:ind w:firstLine="440" w:firstLineChars="200"/>
        <w:rPr>
          <w:rFonts w:hint="eastAsia" w:ascii="宋体" w:hAnsi="宋体" w:cs="宋体"/>
          <w:sz w:val="22"/>
          <w:szCs w:val="22"/>
        </w:rPr>
      </w:pPr>
      <w:r>
        <w:rPr>
          <w:rFonts w:hint="eastAsia" w:ascii="宋体" w:hAnsi="宋体" w:cs="宋体"/>
          <w:sz w:val="22"/>
          <w:szCs w:val="22"/>
        </w:rPr>
        <w:t>提供按照供应商、专家、物资、需求计划、合同履行、仓储品控等纬度进行数据统计分析展示展板，以驾驶舱的纬度进行数据展示。</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业务价值分析展示</w:t>
      </w:r>
    </w:p>
    <w:p>
      <w:pPr>
        <w:snapToGrid w:val="0"/>
        <w:spacing w:line="360" w:lineRule="auto"/>
        <w:ind w:firstLine="440" w:firstLineChars="200"/>
        <w:rPr>
          <w:rFonts w:hint="eastAsia" w:ascii="宋体" w:hAnsi="宋体" w:cs="宋体"/>
          <w:sz w:val="22"/>
          <w:szCs w:val="22"/>
        </w:rPr>
      </w:pPr>
      <w:r>
        <w:rPr>
          <w:rFonts w:hint="eastAsia" w:ascii="宋体" w:hAnsi="宋体" w:cs="宋体"/>
          <w:sz w:val="22"/>
          <w:szCs w:val="22"/>
        </w:rPr>
        <w:t>可对货物、服务、工程中各品目、各种采购方式等数据进行汇总统计，可自定义时间进行预算金额、采购金额统计汇总，形成需要的报表。同时，平台可按照各种条件查询采购项目的进度、信息、统计数据及历史中标/成交价格等。</w:t>
      </w:r>
    </w:p>
    <w:p>
      <w:pPr>
        <w:snapToGrid w:val="0"/>
        <w:spacing w:line="360" w:lineRule="auto"/>
        <w:ind w:firstLine="440" w:firstLineChars="200"/>
        <w:contextualSpacing/>
        <w:jc w:val="left"/>
        <w:rPr>
          <w:rFonts w:hint="eastAsia" w:ascii="宋体" w:hAnsi="宋体" w:cs="宋体"/>
          <w:kern w:val="0"/>
          <w:sz w:val="22"/>
          <w:szCs w:val="22"/>
        </w:rPr>
      </w:pPr>
      <w:r>
        <w:rPr>
          <w:rFonts w:hint="eastAsia" w:ascii="宋体" w:hAnsi="宋体" w:cs="宋体"/>
          <w:kern w:val="0"/>
          <w:sz w:val="22"/>
          <w:szCs w:val="22"/>
        </w:rPr>
        <w:t>数据分析功能包括货物/服务/工程采购数据分析、各品目供应商中标/成交占比分析、各品目采购价格走势分析、采购节资率分析、各单位采购总量分析等。</w:t>
      </w:r>
    </w:p>
    <w:p>
      <w:pPr>
        <w:snapToGrid w:val="0"/>
        <w:spacing w:line="360" w:lineRule="auto"/>
        <w:ind w:firstLine="440" w:firstLineChars="200"/>
        <w:contextualSpacing/>
        <w:jc w:val="left"/>
        <w:rPr>
          <w:rFonts w:hint="eastAsia" w:ascii="宋体" w:hAnsi="宋体" w:cs="宋体"/>
          <w:kern w:val="0"/>
          <w:sz w:val="22"/>
          <w:szCs w:val="22"/>
        </w:rPr>
      </w:pPr>
      <w:r>
        <w:rPr>
          <w:rFonts w:hint="eastAsia" w:ascii="宋体" w:hAnsi="宋体" w:cs="宋体"/>
          <w:kern w:val="0"/>
          <w:sz w:val="22"/>
          <w:szCs w:val="22"/>
        </w:rPr>
        <w:t>系统管理员可根据共性需求进行报表定制和修改，不断丰富和完善定制表式内容，为用户提供可直接打印的格式化图表分析展示功能，满足日常统计汇总工作的需要。</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供应商业务价值分析</w:t>
      </w:r>
    </w:p>
    <w:p>
      <w:pPr>
        <w:snapToGrid w:val="0"/>
        <w:spacing w:line="360" w:lineRule="auto"/>
        <w:ind w:firstLine="440" w:firstLineChars="200"/>
        <w:contextualSpacing/>
        <w:jc w:val="left"/>
        <w:rPr>
          <w:rFonts w:hint="eastAsia" w:ascii="宋体" w:hAnsi="宋体" w:cs="宋体"/>
          <w:kern w:val="0"/>
          <w:sz w:val="22"/>
          <w:szCs w:val="22"/>
        </w:rPr>
      </w:pPr>
      <w:r>
        <w:rPr>
          <w:rFonts w:hint="eastAsia" w:ascii="宋体" w:hAnsi="宋体" w:cs="宋体"/>
          <w:kern w:val="0"/>
          <w:sz w:val="22"/>
          <w:szCs w:val="22"/>
        </w:rPr>
        <w:t>按累计项目金额或累计项目个数统计排名供应商，也可按以下内容选定条件后统计前几大供应商，如：物资类别、开始日期、结束日期（或月度、季度、年度）、采购模式、采购方式、采购类别（货物/服务）、项目标识、完成情况（进行中、已完成）等条件，统计出各产业单位供应商数量、各产业单位当月中标数据和新增供应商统计报表。</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采购业务可视化</w:t>
      </w:r>
    </w:p>
    <w:p>
      <w:pPr>
        <w:snapToGrid w:val="0"/>
        <w:spacing w:line="360" w:lineRule="auto"/>
        <w:ind w:firstLine="440" w:firstLineChars="200"/>
        <w:contextualSpacing/>
        <w:jc w:val="left"/>
        <w:rPr>
          <w:rFonts w:hint="eastAsia" w:ascii="宋体" w:hAnsi="宋体" w:cs="宋体"/>
          <w:kern w:val="0"/>
          <w:sz w:val="22"/>
          <w:szCs w:val="22"/>
        </w:rPr>
      </w:pPr>
      <w:r>
        <w:rPr>
          <w:rFonts w:hint="eastAsia" w:ascii="宋体" w:hAnsi="宋体" w:cs="宋体"/>
          <w:kern w:val="0"/>
          <w:sz w:val="22"/>
          <w:szCs w:val="22"/>
        </w:rPr>
        <w:t>采购数据统计分析的基础是收集系统中的基础信息和项目采购各环节的过程信息，在此基础上将数据进行整理后展现给用户使用和分析。数据项：采购预览（采购类别占比、采购方式占比），项目运行情况（进行中、已完成、其他），供应商参与情况（正式供应商、入库中供应商、参与及中标占比），采购项目情况（双Y轴、预算金额、交易金额、项目数量、节资率），供应商地区分布图。</w:t>
      </w:r>
    </w:p>
    <w:p>
      <w:pPr>
        <w:snapToGrid w:val="0"/>
        <w:spacing w:line="360" w:lineRule="auto"/>
        <w:ind w:firstLine="440" w:firstLineChars="200"/>
        <w:contextualSpacing/>
        <w:jc w:val="left"/>
        <w:rPr>
          <w:rFonts w:hint="eastAsia" w:ascii="宋体" w:hAnsi="宋体" w:cs="宋体"/>
          <w:kern w:val="0"/>
          <w:sz w:val="22"/>
          <w:szCs w:val="22"/>
        </w:rPr>
      </w:pPr>
      <w:r>
        <w:rPr>
          <w:rFonts w:hint="eastAsia" w:ascii="宋体" w:hAnsi="宋体" w:cs="宋体"/>
          <w:kern w:val="0"/>
          <w:sz w:val="22"/>
          <w:szCs w:val="22"/>
        </w:rPr>
        <w:t>信息查询：信息查询为用户快捷的基础及业务数据的查询展示，同时简单的数据汇总功能。通过预设查询模板满足用户基本查询需求，同时用户可通过通用查询功能进行自定义查询以满足个性化需求。</w:t>
      </w:r>
    </w:p>
    <w:p>
      <w:pPr>
        <w:snapToGrid w:val="0"/>
        <w:spacing w:line="360" w:lineRule="auto"/>
        <w:ind w:firstLine="440" w:firstLineChars="200"/>
        <w:contextualSpacing/>
        <w:jc w:val="left"/>
        <w:rPr>
          <w:rFonts w:hint="eastAsia" w:ascii="宋体" w:hAnsi="宋体" w:cs="宋体"/>
          <w:kern w:val="0"/>
          <w:sz w:val="22"/>
          <w:szCs w:val="22"/>
        </w:rPr>
      </w:pPr>
      <w:r>
        <w:rPr>
          <w:rFonts w:hint="eastAsia" w:ascii="宋体" w:hAnsi="宋体" w:cs="宋体"/>
          <w:kern w:val="0"/>
          <w:sz w:val="22"/>
          <w:szCs w:val="22"/>
        </w:rPr>
        <w:t>统计报表：统计报表为用户可直接打印的格式化图表分析展示功能。通过自行定制的方式满足日常统计汇总工作需要，系统管理员可根据共性需求进行报表定制和修改，不断丰富和完善定制报表的内容。</w:t>
      </w:r>
    </w:p>
    <w:p>
      <w:pPr>
        <w:numPr>
          <w:ilvl w:val="0"/>
          <w:numId w:val="97"/>
        </w:numPr>
        <w:snapToGrid w:val="0"/>
        <w:spacing w:line="360" w:lineRule="auto"/>
        <w:contextualSpacing/>
        <w:jc w:val="left"/>
        <w:rPr>
          <w:rFonts w:hint="eastAsia" w:ascii="宋体" w:hAnsi="宋体" w:cs="宋体"/>
          <w:kern w:val="0"/>
          <w:sz w:val="22"/>
          <w:szCs w:val="22"/>
        </w:rPr>
      </w:pPr>
      <w:r>
        <w:rPr>
          <w:rFonts w:hint="eastAsia" w:ascii="宋体" w:hAnsi="宋体" w:cs="宋体"/>
          <w:kern w:val="0"/>
          <w:sz w:val="22"/>
          <w:szCs w:val="22"/>
        </w:rPr>
        <w:t>支持按“开始日期、结束日期、业务处、招标方式、项目类别、招标人”查询项目的执行进度，以及项目执行每个环节信息查看。</w:t>
      </w:r>
    </w:p>
    <w:p>
      <w:pPr>
        <w:numPr>
          <w:ilvl w:val="0"/>
          <w:numId w:val="97"/>
        </w:numPr>
        <w:snapToGrid w:val="0"/>
        <w:spacing w:line="360" w:lineRule="auto"/>
        <w:contextualSpacing/>
        <w:jc w:val="left"/>
        <w:rPr>
          <w:rFonts w:hint="eastAsia" w:ascii="宋体" w:hAnsi="宋体" w:cs="宋体"/>
          <w:kern w:val="0"/>
          <w:sz w:val="22"/>
          <w:szCs w:val="22"/>
        </w:rPr>
      </w:pPr>
      <w:r>
        <w:rPr>
          <w:rFonts w:hint="eastAsia" w:ascii="宋体" w:hAnsi="宋体" w:cs="宋体"/>
          <w:kern w:val="0"/>
          <w:sz w:val="22"/>
          <w:szCs w:val="22"/>
        </w:rPr>
        <w:t>主要用于采购项目信息多维度多角度的统计和分析，根据采购方式、项目类型等，支持报表的生成和打印。</w:t>
      </w:r>
    </w:p>
    <w:p>
      <w:pPr>
        <w:numPr>
          <w:ilvl w:val="0"/>
          <w:numId w:val="97"/>
        </w:numPr>
        <w:snapToGrid w:val="0"/>
        <w:spacing w:line="360" w:lineRule="auto"/>
        <w:contextualSpacing/>
        <w:jc w:val="left"/>
        <w:rPr>
          <w:rFonts w:hint="eastAsia" w:ascii="宋体" w:hAnsi="宋体" w:cs="宋体"/>
          <w:kern w:val="0"/>
          <w:sz w:val="22"/>
          <w:szCs w:val="22"/>
        </w:rPr>
      </w:pPr>
      <w:r>
        <w:rPr>
          <w:rFonts w:hint="eastAsia" w:ascii="宋体" w:hAnsi="宋体" w:cs="宋体"/>
          <w:kern w:val="0"/>
          <w:sz w:val="22"/>
          <w:szCs w:val="22"/>
        </w:rPr>
        <w:t>根据管理需要提供查询分析、报表打印等功能</w:t>
      </w:r>
      <w:r>
        <w:rPr>
          <w:rFonts w:hint="eastAsia" w:ascii="宋体" w:hAnsi="宋体" w:cs="宋体"/>
          <w:kern w:val="0"/>
          <w:sz w:val="22"/>
          <w:szCs w:val="22"/>
          <w:lang w:eastAsia="zh-CN"/>
        </w:rPr>
        <w:t>。</w:t>
      </w:r>
    </w:p>
    <w:p>
      <w:pPr>
        <w:numPr>
          <w:ilvl w:val="0"/>
          <w:numId w:val="97"/>
        </w:numPr>
        <w:snapToGrid w:val="0"/>
        <w:spacing w:line="360" w:lineRule="auto"/>
        <w:contextualSpacing/>
        <w:jc w:val="left"/>
        <w:rPr>
          <w:rFonts w:hint="eastAsia" w:ascii="宋体" w:hAnsi="宋体" w:cs="宋体"/>
          <w:kern w:val="0"/>
          <w:sz w:val="22"/>
          <w:szCs w:val="22"/>
        </w:rPr>
      </w:pPr>
      <w:r>
        <w:rPr>
          <w:rFonts w:hint="eastAsia" w:ascii="宋体" w:hAnsi="宋体" w:cs="宋体"/>
          <w:kern w:val="0"/>
          <w:sz w:val="22"/>
          <w:szCs w:val="22"/>
        </w:rPr>
        <w:t>报表采用列表显示，二维、三维立体的图形化显示</w:t>
      </w:r>
      <w:r>
        <w:rPr>
          <w:rFonts w:hint="eastAsia" w:ascii="宋体" w:hAnsi="宋体" w:cs="宋体"/>
          <w:kern w:val="0"/>
          <w:sz w:val="22"/>
          <w:szCs w:val="22"/>
          <w:lang w:eastAsia="zh-CN"/>
        </w:rPr>
        <w:t>。</w:t>
      </w:r>
      <w:r>
        <w:rPr>
          <w:rFonts w:hint="eastAsia" w:ascii="宋体" w:hAnsi="宋体" w:cs="宋体"/>
          <w:kern w:val="0"/>
          <w:sz w:val="22"/>
          <w:szCs w:val="22"/>
        </w:rPr>
        <w:t xml:space="preserve"> </w:t>
      </w:r>
    </w:p>
    <w:p>
      <w:pPr>
        <w:numPr>
          <w:ilvl w:val="0"/>
          <w:numId w:val="97"/>
        </w:numPr>
        <w:snapToGrid w:val="0"/>
        <w:spacing w:line="360" w:lineRule="auto"/>
        <w:contextualSpacing/>
        <w:jc w:val="left"/>
        <w:rPr>
          <w:rFonts w:hint="eastAsia" w:ascii="宋体" w:hAnsi="宋体" w:cs="宋体"/>
          <w:kern w:val="0"/>
          <w:sz w:val="22"/>
          <w:szCs w:val="22"/>
        </w:rPr>
      </w:pPr>
      <w:r>
        <w:rPr>
          <w:rFonts w:hint="eastAsia" w:ascii="宋体" w:hAnsi="宋体" w:cs="宋体"/>
          <w:kern w:val="0"/>
          <w:sz w:val="22"/>
          <w:szCs w:val="22"/>
        </w:rPr>
        <w:t>根据管理职能授权，实现按层级查看功能。</w:t>
      </w:r>
    </w:p>
    <w:p>
      <w:pPr>
        <w:keepNext/>
        <w:keepLines/>
        <w:numPr>
          <w:ilvl w:val="2"/>
          <w:numId w:val="57"/>
        </w:numPr>
        <w:snapToGrid w:val="0"/>
        <w:spacing w:line="360" w:lineRule="auto"/>
        <w:jc w:val="left"/>
        <w:outlineLvl w:val="2"/>
        <w:rPr>
          <w:rFonts w:hint="eastAsia" w:ascii="宋体" w:hAnsi="宋体" w:cs="宋体"/>
          <w:b/>
          <w:bCs/>
          <w:sz w:val="22"/>
          <w:szCs w:val="22"/>
        </w:rPr>
      </w:pPr>
      <w:bookmarkStart w:id="854" w:name="_Toc6895"/>
      <w:bookmarkStart w:id="855" w:name="_Toc10117"/>
      <w:bookmarkStart w:id="856" w:name="_Toc22615"/>
      <w:r>
        <w:rPr>
          <w:rFonts w:hint="eastAsia" w:ascii="宋体" w:hAnsi="宋体" w:cs="宋体"/>
          <w:b/>
          <w:bCs/>
          <w:sz w:val="22"/>
          <w:szCs w:val="22"/>
        </w:rPr>
        <w:t>用户画像</w:t>
      </w:r>
      <w:bookmarkEnd w:id="854"/>
      <w:bookmarkEnd w:id="855"/>
      <w:bookmarkEnd w:id="856"/>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供应商整体画像</w:t>
      </w:r>
    </w:p>
    <w:p>
      <w:pPr>
        <w:numPr>
          <w:ilvl w:val="0"/>
          <w:numId w:val="98"/>
        </w:numPr>
        <w:snapToGrid w:val="0"/>
        <w:spacing w:line="360" w:lineRule="auto"/>
        <w:rPr>
          <w:rFonts w:hint="eastAsia" w:ascii="宋体" w:hAnsi="宋体" w:cs="宋体"/>
          <w:sz w:val="22"/>
          <w:szCs w:val="22"/>
        </w:rPr>
      </w:pPr>
      <w:r>
        <w:rPr>
          <w:rFonts w:hint="eastAsia" w:ascii="宋体" w:hAnsi="宋体" w:cs="宋体"/>
          <w:sz w:val="22"/>
          <w:szCs w:val="22"/>
        </w:rPr>
        <w:t>提供供应商区域分布可视化展示。</w:t>
      </w:r>
    </w:p>
    <w:p>
      <w:pPr>
        <w:numPr>
          <w:ilvl w:val="0"/>
          <w:numId w:val="98"/>
        </w:numPr>
        <w:snapToGrid w:val="0"/>
        <w:spacing w:line="360" w:lineRule="auto"/>
        <w:rPr>
          <w:rFonts w:hint="eastAsia" w:ascii="宋体" w:hAnsi="宋体" w:cs="宋体"/>
          <w:sz w:val="22"/>
          <w:szCs w:val="22"/>
        </w:rPr>
      </w:pPr>
      <w:r>
        <w:rPr>
          <w:rFonts w:hint="eastAsia" w:ascii="宋体" w:hAnsi="宋体" w:cs="宋体"/>
          <w:sz w:val="22"/>
          <w:szCs w:val="22"/>
        </w:rPr>
        <w:t>提供供应商行业分布可视化展示。</w:t>
      </w:r>
    </w:p>
    <w:p>
      <w:pPr>
        <w:numPr>
          <w:ilvl w:val="0"/>
          <w:numId w:val="98"/>
        </w:numPr>
        <w:snapToGrid w:val="0"/>
        <w:spacing w:line="360" w:lineRule="auto"/>
        <w:rPr>
          <w:rFonts w:hint="eastAsia" w:ascii="宋体" w:hAnsi="宋体" w:cs="宋体"/>
          <w:sz w:val="22"/>
          <w:szCs w:val="22"/>
        </w:rPr>
      </w:pPr>
      <w:r>
        <w:rPr>
          <w:rFonts w:hint="eastAsia" w:ascii="宋体" w:hAnsi="宋体" w:cs="宋体"/>
          <w:sz w:val="22"/>
          <w:szCs w:val="22"/>
        </w:rPr>
        <w:t>提供供应商等级分布可视化展示。</w:t>
      </w:r>
    </w:p>
    <w:p>
      <w:pPr>
        <w:numPr>
          <w:ilvl w:val="0"/>
          <w:numId w:val="98"/>
        </w:numPr>
        <w:snapToGrid w:val="0"/>
        <w:spacing w:line="360" w:lineRule="auto"/>
        <w:rPr>
          <w:rFonts w:hint="eastAsia" w:ascii="宋体" w:hAnsi="宋体" w:cs="宋体"/>
          <w:sz w:val="22"/>
          <w:szCs w:val="22"/>
        </w:rPr>
      </w:pPr>
      <w:r>
        <w:rPr>
          <w:rFonts w:hint="eastAsia" w:ascii="宋体" w:hAnsi="宋体" w:cs="宋体"/>
          <w:sz w:val="22"/>
          <w:szCs w:val="22"/>
        </w:rPr>
        <w:t>提供供应商合作情况可视化展示。</w:t>
      </w:r>
    </w:p>
    <w:p>
      <w:pPr>
        <w:numPr>
          <w:ilvl w:val="0"/>
          <w:numId w:val="98"/>
        </w:numPr>
        <w:snapToGrid w:val="0"/>
        <w:spacing w:line="360" w:lineRule="auto"/>
        <w:rPr>
          <w:rFonts w:hint="eastAsia" w:ascii="宋体" w:hAnsi="宋体" w:cs="宋体"/>
          <w:sz w:val="22"/>
          <w:szCs w:val="22"/>
        </w:rPr>
      </w:pPr>
      <w:r>
        <w:rPr>
          <w:rFonts w:hint="eastAsia" w:ascii="宋体" w:hAnsi="宋体" w:cs="宋体"/>
          <w:sz w:val="22"/>
          <w:szCs w:val="22"/>
        </w:rPr>
        <w:t>提供供应商画像标签可视化展示。</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供应商个体画像</w:t>
      </w:r>
    </w:p>
    <w:p>
      <w:pPr>
        <w:numPr>
          <w:ilvl w:val="0"/>
          <w:numId w:val="99"/>
        </w:numPr>
        <w:snapToGrid w:val="0"/>
        <w:spacing w:line="360" w:lineRule="auto"/>
        <w:rPr>
          <w:rFonts w:hint="eastAsia" w:ascii="宋体" w:hAnsi="宋体" w:cs="宋体"/>
          <w:sz w:val="22"/>
          <w:szCs w:val="22"/>
        </w:rPr>
      </w:pPr>
      <w:r>
        <w:rPr>
          <w:rFonts w:hint="eastAsia" w:ascii="宋体" w:hAnsi="宋体" w:cs="宋体"/>
          <w:sz w:val="22"/>
          <w:szCs w:val="22"/>
        </w:rPr>
        <w:t>提供供应商工商信息画像展示，包括基本信息、主要人员、企业股东、对外投资、企业年报、分支机构。</w:t>
      </w:r>
    </w:p>
    <w:p>
      <w:pPr>
        <w:numPr>
          <w:ilvl w:val="0"/>
          <w:numId w:val="99"/>
        </w:numPr>
        <w:snapToGrid w:val="0"/>
        <w:spacing w:line="360" w:lineRule="auto"/>
        <w:rPr>
          <w:rFonts w:hint="eastAsia" w:ascii="宋体" w:hAnsi="宋体" w:cs="宋体"/>
          <w:sz w:val="22"/>
          <w:szCs w:val="22"/>
        </w:rPr>
      </w:pPr>
      <w:r>
        <w:rPr>
          <w:rFonts w:hint="eastAsia" w:ascii="宋体" w:hAnsi="宋体" w:cs="宋体"/>
          <w:sz w:val="22"/>
          <w:szCs w:val="22"/>
        </w:rPr>
        <w:t>提供供应商经营信息画像展示，包括税务评级、信用评分、资产负债、现金流量、利润表、投标信息。</w:t>
      </w:r>
    </w:p>
    <w:p>
      <w:pPr>
        <w:numPr>
          <w:ilvl w:val="0"/>
          <w:numId w:val="99"/>
        </w:numPr>
        <w:snapToGrid w:val="0"/>
        <w:spacing w:line="360" w:lineRule="auto"/>
        <w:rPr>
          <w:rFonts w:hint="eastAsia" w:ascii="宋体" w:hAnsi="宋体" w:cs="宋体"/>
          <w:sz w:val="22"/>
          <w:szCs w:val="22"/>
        </w:rPr>
      </w:pPr>
      <w:r>
        <w:rPr>
          <w:rFonts w:hint="eastAsia" w:ascii="宋体" w:hAnsi="宋体" w:cs="宋体"/>
          <w:sz w:val="22"/>
          <w:szCs w:val="22"/>
        </w:rPr>
        <w:t>提供供应商资质信息画像展示，包括资质证明、专利、软著、商标、网站。</w:t>
      </w:r>
    </w:p>
    <w:p>
      <w:pPr>
        <w:numPr>
          <w:ilvl w:val="0"/>
          <w:numId w:val="99"/>
        </w:numPr>
        <w:snapToGrid w:val="0"/>
        <w:spacing w:line="360" w:lineRule="auto"/>
        <w:rPr>
          <w:rFonts w:hint="eastAsia" w:ascii="宋体" w:hAnsi="宋体" w:cs="宋体"/>
          <w:sz w:val="22"/>
          <w:szCs w:val="22"/>
        </w:rPr>
      </w:pPr>
      <w:r>
        <w:rPr>
          <w:rFonts w:hint="eastAsia" w:ascii="宋体" w:hAnsi="宋体" w:cs="宋体"/>
          <w:sz w:val="22"/>
          <w:szCs w:val="22"/>
        </w:rPr>
        <w:t>提供供应商合作信息画像展示，包括被邀请、参与投标、中标、合同签订、履约情况、违规情况。</w:t>
      </w:r>
    </w:p>
    <w:p>
      <w:pPr>
        <w:numPr>
          <w:ilvl w:val="0"/>
          <w:numId w:val="99"/>
        </w:numPr>
        <w:snapToGrid w:val="0"/>
        <w:spacing w:line="360" w:lineRule="auto"/>
        <w:rPr>
          <w:rFonts w:hint="eastAsia" w:ascii="宋体" w:hAnsi="宋体" w:cs="宋体"/>
          <w:sz w:val="22"/>
          <w:szCs w:val="22"/>
        </w:rPr>
      </w:pPr>
      <w:r>
        <w:rPr>
          <w:rFonts w:hint="eastAsia" w:ascii="宋体" w:hAnsi="宋体" w:cs="宋体"/>
          <w:sz w:val="22"/>
          <w:szCs w:val="22"/>
        </w:rPr>
        <w:t>提供供应商风险信息画像展示，包括经营风险、司法风险、竞争关系、需求关系等。</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采购单位画像</w:t>
      </w:r>
    </w:p>
    <w:p>
      <w:pPr>
        <w:snapToGrid w:val="0"/>
        <w:spacing w:line="360" w:lineRule="auto"/>
        <w:ind w:firstLine="440" w:firstLineChars="200"/>
        <w:rPr>
          <w:rFonts w:hint="eastAsia" w:ascii="宋体" w:hAnsi="宋体" w:cs="宋体"/>
          <w:sz w:val="22"/>
          <w:szCs w:val="22"/>
        </w:rPr>
      </w:pPr>
      <w:r>
        <w:rPr>
          <w:rFonts w:hint="eastAsia" w:ascii="宋体" w:hAnsi="宋体" w:cs="宋体"/>
          <w:sz w:val="22"/>
          <w:szCs w:val="22"/>
        </w:rPr>
        <w:t>提供按照需求、物资、采购金额、采购方式占比、中标供应商、仓储品控等纬度进行采购单位画像建模展示</w:t>
      </w:r>
    </w:p>
    <w:p>
      <w:pPr>
        <w:keepNext/>
        <w:keepLines/>
        <w:numPr>
          <w:ilvl w:val="2"/>
          <w:numId w:val="57"/>
        </w:numPr>
        <w:snapToGrid w:val="0"/>
        <w:spacing w:line="360" w:lineRule="auto"/>
        <w:jc w:val="left"/>
        <w:outlineLvl w:val="2"/>
        <w:rPr>
          <w:rFonts w:hint="eastAsia" w:ascii="宋体" w:hAnsi="宋体" w:cs="宋体"/>
          <w:b/>
          <w:bCs/>
          <w:sz w:val="22"/>
          <w:szCs w:val="22"/>
        </w:rPr>
      </w:pPr>
      <w:bookmarkStart w:id="857" w:name="_Toc21701"/>
      <w:bookmarkStart w:id="858" w:name="_Toc24885"/>
      <w:bookmarkStart w:id="859" w:name="_Toc26519"/>
      <w:r>
        <w:rPr>
          <w:rFonts w:hint="eastAsia" w:ascii="宋体" w:hAnsi="宋体" w:cs="宋体"/>
          <w:b/>
          <w:bCs/>
          <w:sz w:val="22"/>
          <w:szCs w:val="22"/>
        </w:rPr>
        <w:t>供应链全过程标准数据接口</w:t>
      </w:r>
      <w:bookmarkEnd w:id="857"/>
      <w:bookmarkEnd w:id="858"/>
      <w:bookmarkEnd w:id="859"/>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基础物料价格接口</w:t>
      </w:r>
    </w:p>
    <w:p>
      <w:pPr>
        <w:snapToGrid w:val="0"/>
        <w:spacing w:line="360" w:lineRule="auto"/>
        <w:ind w:firstLine="440" w:firstLineChars="200"/>
        <w:rPr>
          <w:rFonts w:hint="eastAsia" w:ascii="宋体" w:hAnsi="宋体" w:cs="宋体"/>
          <w:sz w:val="22"/>
          <w:szCs w:val="22"/>
        </w:rPr>
      </w:pPr>
      <w:r>
        <w:rPr>
          <w:rFonts w:hint="eastAsia" w:ascii="宋体" w:hAnsi="宋体" w:cs="宋体"/>
          <w:sz w:val="22"/>
          <w:szCs w:val="22"/>
        </w:rPr>
        <w:t>通过对行业品类历史报价数据进行挖掘分析，形成行业品类、辅材等采购价格参考数据，形成行业价格趋势图标、报表。</w:t>
      </w:r>
    </w:p>
    <w:p>
      <w:pPr>
        <w:keepNext/>
        <w:keepLines/>
        <w:numPr>
          <w:ilvl w:val="3"/>
          <w:numId w:val="57"/>
        </w:numPr>
        <w:tabs>
          <w:tab w:val="left" w:pos="420"/>
          <w:tab w:val="clear" w:pos="0"/>
        </w:tabs>
        <w:snapToGrid w:val="0"/>
        <w:spacing w:line="360" w:lineRule="auto"/>
        <w:outlineLvl w:val="3"/>
        <w:rPr>
          <w:rFonts w:hint="eastAsia" w:ascii="宋体" w:hAnsi="宋体" w:cs="宋体"/>
          <w:b/>
          <w:bCs/>
          <w:sz w:val="22"/>
          <w:szCs w:val="22"/>
        </w:rPr>
      </w:pPr>
      <w:r>
        <w:rPr>
          <w:rFonts w:hint="eastAsia" w:ascii="宋体" w:hAnsi="宋体" w:cs="宋体"/>
          <w:b/>
          <w:bCs/>
          <w:sz w:val="22"/>
          <w:szCs w:val="22"/>
        </w:rPr>
        <w:t>廉洁风险接口</w:t>
      </w:r>
    </w:p>
    <w:p>
      <w:pPr>
        <w:snapToGrid w:val="0"/>
        <w:spacing w:line="360" w:lineRule="auto"/>
        <w:ind w:firstLine="440" w:firstLineChars="200"/>
        <w:rPr>
          <w:rFonts w:hint="eastAsia" w:ascii="宋体" w:hAnsi="宋体" w:cs="宋体"/>
          <w:sz w:val="22"/>
          <w:szCs w:val="22"/>
        </w:rPr>
      </w:pPr>
      <w:r>
        <w:rPr>
          <w:rFonts w:hint="eastAsia" w:ascii="宋体" w:hAnsi="宋体" w:cs="宋体"/>
          <w:sz w:val="22"/>
          <w:szCs w:val="22"/>
        </w:rPr>
        <w:t>通过对供应链数据沉淀，提供供应商廉洁风险预警及提醒公共接口。</w:t>
      </w:r>
      <w:bookmarkEnd w:id="464"/>
      <w:bookmarkEnd w:id="465"/>
      <w:bookmarkEnd w:id="466"/>
      <w:bookmarkEnd w:id="467"/>
      <w:bookmarkEnd w:id="468"/>
      <w:bookmarkEnd w:id="469"/>
      <w:bookmarkEnd w:id="470"/>
      <w:bookmarkEnd w:id="471"/>
    </w:p>
    <w:p>
      <w:pPr>
        <w:snapToGrid w:val="0"/>
        <w:spacing w:line="360" w:lineRule="auto"/>
        <w:rPr>
          <w:rFonts w:hint="eastAsia" w:ascii="宋体" w:hAnsi="宋体" w:cs="宋体"/>
          <w:sz w:val="22"/>
          <w:szCs w:val="22"/>
        </w:rPr>
      </w:pPr>
    </w:p>
    <w:p>
      <w:pPr>
        <w:pStyle w:val="4"/>
        <w:numPr>
          <w:ilvl w:val="1"/>
          <w:numId w:val="57"/>
        </w:numPr>
        <w:tabs>
          <w:tab w:val="clear" w:pos="420"/>
        </w:tabs>
        <w:snapToGrid w:val="0"/>
        <w:spacing w:before="0" w:after="0" w:line="360" w:lineRule="auto"/>
        <w:rPr>
          <w:rFonts w:hint="eastAsia" w:ascii="宋体" w:hAnsi="宋体" w:eastAsia="宋体" w:cs="宋体"/>
          <w:sz w:val="22"/>
          <w:szCs w:val="22"/>
        </w:rPr>
      </w:pPr>
      <w:bookmarkStart w:id="860" w:name="_Toc110279037"/>
      <w:bookmarkStart w:id="861" w:name="_Toc6668"/>
      <w:bookmarkStart w:id="862" w:name="_Toc7891"/>
      <w:bookmarkStart w:id="863" w:name="_Toc4958"/>
      <w:bookmarkStart w:id="864" w:name="_Toc19922"/>
      <w:bookmarkStart w:id="865" w:name="_Toc18109"/>
      <w:bookmarkStart w:id="866" w:name="_Toc1905"/>
      <w:r>
        <w:rPr>
          <w:rFonts w:hint="eastAsia" w:ascii="宋体" w:hAnsi="宋体" w:eastAsia="宋体" w:cs="宋体"/>
          <w:sz w:val="22"/>
          <w:szCs w:val="22"/>
        </w:rPr>
        <w:t>★技术要求</w:t>
      </w:r>
      <w:bookmarkEnd w:id="860"/>
      <w:bookmarkEnd w:id="861"/>
      <w:bookmarkEnd w:id="862"/>
    </w:p>
    <w:p>
      <w:pPr>
        <w:pStyle w:val="5"/>
        <w:numPr>
          <w:ilvl w:val="2"/>
          <w:numId w:val="57"/>
        </w:numPr>
        <w:snapToGrid w:val="0"/>
        <w:spacing w:before="0" w:after="0" w:line="360" w:lineRule="auto"/>
        <w:rPr>
          <w:rFonts w:hint="eastAsia" w:ascii="宋体" w:hAnsi="宋体" w:cs="宋体"/>
          <w:bCs w:val="0"/>
          <w:sz w:val="22"/>
          <w:szCs w:val="22"/>
        </w:rPr>
      </w:pPr>
      <w:bookmarkStart w:id="867" w:name="_Toc14581"/>
      <w:bookmarkStart w:id="868" w:name="_Toc19440"/>
      <w:r>
        <w:rPr>
          <w:rFonts w:hint="eastAsia" w:ascii="宋体" w:hAnsi="宋体" w:cs="宋体"/>
          <w:bCs w:val="0"/>
          <w:sz w:val="22"/>
          <w:szCs w:val="22"/>
        </w:rPr>
        <w:t>通用要求</w:t>
      </w:r>
      <w:bookmarkEnd w:id="867"/>
      <w:bookmarkEnd w:id="868"/>
    </w:p>
    <w:p>
      <w:pPr>
        <w:numPr>
          <w:ilvl w:val="0"/>
          <w:numId w:val="100"/>
        </w:numPr>
        <w:snapToGrid w:val="0"/>
        <w:spacing w:line="360" w:lineRule="auto"/>
        <w:ind w:left="0" w:firstLine="519" w:firstLineChars="236"/>
        <w:rPr>
          <w:rFonts w:hint="eastAsia" w:ascii="宋体" w:hAnsi="宋体" w:cs="宋体"/>
          <w:kern w:val="0"/>
          <w:sz w:val="22"/>
          <w:szCs w:val="22"/>
        </w:rPr>
      </w:pPr>
      <w:bookmarkStart w:id="869" w:name="_Toc19568"/>
      <w:bookmarkStart w:id="870" w:name="_Toc20336"/>
      <w:r>
        <w:rPr>
          <w:rFonts w:hint="eastAsia" w:ascii="宋体" w:hAnsi="宋体" w:cs="宋体"/>
          <w:kern w:val="0"/>
          <w:sz w:val="22"/>
          <w:szCs w:val="22"/>
        </w:rPr>
        <w:t>系统应基于当前主流技术体系（如</w:t>
      </w:r>
      <w:r>
        <w:rPr>
          <w:rFonts w:hint="eastAsia" w:ascii="宋体" w:hAnsi="宋体" w:cs="宋体"/>
          <w:kern w:val="0"/>
          <w:sz w:val="22"/>
          <w:szCs w:val="22"/>
          <w:lang w:val="en-US" w:eastAsia="zh-CN"/>
        </w:rPr>
        <w:t>J2EE</w:t>
      </w:r>
      <w:r>
        <w:rPr>
          <w:rFonts w:hint="eastAsia" w:ascii="宋体" w:hAnsi="宋体" w:cs="宋体"/>
          <w:kern w:val="0"/>
          <w:sz w:val="22"/>
          <w:szCs w:val="22"/>
        </w:rPr>
        <w:t>）设计研发，系统必须为平台性产品，</w:t>
      </w:r>
      <w:r>
        <w:rPr>
          <w:rFonts w:hint="eastAsia" w:ascii="宋体" w:hAnsi="宋体" w:cs="宋体"/>
          <w:kern w:val="0"/>
          <w:sz w:val="22"/>
          <w:szCs w:val="22"/>
          <w:lang w:val="en-US" w:eastAsia="zh-CN"/>
        </w:rPr>
        <w:t>支持微服务架构、</w:t>
      </w:r>
      <w:r>
        <w:rPr>
          <w:rFonts w:hint="eastAsia" w:ascii="宋体" w:hAnsi="宋体" w:cs="宋体"/>
          <w:kern w:val="0"/>
          <w:sz w:val="22"/>
          <w:szCs w:val="22"/>
        </w:rPr>
        <w:t>易于客户开发和配置。</w:t>
      </w:r>
    </w:p>
    <w:p>
      <w:pPr>
        <w:numPr>
          <w:ilvl w:val="0"/>
          <w:numId w:val="100"/>
        </w:numPr>
        <w:snapToGrid w:val="0"/>
        <w:spacing w:line="360" w:lineRule="auto"/>
        <w:ind w:left="0" w:firstLine="519" w:firstLineChars="236"/>
        <w:rPr>
          <w:rFonts w:hint="eastAsia" w:ascii="宋体" w:hAnsi="宋体" w:cs="宋体"/>
          <w:kern w:val="0"/>
          <w:sz w:val="22"/>
          <w:szCs w:val="22"/>
        </w:rPr>
      </w:pPr>
      <w:r>
        <w:rPr>
          <w:rFonts w:hint="eastAsia" w:ascii="宋体" w:hAnsi="宋体" w:cs="宋体"/>
          <w:kern w:val="0"/>
          <w:sz w:val="22"/>
          <w:szCs w:val="22"/>
        </w:rPr>
        <w:t>系统以B/S架构为主，支持主流浏览器访问登录</w:t>
      </w:r>
      <w:r>
        <w:rPr>
          <w:rFonts w:hint="eastAsia" w:ascii="宋体" w:hAnsi="宋体" w:eastAsia="宋体" w:cs="宋体"/>
          <w:kern w:val="0"/>
          <w:sz w:val="22"/>
          <w:szCs w:val="22"/>
        </w:rPr>
        <w:t>，支持堡垒机跳转访问</w:t>
      </w:r>
      <w:r>
        <w:rPr>
          <w:rFonts w:hint="eastAsia" w:ascii="宋体" w:hAnsi="宋体" w:cs="宋体"/>
          <w:kern w:val="0"/>
          <w:sz w:val="22"/>
          <w:szCs w:val="22"/>
        </w:rPr>
        <w:t>。</w:t>
      </w:r>
    </w:p>
    <w:p>
      <w:pPr>
        <w:numPr>
          <w:ilvl w:val="0"/>
          <w:numId w:val="100"/>
        </w:numPr>
        <w:snapToGrid w:val="0"/>
        <w:spacing w:line="360" w:lineRule="auto"/>
        <w:ind w:left="0" w:firstLine="519" w:firstLineChars="236"/>
        <w:rPr>
          <w:rFonts w:hint="eastAsia" w:ascii="宋体" w:hAnsi="宋体" w:cs="宋体"/>
          <w:kern w:val="0"/>
          <w:sz w:val="22"/>
          <w:szCs w:val="22"/>
        </w:rPr>
      </w:pPr>
      <w:r>
        <w:rPr>
          <w:rFonts w:hint="eastAsia" w:ascii="宋体" w:hAnsi="宋体" w:eastAsia="宋体" w:cs="宋体"/>
          <w:kern w:val="0"/>
          <w:sz w:val="22"/>
          <w:szCs w:val="22"/>
          <w:lang w:val="en-US" w:eastAsia="zh-CN"/>
        </w:rPr>
        <w:t>手机</w:t>
      </w:r>
      <w:r>
        <w:rPr>
          <w:rFonts w:hint="eastAsia" w:ascii="宋体" w:hAnsi="宋体" w:eastAsia="宋体" w:cs="宋体"/>
          <w:kern w:val="0"/>
          <w:sz w:val="22"/>
          <w:szCs w:val="22"/>
        </w:rPr>
        <w:t>端APP</w:t>
      </w:r>
      <w:r>
        <w:rPr>
          <w:rFonts w:hint="eastAsia" w:ascii="宋体" w:hAnsi="宋体" w:cs="宋体"/>
          <w:kern w:val="0"/>
          <w:sz w:val="22"/>
          <w:szCs w:val="22"/>
          <w:lang w:val="en-US" w:eastAsia="zh-CN"/>
        </w:rPr>
        <w:t>支持Android、IOS</w:t>
      </w:r>
      <w:r>
        <w:rPr>
          <w:rFonts w:hint="eastAsia" w:ascii="宋体" w:hAnsi="宋体" w:eastAsia="宋体" w:cs="宋体"/>
          <w:kern w:val="0"/>
          <w:sz w:val="22"/>
          <w:szCs w:val="22"/>
        </w:rPr>
        <w:t>，支持登录</w:t>
      </w:r>
      <w:r>
        <w:rPr>
          <w:rFonts w:hint="eastAsia" w:ascii="宋体" w:hAnsi="宋体" w:cs="宋体"/>
          <w:kern w:val="0"/>
          <w:sz w:val="22"/>
          <w:szCs w:val="22"/>
          <w:lang w:val="en-US" w:eastAsia="zh-CN"/>
        </w:rPr>
        <w:t>身份认证</w:t>
      </w:r>
      <w:r>
        <w:rPr>
          <w:rFonts w:hint="eastAsia" w:ascii="宋体" w:hAnsi="宋体" w:eastAsia="宋体" w:cs="宋体"/>
          <w:kern w:val="0"/>
          <w:sz w:val="22"/>
          <w:szCs w:val="22"/>
        </w:rPr>
        <w:t>，</w:t>
      </w:r>
      <w:r>
        <w:rPr>
          <w:rFonts w:hint="eastAsia" w:ascii="宋体" w:hAnsi="宋体" w:cs="宋体"/>
          <w:kern w:val="0"/>
          <w:sz w:val="22"/>
          <w:szCs w:val="22"/>
          <w:lang w:val="en-US" w:eastAsia="zh-CN"/>
        </w:rPr>
        <w:t>提供供应商、采购经办人在线查看、审批功能</w:t>
      </w:r>
      <w:r>
        <w:rPr>
          <w:rFonts w:hint="eastAsia" w:ascii="宋体" w:hAnsi="宋体" w:eastAsia="宋体" w:cs="宋体"/>
          <w:kern w:val="0"/>
          <w:sz w:val="22"/>
          <w:szCs w:val="22"/>
        </w:rPr>
        <w:t>。</w:t>
      </w:r>
    </w:p>
    <w:p>
      <w:pPr>
        <w:numPr>
          <w:ilvl w:val="0"/>
          <w:numId w:val="100"/>
        </w:numPr>
        <w:snapToGrid w:val="0"/>
        <w:spacing w:line="360" w:lineRule="auto"/>
        <w:ind w:left="0" w:firstLine="519" w:firstLineChars="236"/>
        <w:rPr>
          <w:rFonts w:hint="eastAsia" w:ascii="宋体" w:hAnsi="宋体" w:cs="宋体"/>
          <w:kern w:val="0"/>
          <w:sz w:val="22"/>
          <w:szCs w:val="22"/>
        </w:rPr>
      </w:pPr>
      <w:r>
        <w:rPr>
          <w:rFonts w:hint="eastAsia" w:ascii="宋体" w:hAnsi="宋体" w:cs="宋体"/>
          <w:kern w:val="0"/>
          <w:sz w:val="22"/>
          <w:szCs w:val="22"/>
          <w:lang w:val="en-US" w:eastAsia="zh-CN"/>
        </w:rPr>
        <w:t>系统支持Restful接口规范，可以与集团OA等系统进行对接；系统元数据支持接入集团数据仓库。</w:t>
      </w:r>
    </w:p>
    <w:p>
      <w:pPr>
        <w:numPr>
          <w:ilvl w:val="0"/>
          <w:numId w:val="100"/>
        </w:numPr>
        <w:snapToGrid w:val="0"/>
        <w:spacing w:line="360" w:lineRule="auto"/>
        <w:ind w:left="0" w:firstLine="519" w:firstLineChars="236"/>
        <w:rPr>
          <w:rFonts w:hint="eastAsia" w:ascii="宋体" w:hAnsi="宋体" w:cs="宋体"/>
          <w:kern w:val="0"/>
          <w:sz w:val="22"/>
          <w:szCs w:val="22"/>
        </w:rPr>
      </w:pPr>
      <w:r>
        <w:rPr>
          <w:rFonts w:hint="eastAsia" w:ascii="宋体" w:hAnsi="宋体" w:cs="宋体"/>
          <w:kern w:val="0"/>
          <w:sz w:val="22"/>
          <w:szCs w:val="22"/>
        </w:rPr>
        <w:t>支持标准的J2EE中间件，如Tomcat等。</w:t>
      </w:r>
    </w:p>
    <w:p>
      <w:pPr>
        <w:numPr>
          <w:ilvl w:val="0"/>
          <w:numId w:val="100"/>
        </w:numPr>
        <w:snapToGrid w:val="0"/>
        <w:spacing w:line="360" w:lineRule="auto"/>
        <w:ind w:left="0" w:firstLine="519" w:firstLineChars="236"/>
        <w:rPr>
          <w:rFonts w:hint="eastAsia" w:ascii="宋体" w:hAnsi="宋体" w:cs="宋体"/>
          <w:kern w:val="0"/>
          <w:sz w:val="22"/>
          <w:szCs w:val="22"/>
        </w:rPr>
      </w:pPr>
      <w:r>
        <w:rPr>
          <w:rFonts w:hint="eastAsia" w:ascii="宋体" w:hAnsi="宋体" w:cs="宋体"/>
          <w:kern w:val="0"/>
          <w:sz w:val="22"/>
          <w:szCs w:val="22"/>
        </w:rPr>
        <w:t>支持主流数据库系统，如MySQL、Oracle等。</w:t>
      </w:r>
    </w:p>
    <w:p>
      <w:pPr>
        <w:numPr>
          <w:ilvl w:val="0"/>
          <w:numId w:val="100"/>
        </w:numPr>
        <w:snapToGrid w:val="0"/>
        <w:spacing w:line="360" w:lineRule="auto"/>
        <w:ind w:left="0" w:firstLine="519" w:firstLineChars="236"/>
        <w:rPr>
          <w:rFonts w:hint="eastAsia" w:ascii="宋体" w:hAnsi="宋体" w:cs="宋体"/>
          <w:kern w:val="0"/>
          <w:sz w:val="22"/>
          <w:szCs w:val="22"/>
        </w:rPr>
      </w:pPr>
      <w:r>
        <w:rPr>
          <w:rFonts w:hint="eastAsia" w:ascii="宋体" w:hAnsi="宋体" w:cs="宋体"/>
          <w:kern w:val="0"/>
          <w:sz w:val="22"/>
          <w:szCs w:val="22"/>
        </w:rPr>
        <w:t>数据库服务器、应用服务器和Web服务器等采用Unix/Linux操作系统。</w:t>
      </w:r>
    </w:p>
    <w:p>
      <w:pPr>
        <w:numPr>
          <w:ilvl w:val="0"/>
          <w:numId w:val="100"/>
        </w:numPr>
        <w:snapToGrid w:val="0"/>
        <w:spacing w:line="360" w:lineRule="auto"/>
        <w:ind w:left="0" w:firstLine="519" w:firstLineChars="236"/>
        <w:rPr>
          <w:rFonts w:hint="eastAsia" w:ascii="宋体" w:hAnsi="宋体" w:cs="宋体"/>
          <w:kern w:val="0"/>
          <w:sz w:val="22"/>
          <w:szCs w:val="22"/>
        </w:rPr>
      </w:pPr>
      <w:r>
        <w:rPr>
          <w:rFonts w:hint="eastAsia" w:ascii="宋体" w:hAnsi="宋体" w:cs="宋体"/>
          <w:kern w:val="0"/>
          <w:sz w:val="22"/>
          <w:szCs w:val="22"/>
        </w:rPr>
        <w:t>系统支持公司内网云环境的部署。</w:t>
      </w:r>
    </w:p>
    <w:p>
      <w:pPr>
        <w:numPr>
          <w:ilvl w:val="0"/>
          <w:numId w:val="100"/>
        </w:numPr>
        <w:snapToGrid w:val="0"/>
        <w:spacing w:line="360" w:lineRule="auto"/>
        <w:ind w:left="0" w:firstLine="519" w:firstLineChars="236"/>
        <w:rPr>
          <w:rFonts w:hint="eastAsia" w:ascii="宋体" w:hAnsi="宋体" w:cs="宋体"/>
          <w:kern w:val="0"/>
          <w:sz w:val="22"/>
          <w:szCs w:val="22"/>
        </w:rPr>
      </w:pPr>
      <w:r>
        <w:rPr>
          <w:rFonts w:hint="eastAsia" w:ascii="宋体" w:hAnsi="宋体" w:cs="宋体"/>
          <w:kern w:val="0"/>
          <w:sz w:val="22"/>
          <w:szCs w:val="22"/>
          <w:lang w:val="en-US" w:eastAsia="zh-CN"/>
        </w:rPr>
        <w:t>系统</w:t>
      </w:r>
      <w:r>
        <w:rPr>
          <w:rFonts w:hint="eastAsia" w:ascii="宋体" w:hAnsi="宋体" w:eastAsia="宋体" w:cs="宋体"/>
          <w:kern w:val="0"/>
          <w:sz w:val="22"/>
          <w:szCs w:val="22"/>
        </w:rPr>
        <w:t>应有数据库灾备方案，支持数据定时同步，远程同步，具备容灾、备份、恢复、迁移等功能，兼容多点异地备份方式，支持备份恢复</w:t>
      </w:r>
    </w:p>
    <w:p>
      <w:pPr>
        <w:pStyle w:val="2"/>
        <w:numPr>
          <w:ilvl w:val="2"/>
          <w:numId w:val="57"/>
        </w:numPr>
        <w:snapToGrid w:val="0"/>
        <w:spacing w:before="0" w:after="0" w:line="360" w:lineRule="auto"/>
        <w:rPr>
          <w:rFonts w:hint="eastAsia" w:ascii="宋体" w:hAnsi="宋体" w:eastAsia="宋体" w:cs="宋体"/>
          <w:bCs w:val="0"/>
          <w:sz w:val="22"/>
          <w:szCs w:val="22"/>
        </w:rPr>
      </w:pPr>
      <w:bookmarkStart w:id="871" w:name="_Toc31138"/>
      <w:bookmarkStart w:id="872" w:name="_Toc19529"/>
      <w:bookmarkStart w:id="873" w:name="_Toc27191"/>
      <w:bookmarkStart w:id="874" w:name="_Toc30848"/>
      <w:bookmarkStart w:id="875" w:name="_Toc4379"/>
      <w:bookmarkStart w:id="876" w:name="_Toc15997"/>
      <w:bookmarkStart w:id="877" w:name="_Toc18780"/>
      <w:bookmarkStart w:id="878" w:name="_Toc19677"/>
      <w:r>
        <w:rPr>
          <w:rFonts w:hint="eastAsia" w:ascii="宋体" w:hAnsi="宋体" w:eastAsia="宋体" w:cs="宋体"/>
          <w:bCs w:val="0"/>
          <w:sz w:val="22"/>
          <w:szCs w:val="22"/>
        </w:rPr>
        <w:t>安全要求</w:t>
      </w:r>
      <w:bookmarkEnd w:id="871"/>
      <w:bookmarkEnd w:id="872"/>
      <w:bookmarkEnd w:id="873"/>
      <w:bookmarkEnd w:id="874"/>
      <w:bookmarkEnd w:id="875"/>
      <w:bookmarkEnd w:id="876"/>
      <w:bookmarkEnd w:id="877"/>
      <w:bookmarkEnd w:id="878"/>
    </w:p>
    <w:p>
      <w:pPr>
        <w:snapToGrid w:val="0"/>
        <w:spacing w:line="360" w:lineRule="auto"/>
        <w:ind w:firstLine="442" w:firstLineChars="200"/>
        <w:rPr>
          <w:rFonts w:hint="eastAsia" w:ascii="宋体" w:hAnsi="宋体" w:cs="宋体"/>
          <w:b/>
          <w:bCs/>
          <w:kern w:val="0"/>
          <w:sz w:val="22"/>
          <w:szCs w:val="22"/>
        </w:rPr>
      </w:pPr>
      <w:bookmarkStart w:id="879" w:name="_Toc24968"/>
      <w:bookmarkStart w:id="880" w:name="_Toc6283"/>
      <w:bookmarkStart w:id="881" w:name="_Toc21888"/>
      <w:bookmarkStart w:id="882" w:name="_Toc16008"/>
      <w:bookmarkStart w:id="883" w:name="_Toc20256"/>
      <w:bookmarkStart w:id="884" w:name="_Toc15633"/>
      <w:r>
        <w:rPr>
          <w:rFonts w:hint="eastAsia" w:ascii="宋体" w:hAnsi="宋体" w:cs="宋体"/>
          <w:b/>
          <w:bCs/>
          <w:kern w:val="0"/>
          <w:sz w:val="22"/>
          <w:szCs w:val="22"/>
        </w:rPr>
        <w:t>1)</w:t>
      </w:r>
      <w:r>
        <w:rPr>
          <w:rFonts w:hint="eastAsia" w:ascii="宋体" w:hAnsi="宋体" w:eastAsia="宋体" w:cs="宋体"/>
          <w:b/>
          <w:bCs/>
          <w:kern w:val="0"/>
          <w:sz w:val="22"/>
          <w:szCs w:val="22"/>
          <w:lang w:val="en-US" w:eastAsia="zh-CN"/>
        </w:rPr>
        <w:t>用户管理：</w:t>
      </w:r>
      <w:r>
        <w:rPr>
          <w:rFonts w:hint="eastAsia" w:ascii="宋体" w:hAnsi="宋体" w:eastAsia="宋体" w:cs="宋体"/>
          <w:b w:val="0"/>
          <w:bCs w:val="0"/>
          <w:kern w:val="0"/>
          <w:sz w:val="22"/>
          <w:szCs w:val="22"/>
          <w:lang w:val="en-US" w:eastAsia="zh-CN"/>
        </w:rPr>
        <w:t>系统支持用户注册、登录、管理、权限划分与配置；外部用户可通过实名注册使用系统；内部用户通过系统管理员开通账号使用系统；系统支持游客身份浏览公开信息，无法进行其他操作；内部用户首次登录需强制修改密码；密码设置规则</w:t>
      </w:r>
      <w:r>
        <w:rPr>
          <w:rFonts w:hint="eastAsia" w:ascii="宋体" w:hAnsi="宋体" w:cs="宋体"/>
          <w:b w:val="0"/>
          <w:bCs w:val="0"/>
          <w:kern w:val="0"/>
          <w:sz w:val="22"/>
          <w:szCs w:val="22"/>
          <w:lang w:val="en-US" w:eastAsia="zh-CN"/>
        </w:rPr>
        <w:t>符合主流安全要求</w:t>
      </w:r>
      <w:r>
        <w:rPr>
          <w:rFonts w:hint="eastAsia" w:ascii="宋体" w:hAnsi="宋体" w:eastAsia="宋体" w:cs="宋体"/>
          <w:b w:val="0"/>
          <w:bCs w:val="0"/>
          <w:kern w:val="0"/>
          <w:sz w:val="22"/>
          <w:szCs w:val="22"/>
          <w:lang w:val="en-US" w:eastAsia="zh-CN"/>
        </w:rPr>
        <w:t>复杂度</w:t>
      </w:r>
      <w:r>
        <w:rPr>
          <w:rFonts w:hint="eastAsia" w:ascii="宋体" w:hAnsi="宋体" w:cs="宋体"/>
          <w:b w:val="0"/>
          <w:bCs w:val="0"/>
          <w:kern w:val="0"/>
          <w:sz w:val="22"/>
          <w:szCs w:val="22"/>
          <w:lang w:val="en-US" w:eastAsia="zh-CN"/>
        </w:rPr>
        <w:t>；支持用户登陆系统后用户水印机制。</w:t>
      </w:r>
    </w:p>
    <w:p>
      <w:pPr>
        <w:snapToGrid w:val="0"/>
        <w:spacing w:line="360" w:lineRule="auto"/>
        <w:ind w:firstLine="442" w:firstLineChars="200"/>
        <w:rPr>
          <w:rFonts w:hint="eastAsia" w:ascii="宋体" w:hAnsi="宋体" w:cs="宋体"/>
          <w:kern w:val="0"/>
          <w:sz w:val="22"/>
          <w:szCs w:val="22"/>
        </w:rPr>
      </w:pPr>
      <w:r>
        <w:rPr>
          <w:rFonts w:hint="eastAsia" w:ascii="宋体" w:hAnsi="宋体" w:cs="宋体"/>
          <w:b/>
          <w:bCs/>
          <w:kern w:val="0"/>
          <w:sz w:val="22"/>
          <w:szCs w:val="22"/>
          <w:lang w:val="en-US" w:eastAsia="zh-CN"/>
        </w:rPr>
        <w:t>2）</w:t>
      </w:r>
      <w:r>
        <w:rPr>
          <w:rFonts w:hint="eastAsia" w:ascii="宋体" w:hAnsi="宋体" w:cs="宋体"/>
          <w:b/>
          <w:bCs/>
          <w:kern w:val="0"/>
          <w:sz w:val="22"/>
          <w:szCs w:val="22"/>
        </w:rPr>
        <w:t>权限控制</w:t>
      </w:r>
      <w:r>
        <w:rPr>
          <w:rFonts w:hint="eastAsia" w:ascii="宋体" w:hAnsi="宋体" w:cs="宋体"/>
          <w:kern w:val="0"/>
          <w:sz w:val="22"/>
          <w:szCs w:val="22"/>
        </w:rPr>
        <w:t>：系统支持</w:t>
      </w:r>
      <w:r>
        <w:rPr>
          <w:rFonts w:hint="eastAsia" w:ascii="宋体" w:hAnsi="宋体" w:eastAsia="宋体" w:cs="宋体"/>
          <w:kern w:val="0"/>
          <w:sz w:val="22"/>
          <w:szCs w:val="22"/>
          <w:lang w:val="en-US" w:eastAsia="zh-CN"/>
        </w:rPr>
        <w:t>对注册用户</w:t>
      </w:r>
      <w:r>
        <w:rPr>
          <w:rFonts w:hint="eastAsia" w:ascii="宋体" w:hAnsi="宋体" w:cs="宋体"/>
          <w:kern w:val="0"/>
          <w:sz w:val="22"/>
          <w:szCs w:val="22"/>
        </w:rPr>
        <w:t>进行功能权限、部门、单位权限的</w:t>
      </w:r>
      <w:r>
        <w:rPr>
          <w:rFonts w:hint="eastAsia" w:ascii="宋体" w:hAnsi="宋体" w:eastAsia="宋体" w:cs="宋体"/>
          <w:kern w:val="0"/>
          <w:sz w:val="22"/>
          <w:szCs w:val="22"/>
        </w:rPr>
        <w:t>配置、</w:t>
      </w:r>
      <w:r>
        <w:rPr>
          <w:rFonts w:hint="eastAsia" w:ascii="宋体" w:hAnsi="宋体" w:cs="宋体"/>
          <w:kern w:val="0"/>
          <w:sz w:val="22"/>
          <w:szCs w:val="22"/>
        </w:rPr>
        <w:t>判断和控制。根据不同用户，</w:t>
      </w:r>
      <w:r>
        <w:rPr>
          <w:rFonts w:hint="eastAsia" w:ascii="宋体" w:hAnsi="宋体" w:eastAsia="宋体" w:cs="宋体"/>
          <w:kern w:val="0"/>
          <w:sz w:val="22"/>
          <w:szCs w:val="22"/>
        </w:rPr>
        <w:t>系统管理员可</w:t>
      </w:r>
      <w:r>
        <w:rPr>
          <w:rFonts w:hint="eastAsia" w:ascii="宋体" w:hAnsi="宋体" w:cs="宋体"/>
          <w:kern w:val="0"/>
          <w:sz w:val="22"/>
          <w:szCs w:val="22"/>
        </w:rPr>
        <w:t>设置相应权限，用户的操作设日志记录以备查看，没有权限的用户禁止使用系统。用户根据权限，可以作不同的操作。</w:t>
      </w:r>
    </w:p>
    <w:p>
      <w:pPr>
        <w:snapToGrid w:val="0"/>
        <w:spacing w:line="360" w:lineRule="auto"/>
        <w:ind w:firstLine="442" w:firstLineChars="200"/>
        <w:rPr>
          <w:rFonts w:hint="eastAsia" w:ascii="宋体" w:hAnsi="宋体" w:cs="宋体"/>
          <w:kern w:val="0"/>
          <w:sz w:val="22"/>
          <w:szCs w:val="22"/>
        </w:rPr>
      </w:pPr>
      <w:r>
        <w:rPr>
          <w:rFonts w:hint="eastAsia" w:ascii="宋体" w:hAnsi="宋体" w:cs="宋体"/>
          <w:b/>
          <w:bCs/>
          <w:kern w:val="0"/>
          <w:sz w:val="22"/>
          <w:szCs w:val="22"/>
          <w:lang w:val="en-US" w:eastAsia="zh-CN"/>
        </w:rPr>
        <w:t>3</w:t>
      </w:r>
      <w:r>
        <w:rPr>
          <w:rFonts w:hint="eastAsia" w:ascii="宋体" w:hAnsi="宋体" w:cs="宋体"/>
          <w:b/>
          <w:bCs/>
          <w:kern w:val="0"/>
          <w:sz w:val="22"/>
          <w:szCs w:val="22"/>
        </w:rPr>
        <w:t>)重要数据</w:t>
      </w:r>
      <w:r>
        <w:rPr>
          <w:rFonts w:hint="eastAsia" w:ascii="宋体" w:hAnsi="宋体" w:eastAsia="宋体" w:cs="宋体"/>
          <w:b/>
          <w:bCs/>
          <w:kern w:val="0"/>
          <w:sz w:val="22"/>
          <w:szCs w:val="22"/>
        </w:rPr>
        <w:t>加</w:t>
      </w:r>
      <w:r>
        <w:rPr>
          <w:rFonts w:hint="eastAsia" w:ascii="宋体" w:hAnsi="宋体" w:cs="宋体"/>
          <w:b/>
          <w:bCs/>
          <w:kern w:val="0"/>
          <w:sz w:val="22"/>
          <w:szCs w:val="22"/>
          <w:lang w:val="en-US" w:eastAsia="zh-CN"/>
        </w:rPr>
        <w:t>解</w:t>
      </w:r>
      <w:r>
        <w:rPr>
          <w:rFonts w:hint="eastAsia" w:ascii="宋体" w:hAnsi="宋体" w:eastAsia="宋体" w:cs="宋体"/>
          <w:b/>
          <w:bCs/>
          <w:kern w:val="0"/>
          <w:sz w:val="22"/>
          <w:szCs w:val="22"/>
        </w:rPr>
        <w:t>密</w:t>
      </w:r>
      <w:r>
        <w:rPr>
          <w:rFonts w:hint="eastAsia" w:ascii="宋体" w:hAnsi="宋体" w:cs="宋体"/>
          <w:kern w:val="0"/>
          <w:sz w:val="22"/>
          <w:szCs w:val="22"/>
        </w:rPr>
        <w:t>：系统支持对用户密码</w:t>
      </w:r>
      <w:r>
        <w:rPr>
          <w:rFonts w:hint="eastAsia" w:ascii="宋体" w:hAnsi="宋体" w:eastAsia="宋体" w:cs="宋体"/>
          <w:kern w:val="0"/>
          <w:sz w:val="22"/>
          <w:szCs w:val="22"/>
          <w:lang w:val="en-US" w:eastAsia="zh-CN"/>
        </w:rPr>
        <w:t>进行不可逆加密，对</w:t>
      </w:r>
      <w:r>
        <w:rPr>
          <w:rFonts w:hint="eastAsia" w:ascii="宋体" w:hAnsi="宋体" w:cs="宋体"/>
          <w:kern w:val="0"/>
          <w:sz w:val="22"/>
          <w:szCs w:val="22"/>
        </w:rPr>
        <w:t>供应商投标文件等一些重要的数据进行加密</w:t>
      </w:r>
      <w:r>
        <w:rPr>
          <w:rFonts w:hint="eastAsia" w:ascii="宋体" w:hAnsi="宋体" w:eastAsia="宋体" w:cs="宋体"/>
          <w:kern w:val="0"/>
          <w:sz w:val="22"/>
          <w:szCs w:val="22"/>
          <w:lang w:val="en-US" w:eastAsia="zh-CN"/>
        </w:rPr>
        <w:t>存储，</w:t>
      </w:r>
      <w:r>
        <w:rPr>
          <w:rFonts w:hint="eastAsia" w:ascii="宋体" w:hAnsi="宋体" w:cs="宋体"/>
          <w:kern w:val="0"/>
          <w:sz w:val="22"/>
          <w:szCs w:val="22"/>
          <w:lang w:val="en-US" w:eastAsia="zh-CN"/>
        </w:rPr>
        <w:t>供应商满足解密条件时</w:t>
      </w:r>
      <w:r>
        <w:rPr>
          <w:rFonts w:hint="eastAsia" w:ascii="宋体" w:hAnsi="宋体" w:eastAsia="宋体" w:cs="宋体"/>
          <w:kern w:val="0"/>
          <w:sz w:val="22"/>
          <w:szCs w:val="22"/>
          <w:lang w:val="en-US" w:eastAsia="zh-CN"/>
        </w:rPr>
        <w:t>可</w:t>
      </w:r>
      <w:r>
        <w:rPr>
          <w:rFonts w:hint="eastAsia" w:ascii="宋体" w:hAnsi="宋体" w:cs="宋体"/>
          <w:kern w:val="0"/>
          <w:sz w:val="22"/>
          <w:szCs w:val="22"/>
          <w:lang w:val="en-US" w:eastAsia="zh-CN"/>
        </w:rPr>
        <w:t>输入密钥进行</w:t>
      </w:r>
      <w:r>
        <w:rPr>
          <w:rFonts w:hint="eastAsia" w:ascii="宋体" w:hAnsi="宋体" w:eastAsia="宋体" w:cs="宋体"/>
          <w:kern w:val="0"/>
          <w:sz w:val="22"/>
          <w:szCs w:val="22"/>
          <w:lang w:val="en-US" w:eastAsia="zh-CN"/>
        </w:rPr>
        <w:t>解密获取对应内容</w:t>
      </w:r>
      <w:r>
        <w:rPr>
          <w:rFonts w:hint="eastAsia" w:ascii="宋体" w:hAnsi="宋体" w:cs="宋体"/>
          <w:kern w:val="0"/>
          <w:sz w:val="22"/>
          <w:szCs w:val="22"/>
        </w:rPr>
        <w:t>。</w:t>
      </w:r>
    </w:p>
    <w:p>
      <w:pPr>
        <w:snapToGrid w:val="0"/>
        <w:spacing w:line="360" w:lineRule="auto"/>
        <w:ind w:firstLine="442" w:firstLineChars="200"/>
        <w:rPr>
          <w:rFonts w:hint="eastAsia" w:ascii="宋体" w:hAnsi="宋体" w:cs="宋体"/>
          <w:kern w:val="0"/>
          <w:sz w:val="22"/>
          <w:szCs w:val="22"/>
        </w:rPr>
      </w:pPr>
      <w:r>
        <w:rPr>
          <w:rFonts w:hint="eastAsia" w:ascii="宋体" w:hAnsi="宋体" w:cs="宋体"/>
          <w:b/>
          <w:bCs/>
          <w:kern w:val="0"/>
          <w:sz w:val="22"/>
          <w:szCs w:val="22"/>
          <w:lang w:val="en-US" w:eastAsia="zh-CN"/>
        </w:rPr>
        <w:t>4</w:t>
      </w:r>
      <w:r>
        <w:rPr>
          <w:rFonts w:hint="eastAsia" w:ascii="宋体" w:hAnsi="宋体" w:cs="宋体"/>
          <w:b/>
          <w:bCs/>
          <w:kern w:val="0"/>
          <w:sz w:val="22"/>
          <w:szCs w:val="22"/>
        </w:rPr>
        <w:t>)日志记录</w:t>
      </w:r>
      <w:r>
        <w:rPr>
          <w:rFonts w:hint="eastAsia" w:ascii="宋体" w:hAnsi="宋体" w:cs="宋体"/>
          <w:kern w:val="0"/>
          <w:sz w:val="22"/>
          <w:szCs w:val="22"/>
        </w:rPr>
        <w:t>：支持系统日志记录，系统记录用户登录日志、操作IP、操作模块等信息，便于后续进行安全审查。</w:t>
      </w:r>
    </w:p>
    <w:p>
      <w:pPr>
        <w:snapToGrid w:val="0"/>
        <w:spacing w:line="360" w:lineRule="auto"/>
        <w:ind w:firstLine="442" w:firstLineChars="200"/>
        <w:rPr>
          <w:rFonts w:hint="eastAsia" w:ascii="宋体" w:hAnsi="宋体" w:cs="宋体"/>
          <w:kern w:val="0"/>
          <w:sz w:val="22"/>
          <w:szCs w:val="22"/>
        </w:rPr>
      </w:pPr>
      <w:r>
        <w:rPr>
          <w:rFonts w:hint="eastAsia" w:ascii="宋体" w:hAnsi="宋体" w:cs="宋体"/>
          <w:b/>
          <w:bCs/>
          <w:kern w:val="0"/>
          <w:sz w:val="22"/>
          <w:szCs w:val="22"/>
        </w:rPr>
        <w:t>5）三级等保：</w:t>
      </w:r>
      <w:r>
        <w:rPr>
          <w:rFonts w:hint="eastAsia" w:ascii="宋体" w:hAnsi="宋体" w:cs="宋体"/>
          <w:b w:val="0"/>
          <w:bCs w:val="0"/>
          <w:kern w:val="0"/>
          <w:sz w:val="22"/>
          <w:szCs w:val="22"/>
        </w:rPr>
        <w:t>系统完成建设后，需要</w:t>
      </w:r>
      <w:r>
        <w:rPr>
          <w:rFonts w:hint="eastAsia" w:ascii="宋体" w:hAnsi="宋体" w:cs="宋体"/>
          <w:b w:val="0"/>
          <w:bCs w:val="0"/>
          <w:kern w:val="0"/>
          <w:sz w:val="22"/>
          <w:szCs w:val="22"/>
          <w:lang w:val="en-US" w:eastAsia="zh-CN"/>
        </w:rPr>
        <w:t>配合招标人</w:t>
      </w:r>
      <w:r>
        <w:rPr>
          <w:rFonts w:hint="eastAsia" w:ascii="宋体" w:hAnsi="宋体" w:cs="宋体"/>
          <w:b w:val="0"/>
          <w:bCs w:val="0"/>
          <w:kern w:val="0"/>
          <w:sz w:val="22"/>
          <w:szCs w:val="22"/>
        </w:rPr>
        <w:t>通过三级等保</w:t>
      </w:r>
      <w:r>
        <w:rPr>
          <w:rFonts w:hint="eastAsia" w:ascii="宋体" w:hAnsi="宋体" w:cs="宋体"/>
          <w:b w:val="0"/>
          <w:bCs w:val="0"/>
          <w:kern w:val="0"/>
          <w:sz w:val="22"/>
          <w:szCs w:val="22"/>
          <w:lang w:val="en-US" w:eastAsia="zh-CN"/>
        </w:rPr>
        <w:t>安全</w:t>
      </w:r>
      <w:r>
        <w:rPr>
          <w:rFonts w:hint="eastAsia" w:ascii="宋体" w:hAnsi="宋体" w:cs="宋体"/>
          <w:b w:val="0"/>
          <w:bCs w:val="0"/>
          <w:kern w:val="0"/>
          <w:sz w:val="22"/>
          <w:szCs w:val="22"/>
        </w:rPr>
        <w:t>测试。</w:t>
      </w:r>
    </w:p>
    <w:p>
      <w:pPr>
        <w:snapToGrid w:val="0"/>
        <w:spacing w:line="360" w:lineRule="auto"/>
        <w:ind w:right="0" w:rightChars="0" w:firstLine="442" w:firstLineChars="200"/>
        <w:rPr>
          <w:rFonts w:hint="eastAsia" w:ascii="宋体" w:hAnsi="宋体" w:cs="宋体"/>
          <w:color w:val="000000" w:themeColor="text1"/>
          <w:sz w:val="22"/>
          <w:szCs w:val="22"/>
          <w14:textFill>
            <w14:solidFill>
              <w14:schemeClr w14:val="tx1"/>
            </w14:solidFill>
          </w14:textFill>
        </w:rPr>
      </w:pPr>
      <w:r>
        <w:rPr>
          <w:rFonts w:hint="eastAsia" w:ascii="宋体" w:hAnsi="宋体" w:cs="宋体"/>
          <w:b/>
          <w:bCs/>
          <w:kern w:val="0"/>
          <w:sz w:val="22"/>
          <w:szCs w:val="22"/>
        </w:rPr>
        <w:t>6）接口访问要求：</w:t>
      </w:r>
      <w:r>
        <w:rPr>
          <w:rFonts w:hint="eastAsia" w:ascii="宋体" w:hAnsi="宋体" w:cs="宋体"/>
          <w:kern w:val="0"/>
          <w:sz w:val="22"/>
          <w:szCs w:val="22"/>
        </w:rPr>
        <w:t>系统支持验证请求合法性后才允许访问接口，如临时token等方式。</w:t>
      </w:r>
    </w:p>
    <w:p>
      <w:pPr>
        <w:pStyle w:val="5"/>
        <w:numPr>
          <w:ilvl w:val="-1"/>
          <w:numId w:val="0"/>
        </w:numPr>
        <w:snapToGrid w:val="0"/>
        <w:spacing w:before="0" w:after="0" w:line="360" w:lineRule="auto"/>
        <w:ind w:left="0" w:firstLine="0"/>
        <w:rPr>
          <w:rFonts w:hint="eastAsia" w:ascii="宋体" w:hAnsi="宋体" w:cs="宋体"/>
          <w:bCs w:val="0"/>
          <w:sz w:val="22"/>
          <w:szCs w:val="22"/>
        </w:rPr>
      </w:pPr>
      <w:bookmarkStart w:id="885" w:name="_Toc26554"/>
      <w:bookmarkStart w:id="886" w:name="_Toc28993"/>
      <w:r>
        <w:rPr>
          <w:rFonts w:hint="eastAsia" w:ascii="宋体" w:hAnsi="宋体" w:cs="宋体"/>
          <w:bCs w:val="0"/>
          <w:sz w:val="22"/>
          <w:szCs w:val="22"/>
          <w:lang w:val="en-US" w:eastAsia="zh-CN"/>
        </w:rPr>
        <w:t>1.5.3.</w:t>
      </w:r>
      <w:r>
        <w:rPr>
          <w:rFonts w:hint="eastAsia" w:ascii="宋体" w:hAnsi="宋体" w:cs="宋体"/>
          <w:bCs w:val="0"/>
          <w:sz w:val="22"/>
          <w:szCs w:val="22"/>
        </w:rPr>
        <w:t>工作流引擎要求</w:t>
      </w:r>
      <w:bookmarkEnd w:id="879"/>
      <w:bookmarkEnd w:id="880"/>
      <w:bookmarkEnd w:id="881"/>
      <w:bookmarkEnd w:id="882"/>
      <w:bookmarkEnd w:id="883"/>
      <w:bookmarkEnd w:id="884"/>
      <w:bookmarkEnd w:id="885"/>
      <w:bookmarkEnd w:id="886"/>
    </w:p>
    <w:p>
      <w:pPr>
        <w:snapToGrid w:val="0"/>
        <w:spacing w:line="360" w:lineRule="auto"/>
        <w:ind w:firstLine="440" w:firstLineChars="200"/>
        <w:rPr>
          <w:rFonts w:hint="eastAsia" w:ascii="宋体" w:hAnsi="宋体" w:cs="宋体"/>
          <w:kern w:val="0"/>
          <w:sz w:val="22"/>
          <w:szCs w:val="22"/>
        </w:rPr>
      </w:pPr>
      <w:r>
        <w:rPr>
          <w:rFonts w:hint="eastAsia" w:ascii="宋体" w:hAnsi="宋体" w:cs="宋体"/>
          <w:kern w:val="0"/>
          <w:sz w:val="22"/>
          <w:szCs w:val="22"/>
        </w:rPr>
        <w:t>本系统中存在大量的内部业务流和审批流，系统的运行和维护期间对于业务流、审批流的配置、监控等有大量的工作，系统应具有工作流引擎平台，引擎的设计遵循WFMC提出的工作流参考模型标准，符合XPDL的规范。</w:t>
      </w:r>
      <w:r>
        <w:rPr>
          <w:rFonts w:hint="eastAsia" w:ascii="宋体" w:hAnsi="宋体" w:cs="宋体"/>
          <w:kern w:val="0"/>
          <w:sz w:val="22"/>
          <w:szCs w:val="22"/>
          <w:lang w:val="en-US" w:eastAsia="zh-CN"/>
        </w:rPr>
        <w:t>工作流应支持图形化界面配置，支持已发起流程通过监控界面进行人工干预调整等功能。</w:t>
      </w:r>
    </w:p>
    <w:bookmarkEnd w:id="863"/>
    <w:bookmarkEnd w:id="864"/>
    <w:bookmarkEnd w:id="865"/>
    <w:bookmarkEnd w:id="866"/>
    <w:bookmarkEnd w:id="869"/>
    <w:bookmarkEnd w:id="870"/>
    <w:p>
      <w:pPr>
        <w:pStyle w:val="5"/>
        <w:numPr>
          <w:ilvl w:val="-1"/>
          <w:numId w:val="0"/>
        </w:numPr>
        <w:snapToGrid w:val="0"/>
        <w:spacing w:before="0" w:after="0" w:line="360" w:lineRule="auto"/>
        <w:ind w:left="0" w:firstLine="0"/>
        <w:rPr>
          <w:rFonts w:hint="eastAsia" w:ascii="宋体" w:hAnsi="宋体" w:cs="宋体"/>
          <w:bCs w:val="0"/>
          <w:sz w:val="22"/>
          <w:szCs w:val="22"/>
        </w:rPr>
      </w:pPr>
      <w:bookmarkStart w:id="887" w:name="_Toc32317"/>
      <w:bookmarkStart w:id="888" w:name="_Toc18247"/>
      <w:bookmarkStart w:id="889" w:name="_Toc25592"/>
      <w:bookmarkStart w:id="890" w:name="_Toc6186"/>
      <w:bookmarkStart w:id="891" w:name="_Toc18798"/>
      <w:bookmarkStart w:id="892" w:name="_Toc27247"/>
      <w:r>
        <w:rPr>
          <w:rFonts w:hint="eastAsia" w:ascii="宋体" w:hAnsi="宋体" w:cs="宋体"/>
          <w:bCs w:val="0"/>
          <w:sz w:val="22"/>
          <w:szCs w:val="22"/>
          <w:lang w:val="en-US" w:eastAsia="zh-CN"/>
        </w:rPr>
        <w:t>1.5.4.</w:t>
      </w:r>
      <w:r>
        <w:rPr>
          <w:rFonts w:hint="eastAsia" w:ascii="宋体" w:hAnsi="宋体" w:cs="宋体"/>
          <w:bCs w:val="0"/>
          <w:sz w:val="22"/>
          <w:szCs w:val="22"/>
        </w:rPr>
        <w:t>服务器环境</w:t>
      </w:r>
      <w:bookmarkEnd w:id="887"/>
      <w:bookmarkEnd w:id="888"/>
      <w:bookmarkEnd w:id="889"/>
      <w:bookmarkEnd w:id="890"/>
      <w:r>
        <w:rPr>
          <w:rFonts w:hint="eastAsia" w:ascii="宋体" w:hAnsi="宋体" w:cs="宋体"/>
          <w:bCs w:val="0"/>
          <w:sz w:val="22"/>
          <w:szCs w:val="22"/>
        </w:rPr>
        <w:t>要求</w:t>
      </w:r>
      <w:bookmarkEnd w:id="891"/>
      <w:bookmarkEnd w:id="892"/>
    </w:p>
    <w:p>
      <w:pPr>
        <w:snapToGrid w:val="0"/>
        <w:spacing w:line="360" w:lineRule="auto"/>
        <w:ind w:right="126" w:rightChars="60" w:firstLine="440" w:firstLineChars="200"/>
        <w:rPr>
          <w:rFonts w:hint="eastAsia" w:ascii="宋体" w:hAnsi="宋体" w:cs="宋体"/>
          <w:sz w:val="22"/>
          <w:szCs w:val="22"/>
        </w:rPr>
      </w:pPr>
      <w:r>
        <w:rPr>
          <w:rFonts w:hint="eastAsia" w:ascii="宋体" w:hAnsi="宋体" w:cs="宋体"/>
          <w:sz w:val="22"/>
          <w:szCs w:val="22"/>
        </w:rPr>
        <w:t>该应用为交投数据中心私有云部署，系统应支持容器化部署，符合交投信息化管理规范。投标人需提出硬件支撑要求。</w:t>
      </w:r>
    </w:p>
    <w:p>
      <w:pPr>
        <w:snapToGrid w:val="0"/>
        <w:spacing w:line="360" w:lineRule="auto"/>
        <w:ind w:right="126" w:rightChars="60" w:firstLine="440" w:firstLineChars="200"/>
        <w:rPr>
          <w:rFonts w:hint="eastAsia" w:ascii="宋体" w:hAnsi="宋体" w:cs="宋体"/>
          <w:sz w:val="22"/>
          <w:szCs w:val="22"/>
        </w:rPr>
      </w:pPr>
      <w:r>
        <w:rPr>
          <w:rFonts w:hint="eastAsia" w:ascii="宋体" w:hAnsi="宋体" w:cs="宋体"/>
          <w:sz w:val="22"/>
          <w:szCs w:val="22"/>
        </w:rPr>
        <w:t>数据库：Mysql</w:t>
      </w:r>
    </w:p>
    <w:p>
      <w:pPr>
        <w:snapToGrid w:val="0"/>
        <w:spacing w:line="360" w:lineRule="auto"/>
        <w:ind w:right="126" w:rightChars="60" w:firstLine="440" w:firstLineChars="200"/>
        <w:rPr>
          <w:rFonts w:hint="eastAsia" w:ascii="宋体" w:hAnsi="宋体" w:cs="宋体"/>
          <w:sz w:val="22"/>
          <w:szCs w:val="22"/>
        </w:rPr>
      </w:pPr>
      <w:r>
        <w:rPr>
          <w:rFonts w:hint="eastAsia" w:ascii="宋体" w:hAnsi="宋体" w:cs="宋体"/>
          <w:sz w:val="22"/>
          <w:szCs w:val="22"/>
        </w:rPr>
        <w:t>操作系统：Linux</w:t>
      </w:r>
    </w:p>
    <w:p>
      <w:pPr>
        <w:pStyle w:val="5"/>
        <w:numPr>
          <w:ilvl w:val="-1"/>
          <w:numId w:val="0"/>
        </w:numPr>
        <w:snapToGrid/>
        <w:spacing w:before="0" w:after="0" w:line="360" w:lineRule="auto"/>
        <w:ind w:left="0" w:firstLine="0"/>
        <w:rPr>
          <w:rFonts w:hint="eastAsia" w:ascii="宋体" w:hAnsi="宋体" w:eastAsia="宋体" w:cs="宋体"/>
          <w:b/>
          <w:bCs w:val="0"/>
          <w:sz w:val="22"/>
          <w:szCs w:val="22"/>
          <w:highlight w:val="none"/>
        </w:rPr>
      </w:pPr>
      <w:r>
        <w:rPr>
          <w:rFonts w:hint="eastAsia" w:ascii="宋体" w:hAnsi="宋体" w:cs="宋体"/>
          <w:b/>
          <w:sz w:val="22"/>
          <w:szCs w:val="22"/>
        </w:rPr>
        <w:t>1.5.5.</w:t>
      </w:r>
      <w:r>
        <w:rPr>
          <w:rFonts w:hint="eastAsia" w:ascii="宋体" w:hAnsi="宋体" w:eastAsia="宋体" w:cs="宋体"/>
          <w:b/>
          <w:bCs w:val="0"/>
          <w:sz w:val="22"/>
          <w:szCs w:val="22"/>
          <w:highlight w:val="none"/>
        </w:rPr>
        <w:t>接口预留要求</w:t>
      </w:r>
    </w:p>
    <w:p>
      <w:pPr>
        <w:spacing w:line="360" w:lineRule="auto"/>
        <w:ind w:firstLine="442" w:firstLineChars="200"/>
        <w:rPr>
          <w:rFonts w:hint="eastAsia" w:ascii="宋体" w:hAnsi="宋体" w:cs="宋体"/>
          <w:b w:val="0"/>
          <w:bCs w:val="0"/>
          <w:kern w:val="0"/>
          <w:sz w:val="22"/>
          <w:szCs w:val="22"/>
        </w:rPr>
      </w:pPr>
      <w:r>
        <w:rPr>
          <w:rFonts w:hint="eastAsia" w:ascii="宋体" w:hAnsi="宋体" w:cs="宋体"/>
          <w:b/>
          <w:bCs/>
          <w:kern w:val="0"/>
          <w:sz w:val="22"/>
          <w:szCs w:val="22"/>
        </w:rPr>
        <w:t>1）数据接口：</w:t>
      </w:r>
      <w:r>
        <w:rPr>
          <w:rFonts w:hint="eastAsia" w:ascii="宋体" w:hAnsi="宋体" w:cs="宋体"/>
          <w:color w:val="auto"/>
          <w:kern w:val="2"/>
          <w:sz w:val="22"/>
          <w:szCs w:val="22"/>
        </w:rPr>
        <w:t>考虑到系统的可扩展性和技术储备,需要预留一定数量的接口</w:t>
      </w:r>
      <w:r>
        <w:rPr>
          <w:rFonts w:hint="eastAsia" w:ascii="宋体" w:hAnsi="宋体" w:cs="宋体"/>
          <w:color w:val="auto"/>
          <w:kern w:val="2"/>
          <w:sz w:val="22"/>
          <w:szCs w:val="22"/>
          <w:lang w:eastAsia="zh-CN"/>
        </w:rPr>
        <w:t>（</w:t>
      </w:r>
      <w:r>
        <w:rPr>
          <w:rFonts w:hint="eastAsia" w:ascii="宋体" w:hAnsi="宋体" w:cs="宋体"/>
          <w:color w:val="auto"/>
          <w:kern w:val="2"/>
          <w:sz w:val="22"/>
          <w:szCs w:val="22"/>
          <w:lang w:val="en-US" w:eastAsia="zh-CN"/>
        </w:rPr>
        <w:t>总数不超过10个</w:t>
      </w:r>
      <w:r>
        <w:rPr>
          <w:rFonts w:hint="eastAsia" w:ascii="宋体" w:hAnsi="宋体" w:cs="宋体"/>
          <w:color w:val="auto"/>
          <w:kern w:val="2"/>
          <w:sz w:val="22"/>
          <w:szCs w:val="22"/>
          <w:lang w:eastAsia="zh-CN"/>
        </w:rPr>
        <w:t>）</w:t>
      </w:r>
      <w:r>
        <w:rPr>
          <w:rFonts w:hint="eastAsia" w:ascii="宋体" w:hAnsi="宋体" w:cs="宋体"/>
          <w:b w:val="0"/>
          <w:bCs w:val="0"/>
          <w:kern w:val="0"/>
          <w:sz w:val="22"/>
          <w:szCs w:val="22"/>
        </w:rPr>
        <w:t>，支持其他系统对接数据。</w:t>
      </w:r>
    </w:p>
    <w:p>
      <w:pPr>
        <w:spacing w:line="360" w:lineRule="auto"/>
        <w:ind w:firstLine="442" w:firstLineChars="200"/>
        <w:rPr>
          <w:rFonts w:hint="eastAsia" w:ascii="宋体" w:hAnsi="宋体" w:cs="宋体"/>
          <w:b w:val="0"/>
          <w:bCs w:val="0"/>
          <w:kern w:val="0"/>
          <w:sz w:val="22"/>
          <w:szCs w:val="22"/>
        </w:rPr>
      </w:pPr>
      <w:r>
        <w:rPr>
          <w:rFonts w:hint="eastAsia" w:ascii="宋体" w:hAnsi="宋体" w:cs="宋体"/>
          <w:b/>
          <w:bCs/>
          <w:kern w:val="0"/>
          <w:sz w:val="22"/>
          <w:szCs w:val="22"/>
        </w:rPr>
        <w:t>2）二次开发：</w:t>
      </w:r>
      <w:r>
        <w:rPr>
          <w:rFonts w:hint="eastAsia" w:ascii="宋体" w:hAnsi="宋体" w:cs="宋体"/>
          <w:b w:val="0"/>
          <w:bCs w:val="0"/>
          <w:kern w:val="0"/>
          <w:sz w:val="22"/>
          <w:szCs w:val="22"/>
        </w:rPr>
        <w:t>根据业务需求提供接口</w:t>
      </w:r>
      <w:r>
        <w:rPr>
          <w:rFonts w:hint="eastAsia" w:ascii="宋体" w:hAnsi="宋体" w:cs="宋体"/>
          <w:b w:val="0"/>
          <w:bCs w:val="0"/>
          <w:kern w:val="0"/>
          <w:sz w:val="22"/>
          <w:szCs w:val="22"/>
          <w:lang w:val="en-US" w:eastAsia="zh-CN"/>
        </w:rPr>
        <w:t>二次</w:t>
      </w:r>
      <w:r>
        <w:rPr>
          <w:rFonts w:hint="eastAsia" w:ascii="宋体" w:hAnsi="宋体" w:cs="宋体"/>
          <w:b w:val="0"/>
          <w:bCs w:val="0"/>
          <w:kern w:val="0"/>
          <w:sz w:val="22"/>
          <w:szCs w:val="22"/>
        </w:rPr>
        <w:t>开发</w:t>
      </w:r>
      <w:r>
        <w:rPr>
          <w:rFonts w:hint="eastAsia" w:ascii="宋体" w:hAnsi="宋体" w:cs="宋体"/>
          <w:b w:val="0"/>
          <w:bCs w:val="0"/>
          <w:kern w:val="0"/>
          <w:sz w:val="22"/>
          <w:szCs w:val="22"/>
          <w:lang w:val="en-US" w:eastAsia="zh-CN"/>
        </w:rPr>
        <w:t>改造</w:t>
      </w:r>
      <w:r>
        <w:rPr>
          <w:rFonts w:hint="eastAsia" w:ascii="宋体" w:hAnsi="宋体" w:cs="宋体"/>
          <w:b w:val="0"/>
          <w:bCs w:val="0"/>
          <w:kern w:val="0"/>
          <w:sz w:val="22"/>
          <w:szCs w:val="22"/>
        </w:rPr>
        <w:t>服务</w:t>
      </w:r>
      <w:r>
        <w:rPr>
          <w:rFonts w:hint="eastAsia" w:ascii="宋体" w:hAnsi="宋体" w:cs="宋体"/>
          <w:b w:val="0"/>
          <w:bCs w:val="0"/>
          <w:kern w:val="0"/>
          <w:sz w:val="22"/>
          <w:szCs w:val="22"/>
          <w:lang w:eastAsia="zh-CN"/>
        </w:rPr>
        <w:t>（</w:t>
      </w:r>
      <w:r>
        <w:rPr>
          <w:rFonts w:hint="eastAsia" w:ascii="宋体" w:hAnsi="宋体" w:cs="宋体"/>
          <w:b w:val="0"/>
          <w:bCs w:val="0"/>
          <w:kern w:val="0"/>
          <w:sz w:val="22"/>
          <w:szCs w:val="22"/>
          <w:lang w:val="en-US" w:eastAsia="zh-CN"/>
        </w:rPr>
        <w:t>二次接口开发不超过15次</w:t>
      </w:r>
      <w:r>
        <w:rPr>
          <w:rFonts w:hint="eastAsia" w:ascii="宋体" w:hAnsi="宋体" w:cs="宋体"/>
          <w:b w:val="0"/>
          <w:bCs w:val="0"/>
          <w:kern w:val="0"/>
          <w:sz w:val="22"/>
          <w:szCs w:val="22"/>
          <w:lang w:eastAsia="zh-CN"/>
        </w:rPr>
        <w:t>）</w:t>
      </w:r>
      <w:r>
        <w:rPr>
          <w:rFonts w:hint="eastAsia" w:ascii="宋体" w:hAnsi="宋体" w:cs="宋体"/>
          <w:b w:val="0"/>
          <w:bCs w:val="0"/>
          <w:kern w:val="0"/>
          <w:sz w:val="22"/>
          <w:szCs w:val="22"/>
        </w:rPr>
        <w:t>。</w:t>
      </w:r>
    </w:p>
    <w:p>
      <w:pPr>
        <w:spacing w:line="360" w:lineRule="auto"/>
        <w:rPr>
          <w:rFonts w:hint="eastAsia" w:ascii="宋体" w:hAnsi="宋体" w:cs="宋体"/>
          <w:sz w:val="22"/>
          <w:szCs w:val="22"/>
          <w:shd w:val="clear" w:color="auto" w:fill="FFFFFF"/>
        </w:rPr>
      </w:pPr>
      <w:r>
        <w:rPr>
          <w:rFonts w:hint="eastAsia" w:ascii="宋体" w:hAnsi="宋体" w:cs="宋体"/>
          <w:b/>
          <w:bCs/>
          <w:sz w:val="22"/>
          <w:szCs w:val="22"/>
          <w:shd w:val="clear" w:color="auto" w:fill="FFFFFF"/>
          <w:lang w:val="en-US" w:eastAsia="zh-CN"/>
        </w:rPr>
        <w:t>1.5.6.</w:t>
      </w:r>
      <w:r>
        <w:rPr>
          <w:rFonts w:hint="eastAsia" w:ascii="宋体" w:hAnsi="宋体" w:cs="宋体"/>
          <w:sz w:val="22"/>
          <w:szCs w:val="22"/>
          <w:shd w:val="clear" w:color="auto" w:fill="FFFFFF"/>
        </w:rPr>
        <w:t>电子招标投标系统（EBS）三星级认证要求</w:t>
      </w:r>
    </w:p>
    <w:p>
      <w:pPr>
        <w:spacing w:line="360" w:lineRule="auto"/>
        <w:ind w:firstLine="440" w:firstLineChars="200"/>
        <w:rPr>
          <w:rFonts w:hint="eastAsia" w:ascii="宋体" w:hAnsi="宋体" w:cs="宋体"/>
          <w:b/>
          <w:sz w:val="22"/>
          <w:szCs w:val="22"/>
        </w:rPr>
      </w:pPr>
      <w:r>
        <w:rPr>
          <w:rFonts w:hint="eastAsia" w:ascii="宋体" w:hAnsi="宋体" w:cs="宋体"/>
          <w:sz w:val="22"/>
          <w:szCs w:val="22"/>
          <w:shd w:val="clear" w:color="auto" w:fill="FFFFFF"/>
        </w:rPr>
        <w:t>系统功能、技术安全、数据交互、合法合规、流程管理等方面均需达到中国网络安全审查技术与认证中心电子招标投标系统（EBS）三星级认证的标准；中标人须配合招标人完成“电子招标投标系统（EBS）三星级认证”工作。</w:t>
      </w:r>
    </w:p>
    <w:p>
      <w:pPr>
        <w:pStyle w:val="4"/>
        <w:numPr>
          <w:ilvl w:val="-1"/>
          <w:numId w:val="0"/>
        </w:numPr>
        <w:tabs>
          <w:tab w:val="left" w:pos="420"/>
          <w:tab w:val="clear" w:pos="1440"/>
        </w:tabs>
        <w:spacing w:before="0" w:after="0" w:line="360" w:lineRule="auto"/>
        <w:ind w:left="0" w:leftChars="0" w:firstLine="0" w:firstLineChars="0"/>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1.6.知识产权</w:t>
      </w:r>
    </w:p>
    <w:p>
      <w:pPr>
        <w:autoSpaceDE w:val="0"/>
        <w:autoSpaceDN w:val="0"/>
        <w:adjustRightInd w:val="0"/>
        <w:spacing w:line="360" w:lineRule="auto"/>
        <w:ind w:firstLine="440" w:firstLineChars="200"/>
        <w:rPr>
          <w:rFonts w:hint="eastAsia" w:ascii="宋体" w:hAnsi="宋体" w:eastAsia="宋体" w:cs="宋体"/>
          <w:color w:val="000000"/>
          <w:sz w:val="22"/>
          <w:szCs w:val="22"/>
          <w:lang w:val="zh-CN"/>
        </w:rPr>
      </w:pPr>
      <w:r>
        <w:rPr>
          <w:rFonts w:hint="eastAsia" w:ascii="宋体" w:hAnsi="宋体" w:eastAsia="宋体" w:cs="宋体"/>
          <w:color w:val="000000"/>
          <w:sz w:val="22"/>
          <w:szCs w:val="22"/>
          <w:lang w:val="zh-CN"/>
        </w:rPr>
        <w:t>本项目完成后及时将本项目委托开发内容所涉及的源代码及相关</w:t>
      </w:r>
      <w:r>
        <w:rPr>
          <w:rFonts w:hint="eastAsia" w:ascii="宋体" w:hAnsi="宋体" w:eastAsia="宋体" w:cs="宋体"/>
          <w:color w:val="000000"/>
          <w:sz w:val="22"/>
          <w:szCs w:val="22"/>
          <w:lang w:val="en-US" w:eastAsia="zh-CN"/>
        </w:rPr>
        <w:t>数据字典</w:t>
      </w:r>
      <w:r>
        <w:rPr>
          <w:rFonts w:hint="eastAsia" w:ascii="宋体" w:hAnsi="宋体" w:eastAsia="宋体" w:cs="宋体"/>
          <w:color w:val="000000"/>
          <w:sz w:val="22"/>
          <w:szCs w:val="22"/>
          <w:lang w:val="zh-CN"/>
        </w:rPr>
        <w:t>文档移交给招标人，并能对招标人人员进行合理的二开培训。</w:t>
      </w:r>
    </w:p>
    <w:p>
      <w:pPr>
        <w:autoSpaceDE w:val="0"/>
        <w:autoSpaceDN w:val="0"/>
        <w:adjustRightInd w:val="0"/>
        <w:spacing w:line="360" w:lineRule="auto"/>
        <w:ind w:firstLine="440" w:firstLineChars="200"/>
        <w:rPr>
          <w:rFonts w:hint="eastAsia" w:ascii="宋体" w:hAnsi="宋体" w:cs="宋体"/>
          <w:color w:val="000000"/>
          <w:sz w:val="22"/>
          <w:szCs w:val="22"/>
          <w:lang w:val="zh-CN"/>
        </w:rPr>
      </w:pPr>
      <w:r>
        <w:rPr>
          <w:rFonts w:hint="eastAsia" w:ascii="宋体" w:hAnsi="宋体" w:cs="宋体"/>
          <w:color w:val="000000"/>
          <w:kern w:val="2"/>
          <w:sz w:val="22"/>
          <w:szCs w:val="22"/>
          <w:lang w:val="zh-CN"/>
        </w:rPr>
        <w:t>因履行本项目所形成的研究开发成果及其相关知识产权属归招标人所有。</w:t>
      </w:r>
    </w:p>
    <w:p>
      <w:pPr>
        <w:spacing w:line="360" w:lineRule="auto"/>
        <w:rPr>
          <w:rFonts w:hint="eastAsia" w:ascii="宋体" w:hAnsi="宋体" w:cs="宋体"/>
          <w:b/>
          <w:sz w:val="22"/>
          <w:szCs w:val="22"/>
        </w:rPr>
      </w:pPr>
    </w:p>
    <w:p>
      <w:pPr>
        <w:spacing w:line="360" w:lineRule="auto"/>
        <w:rPr>
          <w:rFonts w:hint="eastAsia" w:ascii="宋体" w:hAnsi="宋体" w:cs="宋体"/>
          <w:b/>
          <w:bCs/>
          <w:sz w:val="22"/>
          <w:szCs w:val="22"/>
        </w:rPr>
      </w:pPr>
      <w:r>
        <w:rPr>
          <w:rFonts w:hint="eastAsia" w:ascii="宋体" w:hAnsi="宋体" w:cs="宋体"/>
          <w:b/>
          <w:sz w:val="22"/>
          <w:szCs w:val="22"/>
        </w:rPr>
        <w:t>1.</w:t>
      </w:r>
      <w:r>
        <w:rPr>
          <w:rFonts w:hint="eastAsia" w:ascii="宋体" w:hAnsi="宋体" w:cs="宋体"/>
          <w:b/>
          <w:sz w:val="22"/>
          <w:szCs w:val="22"/>
          <w:lang w:val="en-US" w:eastAsia="zh-CN"/>
        </w:rPr>
        <w:t>7</w:t>
      </w:r>
      <w:r>
        <w:rPr>
          <w:rFonts w:hint="eastAsia" w:ascii="宋体" w:hAnsi="宋体" w:cs="宋体"/>
          <w:b/>
          <w:sz w:val="22"/>
          <w:szCs w:val="22"/>
        </w:rPr>
        <w:t>.</w:t>
      </w:r>
      <w:r>
        <w:rPr>
          <w:rFonts w:hint="eastAsia" w:ascii="宋体" w:hAnsi="宋体" w:cs="宋体"/>
          <w:b/>
          <w:bCs/>
          <w:sz w:val="22"/>
          <w:szCs w:val="22"/>
        </w:rPr>
        <w:t>系统最终验收投运后支付考核标准</w:t>
      </w:r>
    </w:p>
    <w:tbl>
      <w:tblPr>
        <w:tblStyle w:val="35"/>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
        <w:gridCol w:w="7198"/>
        <w:gridCol w:w="920"/>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2"/>
                <w:szCs w:val="22"/>
              </w:rPr>
            </w:pPr>
            <w:r>
              <w:rPr>
                <w:rFonts w:hint="eastAsia" w:ascii="宋体" w:hAnsi="宋体" w:eastAsia="宋体" w:cs="宋体"/>
                <w:b/>
                <w:bCs/>
                <w:sz w:val="22"/>
                <w:szCs w:val="22"/>
              </w:rPr>
              <w:t>序号</w:t>
            </w:r>
          </w:p>
        </w:tc>
        <w:tc>
          <w:tcPr>
            <w:tcW w:w="6662"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2"/>
                <w:szCs w:val="22"/>
              </w:rPr>
            </w:pPr>
            <w:r>
              <w:rPr>
                <w:rFonts w:hint="eastAsia" w:ascii="宋体" w:hAnsi="宋体" w:eastAsia="宋体" w:cs="宋体"/>
                <w:b/>
                <w:bCs/>
                <w:sz w:val="22"/>
                <w:szCs w:val="22"/>
              </w:rPr>
              <w:t>考核内容</w:t>
            </w:r>
          </w:p>
        </w:tc>
        <w:tc>
          <w:tcPr>
            <w:tcW w:w="85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2"/>
                <w:szCs w:val="22"/>
              </w:rPr>
            </w:pPr>
            <w:r>
              <w:rPr>
                <w:rFonts w:hint="eastAsia" w:ascii="宋体" w:hAnsi="宋体" w:eastAsia="宋体" w:cs="宋体"/>
                <w:b/>
                <w:bCs/>
                <w:sz w:val="22"/>
                <w:szCs w:val="22"/>
              </w:rPr>
              <w:t>分值</w:t>
            </w:r>
          </w:p>
        </w:tc>
        <w:tc>
          <w:tcPr>
            <w:tcW w:w="85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2"/>
                <w:szCs w:val="22"/>
              </w:rPr>
            </w:pPr>
            <w:r>
              <w:rPr>
                <w:rFonts w:hint="eastAsia" w:ascii="宋体" w:hAnsi="宋体" w:eastAsia="宋体" w:cs="宋体"/>
                <w:b/>
                <w:bCs/>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rPr>
            </w:pPr>
            <w:r>
              <w:rPr>
                <w:rFonts w:hint="eastAsia" w:ascii="宋体" w:hAnsi="宋体" w:eastAsia="宋体" w:cs="宋体"/>
                <w:sz w:val="22"/>
                <w:szCs w:val="22"/>
              </w:rPr>
              <w:t>1</w:t>
            </w:r>
          </w:p>
        </w:tc>
        <w:tc>
          <w:tcPr>
            <w:tcW w:w="6662"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2"/>
                <w:szCs w:val="22"/>
              </w:rPr>
            </w:pPr>
            <w:r>
              <w:rPr>
                <w:rFonts w:hint="eastAsia" w:ascii="宋体" w:hAnsi="宋体" w:eastAsia="宋体" w:cs="宋体"/>
                <w:sz w:val="22"/>
                <w:szCs w:val="22"/>
              </w:rPr>
              <w:t>系统支撑优化团队稳定，系统现场运维支撑人员不少于</w:t>
            </w:r>
            <w:r>
              <w:rPr>
                <w:rFonts w:hint="eastAsia" w:ascii="宋体" w:hAnsi="宋体" w:cs="宋体"/>
                <w:sz w:val="22"/>
                <w:szCs w:val="22"/>
                <w:lang w:val="en-US" w:eastAsia="zh-CN"/>
              </w:rPr>
              <w:t>2人</w:t>
            </w:r>
            <w:r>
              <w:rPr>
                <w:rFonts w:hint="eastAsia" w:ascii="宋体" w:hAnsi="宋体" w:eastAsia="宋体" w:cs="宋体"/>
                <w:sz w:val="22"/>
                <w:szCs w:val="22"/>
              </w:rPr>
              <w:t>，如</w:t>
            </w:r>
            <w:r>
              <w:rPr>
                <w:rFonts w:hint="eastAsia" w:ascii="宋体" w:hAnsi="宋体" w:cs="宋体"/>
                <w:sz w:val="22"/>
                <w:szCs w:val="22"/>
                <w:lang w:val="en-US" w:eastAsia="zh-CN"/>
              </w:rPr>
              <w:t>2人</w:t>
            </w:r>
            <w:r>
              <w:rPr>
                <w:rFonts w:hint="eastAsia" w:ascii="宋体" w:hAnsi="宋体" w:eastAsia="宋体" w:cs="宋体"/>
                <w:sz w:val="22"/>
                <w:szCs w:val="22"/>
              </w:rPr>
              <w:t>不能保证系统正常运行，配置到能保证系统正常运行的人数。非经甲方同意擅自更换项目组人员，每通报一次扣1分。</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rPr>
            </w:pPr>
            <w:r>
              <w:rPr>
                <w:rFonts w:hint="eastAsia" w:ascii="宋体" w:hAnsi="宋体" w:eastAsia="宋体" w:cs="宋体"/>
                <w:sz w:val="22"/>
                <w:szCs w:val="22"/>
              </w:rPr>
              <w:t>20分</w:t>
            </w:r>
          </w:p>
        </w:tc>
        <w:tc>
          <w:tcPr>
            <w:tcW w:w="85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rPr>
            </w:pPr>
            <w:r>
              <w:rPr>
                <w:rFonts w:hint="eastAsia" w:ascii="宋体" w:hAnsi="宋体" w:eastAsia="宋体" w:cs="宋体"/>
                <w:sz w:val="22"/>
                <w:szCs w:val="22"/>
              </w:rPr>
              <w:t>2</w:t>
            </w:r>
          </w:p>
        </w:tc>
        <w:tc>
          <w:tcPr>
            <w:tcW w:w="6662"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2"/>
                <w:szCs w:val="22"/>
              </w:rPr>
            </w:pPr>
            <w:r>
              <w:rPr>
                <w:rFonts w:hint="eastAsia" w:ascii="宋体" w:hAnsi="宋体" w:eastAsia="宋体" w:cs="宋体"/>
                <w:sz w:val="22"/>
                <w:szCs w:val="22"/>
              </w:rPr>
              <w:t>运维支持人员工作失误、违规操作、不遵守甲方管理要求的，每通报一次扣1分。</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rPr>
            </w:pPr>
            <w:r>
              <w:rPr>
                <w:rFonts w:hint="eastAsia" w:ascii="宋体" w:hAnsi="宋体" w:eastAsia="宋体" w:cs="宋体"/>
                <w:sz w:val="22"/>
                <w:szCs w:val="22"/>
              </w:rPr>
              <w:t>20分</w:t>
            </w:r>
          </w:p>
        </w:tc>
        <w:tc>
          <w:tcPr>
            <w:tcW w:w="85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rPr>
            </w:pPr>
            <w:r>
              <w:rPr>
                <w:rFonts w:hint="eastAsia" w:ascii="宋体" w:hAnsi="宋体" w:eastAsia="宋体" w:cs="宋体"/>
                <w:sz w:val="22"/>
                <w:szCs w:val="22"/>
              </w:rPr>
              <w:t>3</w:t>
            </w:r>
          </w:p>
        </w:tc>
        <w:tc>
          <w:tcPr>
            <w:tcW w:w="6662"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2"/>
                <w:szCs w:val="22"/>
              </w:rPr>
            </w:pPr>
            <w:r>
              <w:rPr>
                <w:rFonts w:hint="eastAsia" w:ascii="宋体" w:hAnsi="宋体" w:eastAsia="宋体" w:cs="宋体"/>
                <w:sz w:val="22"/>
                <w:szCs w:val="22"/>
              </w:rPr>
              <w:t>遇到系统宕机或大部分用户瘫痪的紧急事故，4小时内未消除故障。每出现1次，扣1分。</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rPr>
            </w:pPr>
            <w:r>
              <w:rPr>
                <w:rFonts w:hint="eastAsia" w:ascii="宋体" w:hAnsi="宋体" w:eastAsia="宋体" w:cs="宋体"/>
                <w:sz w:val="22"/>
                <w:szCs w:val="22"/>
              </w:rPr>
              <w:t>20分</w:t>
            </w:r>
          </w:p>
        </w:tc>
        <w:tc>
          <w:tcPr>
            <w:tcW w:w="85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rPr>
            </w:pPr>
            <w:r>
              <w:rPr>
                <w:rFonts w:hint="eastAsia" w:ascii="宋体" w:hAnsi="宋体" w:eastAsia="宋体" w:cs="宋体"/>
                <w:sz w:val="22"/>
                <w:szCs w:val="22"/>
              </w:rPr>
              <w:t>4</w:t>
            </w:r>
          </w:p>
        </w:tc>
        <w:tc>
          <w:tcPr>
            <w:tcW w:w="666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2"/>
                <w:szCs w:val="22"/>
              </w:rPr>
            </w:pPr>
            <w:r>
              <w:rPr>
                <w:rFonts w:hint="eastAsia" w:ascii="宋体" w:hAnsi="宋体" w:eastAsia="宋体" w:cs="宋体"/>
                <w:sz w:val="22"/>
                <w:szCs w:val="22"/>
              </w:rPr>
              <w:t>针对系统出现BUG支撑响应效率，处理时间超过双方签字确认计划时间1周的，每出现一次扣1分。</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rPr>
            </w:pPr>
            <w:r>
              <w:rPr>
                <w:rFonts w:hint="eastAsia" w:ascii="宋体" w:hAnsi="宋体" w:eastAsia="宋体" w:cs="宋体"/>
                <w:sz w:val="22"/>
                <w:szCs w:val="22"/>
              </w:rPr>
              <w:t>20分</w:t>
            </w:r>
          </w:p>
        </w:tc>
        <w:tc>
          <w:tcPr>
            <w:tcW w:w="85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rPr>
            </w:pPr>
            <w:r>
              <w:rPr>
                <w:rFonts w:hint="eastAsia" w:ascii="宋体" w:hAnsi="宋体" w:eastAsia="宋体" w:cs="宋体"/>
                <w:sz w:val="22"/>
                <w:szCs w:val="22"/>
              </w:rPr>
              <w:t>5</w:t>
            </w:r>
          </w:p>
        </w:tc>
        <w:tc>
          <w:tcPr>
            <w:tcW w:w="666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2"/>
                <w:szCs w:val="22"/>
              </w:rPr>
            </w:pPr>
            <w:r>
              <w:rPr>
                <w:rFonts w:hint="eastAsia" w:ascii="宋体" w:hAnsi="宋体" w:eastAsia="宋体" w:cs="宋体"/>
                <w:sz w:val="22"/>
                <w:szCs w:val="22"/>
              </w:rPr>
              <w:t>系统被相关部门组织的网络攻击，接到问题反馈后1天未解决或整改的，每出现1次扣1分。</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rPr>
            </w:pPr>
            <w:r>
              <w:rPr>
                <w:rFonts w:hint="eastAsia" w:ascii="宋体" w:hAnsi="宋体" w:eastAsia="宋体" w:cs="宋体"/>
                <w:sz w:val="22"/>
                <w:szCs w:val="22"/>
              </w:rPr>
              <w:t>20分</w:t>
            </w:r>
          </w:p>
        </w:tc>
        <w:tc>
          <w:tcPr>
            <w:tcW w:w="85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rPr>
            </w:pPr>
            <w:r>
              <w:rPr>
                <w:rFonts w:hint="eastAsia" w:ascii="宋体" w:hAnsi="宋体" w:eastAsia="宋体" w:cs="宋体"/>
                <w:sz w:val="22"/>
                <w:szCs w:val="22"/>
              </w:rPr>
              <w:t>备注</w:t>
            </w:r>
          </w:p>
        </w:tc>
        <w:tc>
          <w:tcPr>
            <w:tcW w:w="8363" w:type="dxa"/>
            <w:gridSpan w:val="3"/>
          </w:tcPr>
          <w:p>
            <w:pPr>
              <w:pStyle w:val="82"/>
              <w:keepNext w:val="0"/>
              <w:keepLines w:val="0"/>
              <w:pageBreakBefore w:val="0"/>
              <w:widowControl w:val="0"/>
              <w:numPr>
                <w:ilvl w:val="0"/>
                <w:numId w:val="101"/>
              </w:numPr>
              <w:kinsoku/>
              <w:wordWrap/>
              <w:overflowPunct/>
              <w:topLinePunct w:val="0"/>
              <w:autoSpaceDE/>
              <w:autoSpaceDN/>
              <w:bidi w:val="0"/>
              <w:adjustRightInd/>
              <w:snapToGrid/>
              <w:spacing w:line="360" w:lineRule="auto"/>
              <w:ind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85分以上，按全额支付年度费用。</w:t>
            </w:r>
          </w:p>
          <w:p>
            <w:pPr>
              <w:pStyle w:val="82"/>
              <w:keepNext w:val="0"/>
              <w:keepLines w:val="0"/>
              <w:pageBreakBefore w:val="0"/>
              <w:widowControl w:val="0"/>
              <w:numPr>
                <w:ilvl w:val="0"/>
                <w:numId w:val="101"/>
              </w:numPr>
              <w:kinsoku/>
              <w:wordWrap/>
              <w:overflowPunct/>
              <w:topLinePunct w:val="0"/>
              <w:autoSpaceDE/>
              <w:autoSpaceDN/>
              <w:bidi w:val="0"/>
              <w:adjustRightInd/>
              <w:snapToGrid/>
              <w:spacing w:line="360" w:lineRule="auto"/>
              <w:ind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75-85分之间，按90%支付年度费用。</w:t>
            </w:r>
          </w:p>
          <w:p>
            <w:pPr>
              <w:pStyle w:val="82"/>
              <w:keepNext w:val="0"/>
              <w:keepLines w:val="0"/>
              <w:pageBreakBefore w:val="0"/>
              <w:widowControl w:val="0"/>
              <w:numPr>
                <w:ilvl w:val="0"/>
                <w:numId w:val="101"/>
              </w:numPr>
              <w:kinsoku/>
              <w:wordWrap/>
              <w:overflowPunct/>
              <w:topLinePunct w:val="0"/>
              <w:autoSpaceDE/>
              <w:autoSpaceDN/>
              <w:bidi w:val="0"/>
              <w:adjustRightInd/>
              <w:snapToGrid/>
              <w:spacing w:line="360" w:lineRule="auto"/>
              <w:ind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60-75分之间，按80%支付年度费用</w:t>
            </w:r>
          </w:p>
          <w:p>
            <w:pPr>
              <w:pStyle w:val="82"/>
              <w:keepNext w:val="0"/>
              <w:keepLines w:val="0"/>
              <w:pageBreakBefore w:val="0"/>
              <w:widowControl w:val="0"/>
              <w:numPr>
                <w:ilvl w:val="0"/>
                <w:numId w:val="101"/>
              </w:numPr>
              <w:kinsoku/>
              <w:wordWrap/>
              <w:overflowPunct/>
              <w:topLinePunct w:val="0"/>
              <w:autoSpaceDE/>
              <w:autoSpaceDN/>
              <w:bidi w:val="0"/>
              <w:adjustRightInd/>
              <w:snapToGrid/>
              <w:spacing w:line="360" w:lineRule="auto"/>
              <w:ind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60分以下，甲方有权解除合同，重新另招厂商。</w:t>
            </w:r>
          </w:p>
        </w:tc>
      </w:tr>
    </w:tbl>
    <w:p>
      <w:pPr>
        <w:spacing w:line="360" w:lineRule="auto"/>
        <w:rPr>
          <w:rFonts w:hint="eastAsia" w:ascii="宋体" w:hAnsi="宋体" w:cs="宋体"/>
          <w:b/>
          <w:sz w:val="22"/>
          <w:szCs w:val="22"/>
        </w:rPr>
      </w:pPr>
    </w:p>
    <w:bookmarkEnd w:id="435"/>
    <w:bookmarkEnd w:id="436"/>
    <w:bookmarkEnd w:id="437"/>
    <w:bookmarkEnd w:id="442"/>
    <w:bookmarkEnd w:id="443"/>
    <w:bookmarkEnd w:id="444"/>
    <w:bookmarkEnd w:id="445"/>
    <w:bookmarkEnd w:id="446"/>
    <w:p>
      <w:pPr>
        <w:spacing w:line="360" w:lineRule="auto"/>
        <w:rPr>
          <w:rFonts w:hint="eastAsia" w:ascii="宋体" w:hAnsi="宋体" w:cs="宋体"/>
          <w:sz w:val="22"/>
          <w:szCs w:val="22"/>
        </w:rPr>
      </w:pPr>
      <w:bookmarkStart w:id="893" w:name="_Toc441844110"/>
      <w:bookmarkStart w:id="894" w:name="_Toc28706"/>
    </w:p>
    <w:p>
      <w:pPr>
        <w:spacing w:line="360" w:lineRule="auto"/>
        <w:rPr>
          <w:rFonts w:hint="eastAsia" w:ascii="宋体" w:hAnsi="宋体" w:cs="宋体"/>
          <w:sz w:val="22"/>
          <w:szCs w:val="22"/>
        </w:rPr>
      </w:pPr>
    </w:p>
    <w:p>
      <w:pPr>
        <w:spacing w:line="360" w:lineRule="auto"/>
        <w:rPr>
          <w:rFonts w:hint="eastAsia" w:ascii="宋体" w:hAnsi="宋体" w:cs="宋体"/>
          <w:sz w:val="22"/>
          <w:szCs w:val="22"/>
        </w:rPr>
      </w:pPr>
      <w:r>
        <w:rPr>
          <w:rFonts w:hint="eastAsia" w:ascii="宋体" w:hAnsi="宋体" w:cs="宋体"/>
          <w:sz w:val="22"/>
          <w:szCs w:val="22"/>
        </w:rPr>
        <w:br w:type="page"/>
      </w:r>
    </w:p>
    <w:p>
      <w:pPr>
        <w:pStyle w:val="2"/>
      </w:pPr>
    </w:p>
    <w:p>
      <w:pPr>
        <w:pStyle w:val="3"/>
        <w:jc w:val="center"/>
        <w:rPr>
          <w:rFonts w:ascii="宋体" w:hAnsi="宋体"/>
        </w:rPr>
      </w:pPr>
      <w:bookmarkStart w:id="895" w:name="_Toc25731"/>
      <w:bookmarkStart w:id="896" w:name="_Toc9120"/>
      <w:bookmarkStart w:id="897" w:name="_Toc13851"/>
    </w:p>
    <w:p>
      <w:pPr>
        <w:pStyle w:val="3"/>
        <w:jc w:val="center"/>
        <w:rPr>
          <w:rFonts w:ascii="宋体" w:hAnsi="宋体"/>
        </w:rPr>
      </w:pPr>
    </w:p>
    <w:p>
      <w:pPr>
        <w:pStyle w:val="3"/>
        <w:jc w:val="center"/>
        <w:rPr>
          <w:rFonts w:ascii="宋体" w:hAnsi="宋体"/>
        </w:rPr>
      </w:pPr>
    </w:p>
    <w:p>
      <w:pPr>
        <w:pStyle w:val="3"/>
        <w:jc w:val="center"/>
        <w:rPr>
          <w:rFonts w:ascii="宋体" w:hAnsi="宋体"/>
        </w:rPr>
      </w:pPr>
    </w:p>
    <w:p>
      <w:pPr>
        <w:pStyle w:val="3"/>
        <w:jc w:val="center"/>
        <w:rPr>
          <w:rFonts w:ascii="宋体" w:hAnsi="宋体"/>
        </w:rPr>
      </w:pPr>
      <w:bookmarkStart w:id="898" w:name="_Toc8632"/>
      <w:bookmarkStart w:id="899" w:name="_Toc436"/>
      <w:r>
        <w:rPr>
          <w:rFonts w:hint="eastAsia" w:ascii="宋体" w:hAnsi="宋体"/>
        </w:rPr>
        <w:t>第五章 合同格式</w:t>
      </w:r>
      <w:bookmarkEnd w:id="893"/>
      <w:bookmarkEnd w:id="894"/>
      <w:bookmarkEnd w:id="895"/>
      <w:bookmarkEnd w:id="896"/>
      <w:bookmarkEnd w:id="897"/>
      <w:bookmarkEnd w:id="898"/>
      <w:bookmarkEnd w:id="899"/>
    </w:p>
    <w:p/>
    <w:p/>
    <w:p/>
    <w:p/>
    <w:p/>
    <w:p/>
    <w:p/>
    <w:p/>
    <w:p/>
    <w:p/>
    <w:p/>
    <w:p/>
    <w:p/>
    <w:p/>
    <w:p/>
    <w:p/>
    <w:p/>
    <w:p>
      <w:r>
        <w:br w:type="page"/>
      </w:r>
    </w:p>
    <w:p>
      <w:pPr>
        <w:adjustRightInd w:val="0"/>
        <w:snapToGrid w:val="0"/>
        <w:spacing w:line="360" w:lineRule="auto"/>
        <w:jc w:val="center"/>
        <w:rPr>
          <w:rFonts w:ascii="宋体" w:hAnsi="宋体" w:cs="宋体"/>
          <w:b/>
          <w:spacing w:val="20"/>
          <w:sz w:val="44"/>
          <w:szCs w:val="44"/>
        </w:rPr>
      </w:pPr>
    </w:p>
    <w:p>
      <w:pPr>
        <w:adjustRightInd w:val="0"/>
        <w:snapToGrid w:val="0"/>
        <w:spacing w:line="360" w:lineRule="auto"/>
        <w:jc w:val="center"/>
        <w:rPr>
          <w:rFonts w:ascii="宋体" w:hAnsi="宋体" w:cs="宋体"/>
          <w:b/>
          <w:spacing w:val="20"/>
          <w:sz w:val="44"/>
          <w:szCs w:val="44"/>
        </w:rPr>
      </w:pPr>
    </w:p>
    <w:p>
      <w:pPr>
        <w:adjustRightInd w:val="0"/>
        <w:snapToGrid w:val="0"/>
        <w:spacing w:line="360" w:lineRule="auto"/>
        <w:jc w:val="center"/>
        <w:rPr>
          <w:rFonts w:ascii="宋体" w:hAnsi="宋体" w:cs="宋体"/>
          <w:b/>
          <w:spacing w:val="20"/>
          <w:sz w:val="44"/>
          <w:szCs w:val="44"/>
        </w:rPr>
      </w:pPr>
    </w:p>
    <w:p>
      <w:pPr>
        <w:adjustRightInd w:val="0"/>
        <w:snapToGrid w:val="0"/>
        <w:spacing w:line="360" w:lineRule="auto"/>
        <w:jc w:val="center"/>
        <w:rPr>
          <w:rFonts w:ascii="宋体" w:hAnsi="宋体" w:cs="宋体"/>
          <w:b/>
          <w:spacing w:val="20"/>
          <w:sz w:val="44"/>
          <w:szCs w:val="44"/>
        </w:rPr>
      </w:pPr>
    </w:p>
    <w:p>
      <w:pPr>
        <w:adjustRightInd w:val="0"/>
        <w:snapToGrid w:val="0"/>
        <w:spacing w:line="360" w:lineRule="auto"/>
        <w:jc w:val="center"/>
        <w:rPr>
          <w:rFonts w:ascii="宋体" w:hAnsi="宋体" w:cs="宋体"/>
          <w:b/>
          <w:spacing w:val="20"/>
          <w:sz w:val="44"/>
          <w:szCs w:val="44"/>
        </w:rPr>
      </w:pPr>
    </w:p>
    <w:p>
      <w:pPr>
        <w:adjustRightInd w:val="0"/>
        <w:snapToGrid w:val="0"/>
        <w:spacing w:line="360" w:lineRule="auto"/>
        <w:jc w:val="center"/>
        <w:rPr>
          <w:rFonts w:hint="eastAsia" w:ascii="宋体" w:hAnsi="宋体" w:eastAsia="宋体" w:cs="宋体"/>
          <w:b/>
          <w:spacing w:val="20"/>
          <w:sz w:val="44"/>
          <w:szCs w:val="44"/>
          <w:lang w:eastAsia="zh-CN"/>
        </w:rPr>
      </w:pPr>
      <w:r>
        <w:rPr>
          <w:rFonts w:hint="eastAsia" w:ascii="宋体" w:hAnsi="宋体" w:cs="宋体"/>
          <w:b/>
          <w:spacing w:val="20"/>
          <w:sz w:val="44"/>
          <w:szCs w:val="44"/>
          <w:lang w:eastAsia="zh-CN"/>
        </w:rPr>
        <w:t>东莞市交通投资集团有限公司供应链服务平台项目</w:t>
      </w:r>
    </w:p>
    <w:p>
      <w:pPr>
        <w:adjustRightInd w:val="0"/>
        <w:snapToGrid w:val="0"/>
        <w:spacing w:line="360" w:lineRule="auto"/>
        <w:jc w:val="center"/>
        <w:rPr>
          <w:rFonts w:ascii="宋体" w:hAnsi="宋体" w:cs="宋体"/>
          <w:b/>
          <w:sz w:val="48"/>
          <w:szCs w:val="48"/>
        </w:rPr>
      </w:pPr>
    </w:p>
    <w:p>
      <w:pPr>
        <w:adjustRightInd w:val="0"/>
        <w:snapToGrid w:val="0"/>
        <w:spacing w:line="360" w:lineRule="auto"/>
        <w:jc w:val="center"/>
        <w:rPr>
          <w:rFonts w:ascii="宋体" w:hAnsi="宋体" w:cs="宋体"/>
          <w:b/>
          <w:sz w:val="48"/>
          <w:szCs w:val="48"/>
        </w:rPr>
      </w:pPr>
    </w:p>
    <w:p>
      <w:pPr>
        <w:adjustRightInd w:val="0"/>
        <w:snapToGrid w:val="0"/>
        <w:spacing w:line="360" w:lineRule="auto"/>
        <w:jc w:val="center"/>
        <w:rPr>
          <w:rFonts w:ascii="宋体" w:hAnsi="宋体" w:cs="宋体"/>
          <w:b/>
          <w:spacing w:val="200"/>
          <w:sz w:val="72"/>
          <w:szCs w:val="72"/>
        </w:rPr>
      </w:pPr>
      <w:r>
        <w:rPr>
          <w:rFonts w:hint="eastAsia" w:ascii="宋体" w:hAnsi="宋体" w:cs="宋体"/>
          <w:b/>
          <w:spacing w:val="200"/>
          <w:sz w:val="72"/>
          <w:szCs w:val="72"/>
        </w:rPr>
        <w:t>合同书</w:t>
      </w:r>
    </w:p>
    <w:p>
      <w:pPr>
        <w:adjustRightInd w:val="0"/>
        <w:snapToGrid w:val="0"/>
        <w:spacing w:line="360" w:lineRule="auto"/>
        <w:jc w:val="center"/>
        <w:rPr>
          <w:rFonts w:ascii="宋体" w:hAnsi="宋体" w:cs="宋体"/>
          <w:b/>
          <w:sz w:val="32"/>
        </w:rPr>
      </w:pPr>
    </w:p>
    <w:p>
      <w:pPr>
        <w:adjustRightInd w:val="0"/>
        <w:snapToGrid w:val="0"/>
        <w:spacing w:line="360" w:lineRule="auto"/>
        <w:jc w:val="center"/>
        <w:rPr>
          <w:rFonts w:ascii="宋体" w:hAnsi="宋体" w:cs="宋体"/>
          <w:b/>
          <w:sz w:val="32"/>
        </w:rPr>
      </w:pPr>
    </w:p>
    <w:p>
      <w:pPr>
        <w:adjustRightInd w:val="0"/>
        <w:snapToGrid w:val="0"/>
        <w:spacing w:line="360" w:lineRule="auto"/>
        <w:ind w:left="1680"/>
        <w:rPr>
          <w:rFonts w:ascii="宋体" w:hAnsi="宋体" w:cs="宋体"/>
          <w:b/>
          <w:sz w:val="28"/>
          <w:u w:val="single"/>
        </w:rPr>
      </w:pPr>
      <w:r>
        <w:rPr>
          <w:rFonts w:hint="eastAsia" w:ascii="宋体" w:hAnsi="宋体" w:cs="宋体"/>
          <w:b/>
          <w:sz w:val="28"/>
        </w:rPr>
        <w:t>项目名称：</w:t>
      </w:r>
      <w:r>
        <w:rPr>
          <w:rFonts w:hint="eastAsia" w:ascii="宋体" w:hAnsi="宋体" w:cs="宋体"/>
          <w:b/>
          <w:sz w:val="28"/>
          <w:u w:val="single"/>
        </w:rPr>
        <w:t xml:space="preserve">                           </w:t>
      </w:r>
    </w:p>
    <w:p>
      <w:pPr>
        <w:adjustRightInd w:val="0"/>
        <w:snapToGrid w:val="0"/>
        <w:spacing w:line="360" w:lineRule="auto"/>
        <w:ind w:left="1680"/>
        <w:rPr>
          <w:rFonts w:ascii="宋体" w:hAnsi="宋体" w:cs="宋体"/>
          <w:b/>
          <w:sz w:val="28"/>
        </w:rPr>
      </w:pPr>
      <w:r>
        <w:rPr>
          <w:rFonts w:hint="eastAsia" w:ascii="宋体" w:hAnsi="宋体" w:cs="宋体"/>
          <w:b/>
          <w:sz w:val="28"/>
        </w:rPr>
        <w:t>合同编号：</w:t>
      </w:r>
      <w:r>
        <w:rPr>
          <w:rFonts w:hint="eastAsia" w:ascii="宋体" w:hAnsi="宋体" w:cs="宋体"/>
          <w:b/>
          <w:sz w:val="28"/>
          <w:u w:val="single"/>
        </w:rPr>
        <w:t xml:space="preserve">                           </w:t>
      </w:r>
    </w:p>
    <w:p>
      <w:pPr>
        <w:adjustRightInd w:val="0"/>
        <w:snapToGrid w:val="0"/>
        <w:spacing w:line="360" w:lineRule="auto"/>
        <w:ind w:left="1680"/>
        <w:rPr>
          <w:rFonts w:ascii="宋体" w:hAnsi="宋体" w:cs="宋体"/>
          <w:b/>
          <w:sz w:val="28"/>
        </w:rPr>
      </w:pPr>
      <w:r>
        <w:rPr>
          <w:rFonts w:hint="eastAsia" w:ascii="宋体" w:hAnsi="宋体" w:cs="宋体"/>
          <w:b/>
          <w:sz w:val="28"/>
        </w:rPr>
        <w:t>签约地点：</w:t>
      </w:r>
      <w:r>
        <w:rPr>
          <w:rFonts w:hint="eastAsia" w:ascii="宋体" w:hAnsi="宋体" w:cs="宋体"/>
          <w:b/>
          <w:sz w:val="28"/>
          <w:u w:val="single"/>
        </w:rPr>
        <w:t xml:space="preserve">                           </w:t>
      </w:r>
    </w:p>
    <w:p>
      <w:pPr>
        <w:adjustRightInd w:val="0"/>
        <w:snapToGrid w:val="0"/>
        <w:spacing w:line="360" w:lineRule="auto"/>
        <w:ind w:left="1680"/>
        <w:rPr>
          <w:rFonts w:ascii="宋体" w:hAnsi="宋体" w:cs="宋体"/>
          <w:b/>
          <w:sz w:val="28"/>
        </w:rPr>
      </w:pPr>
      <w:r>
        <w:rPr>
          <w:rFonts w:hint="eastAsia" w:ascii="宋体" w:hAnsi="宋体" w:cs="宋体"/>
          <w:b/>
          <w:sz w:val="28"/>
        </w:rPr>
        <w:t>签订日期：       年    月     日</w:t>
      </w:r>
    </w:p>
    <w:p>
      <w:pPr>
        <w:spacing w:line="360" w:lineRule="auto"/>
        <w:rPr>
          <w:rFonts w:ascii="宋体" w:hAnsi="宋体" w:cs="宋体"/>
          <w:sz w:val="30"/>
        </w:rPr>
      </w:pPr>
    </w:p>
    <w:p>
      <w:pPr>
        <w:spacing w:line="360" w:lineRule="auto"/>
        <w:rPr>
          <w:rFonts w:ascii="宋体" w:hAnsi="宋体" w:cs="宋体"/>
          <w:sz w:val="30"/>
        </w:rPr>
      </w:pPr>
    </w:p>
    <w:p>
      <w:pPr>
        <w:spacing w:line="360" w:lineRule="auto"/>
        <w:rPr>
          <w:rFonts w:ascii="宋体" w:hAnsi="宋体" w:cs="宋体"/>
          <w:sz w:val="30"/>
        </w:rPr>
      </w:pPr>
    </w:p>
    <w:p>
      <w:pPr>
        <w:spacing w:line="360" w:lineRule="auto"/>
        <w:jc w:val="center"/>
        <w:rPr>
          <w:rFonts w:ascii="宋体" w:hAnsi="宋体" w:cs="宋体"/>
          <w:sz w:val="22"/>
          <w:szCs w:val="22"/>
        </w:rPr>
      </w:pPr>
      <w:bookmarkStart w:id="900" w:name="_Toc21429_WPSOffice_Type1"/>
      <w:r>
        <w:rPr>
          <w:rFonts w:hint="eastAsia" w:ascii="宋体" w:hAnsi="宋体" w:cs="宋体"/>
          <w:sz w:val="22"/>
          <w:szCs w:val="22"/>
        </w:rPr>
        <w:t>目录</w:t>
      </w:r>
    </w:p>
    <w:p>
      <w:pPr>
        <w:pStyle w:val="97"/>
        <w:tabs>
          <w:tab w:val="right" w:leader="dot" w:pos="9071"/>
        </w:tabs>
        <w:spacing w:line="360" w:lineRule="auto"/>
        <w:rPr>
          <w:rFonts w:ascii="宋体" w:hAnsi="宋体" w:cs="宋体"/>
          <w:sz w:val="22"/>
          <w:szCs w:val="22"/>
        </w:rPr>
      </w:pPr>
      <w:r>
        <w:fldChar w:fldCharType="begin"/>
      </w:r>
      <w:r>
        <w:instrText xml:space="preserve"> HYPERLINK \l "_Toc19092_WPSOffice_Level1" </w:instrText>
      </w:r>
      <w:r>
        <w:fldChar w:fldCharType="separate"/>
      </w:r>
      <w:r>
        <w:rPr>
          <w:rFonts w:hint="eastAsia" w:ascii="宋体" w:hAnsi="宋体" w:cs="宋体"/>
          <w:sz w:val="22"/>
          <w:szCs w:val="22"/>
        </w:rPr>
        <w:t>一、 合同范围及要求</w:t>
      </w:r>
      <w:r>
        <w:rPr>
          <w:rFonts w:hint="eastAsia" w:ascii="宋体" w:hAnsi="宋体" w:cs="宋体"/>
          <w:sz w:val="22"/>
          <w:szCs w:val="22"/>
        </w:rPr>
        <w:tab/>
      </w:r>
      <w:bookmarkStart w:id="901" w:name="_Toc19092_WPSOffice_Level1Page"/>
      <w:r>
        <w:rPr>
          <w:rFonts w:hint="eastAsia" w:ascii="宋体" w:hAnsi="宋体" w:cs="宋体"/>
          <w:sz w:val="22"/>
          <w:szCs w:val="22"/>
        </w:rPr>
        <w:t>3</w:t>
      </w:r>
      <w:bookmarkEnd w:id="901"/>
      <w:r>
        <w:rPr>
          <w:rFonts w:hint="eastAsia" w:ascii="宋体" w:hAnsi="宋体" w:cs="宋体"/>
          <w:sz w:val="22"/>
          <w:szCs w:val="22"/>
        </w:rPr>
        <w:fldChar w:fldCharType="end"/>
      </w:r>
    </w:p>
    <w:p>
      <w:pPr>
        <w:pStyle w:val="97"/>
        <w:tabs>
          <w:tab w:val="right" w:leader="dot" w:pos="9071"/>
        </w:tabs>
        <w:spacing w:line="360" w:lineRule="auto"/>
        <w:rPr>
          <w:rFonts w:ascii="宋体" w:hAnsi="宋体" w:cs="宋体"/>
          <w:sz w:val="22"/>
          <w:szCs w:val="22"/>
        </w:rPr>
      </w:pPr>
      <w:r>
        <w:fldChar w:fldCharType="begin"/>
      </w:r>
      <w:r>
        <w:instrText xml:space="preserve"> HYPERLINK \l "_Toc28266_WPSOffice_Level1" </w:instrText>
      </w:r>
      <w:r>
        <w:fldChar w:fldCharType="separate"/>
      </w:r>
      <w:r>
        <w:rPr>
          <w:rFonts w:hint="eastAsia" w:ascii="宋体" w:hAnsi="宋体" w:cs="宋体"/>
          <w:sz w:val="22"/>
          <w:szCs w:val="22"/>
        </w:rPr>
        <w:t>二、合同价格</w:t>
      </w:r>
      <w:r>
        <w:rPr>
          <w:rFonts w:hint="eastAsia" w:ascii="宋体" w:hAnsi="宋体" w:cs="宋体"/>
          <w:sz w:val="22"/>
          <w:szCs w:val="22"/>
        </w:rPr>
        <w:tab/>
      </w:r>
      <w:bookmarkStart w:id="902" w:name="_Toc28266_WPSOffice_Level1Page"/>
      <w:r>
        <w:rPr>
          <w:rFonts w:hint="eastAsia" w:ascii="宋体" w:hAnsi="宋体" w:cs="宋体"/>
          <w:sz w:val="22"/>
          <w:szCs w:val="22"/>
        </w:rPr>
        <w:t>3</w:t>
      </w:r>
      <w:bookmarkEnd w:id="902"/>
      <w:r>
        <w:rPr>
          <w:rFonts w:hint="eastAsia" w:ascii="宋体" w:hAnsi="宋体" w:cs="宋体"/>
          <w:sz w:val="22"/>
          <w:szCs w:val="22"/>
        </w:rPr>
        <w:fldChar w:fldCharType="end"/>
      </w:r>
    </w:p>
    <w:p>
      <w:pPr>
        <w:pStyle w:val="97"/>
        <w:tabs>
          <w:tab w:val="right" w:leader="dot" w:pos="9071"/>
        </w:tabs>
        <w:spacing w:line="360" w:lineRule="auto"/>
        <w:rPr>
          <w:rFonts w:ascii="宋体" w:hAnsi="宋体" w:cs="宋体"/>
          <w:sz w:val="22"/>
          <w:szCs w:val="22"/>
        </w:rPr>
      </w:pPr>
      <w:r>
        <w:fldChar w:fldCharType="begin"/>
      </w:r>
      <w:r>
        <w:instrText xml:space="preserve"> HYPERLINK \l "_Toc13637_WPSOffice_Level1" </w:instrText>
      </w:r>
      <w:r>
        <w:fldChar w:fldCharType="separate"/>
      </w:r>
      <w:r>
        <w:rPr>
          <w:rFonts w:hint="eastAsia" w:ascii="宋体" w:hAnsi="宋体" w:cs="宋体"/>
          <w:sz w:val="22"/>
          <w:szCs w:val="22"/>
        </w:rPr>
        <w:t>三、合同工期</w:t>
      </w:r>
      <w:r>
        <w:rPr>
          <w:rFonts w:hint="eastAsia" w:ascii="宋体" w:hAnsi="宋体" w:cs="宋体"/>
          <w:sz w:val="22"/>
          <w:szCs w:val="22"/>
        </w:rPr>
        <w:tab/>
      </w:r>
      <w:bookmarkStart w:id="903" w:name="_Toc13637_WPSOffice_Level1Page"/>
      <w:r>
        <w:rPr>
          <w:rFonts w:hint="eastAsia" w:ascii="宋体" w:hAnsi="宋体" w:cs="宋体"/>
          <w:sz w:val="22"/>
          <w:szCs w:val="22"/>
        </w:rPr>
        <w:t>4</w:t>
      </w:r>
      <w:bookmarkEnd w:id="903"/>
      <w:r>
        <w:rPr>
          <w:rFonts w:hint="eastAsia" w:ascii="宋体" w:hAnsi="宋体" w:cs="宋体"/>
          <w:sz w:val="22"/>
          <w:szCs w:val="22"/>
        </w:rPr>
        <w:fldChar w:fldCharType="end"/>
      </w:r>
    </w:p>
    <w:p>
      <w:pPr>
        <w:pStyle w:val="97"/>
        <w:tabs>
          <w:tab w:val="right" w:leader="dot" w:pos="9071"/>
        </w:tabs>
        <w:spacing w:line="360" w:lineRule="auto"/>
        <w:rPr>
          <w:rFonts w:ascii="宋体" w:hAnsi="宋体" w:cs="宋体"/>
          <w:sz w:val="22"/>
          <w:szCs w:val="22"/>
        </w:rPr>
      </w:pPr>
      <w:r>
        <w:fldChar w:fldCharType="begin"/>
      </w:r>
      <w:r>
        <w:instrText xml:space="preserve"> HYPERLINK \l "_Toc17426_WPSOffice_Level1" </w:instrText>
      </w:r>
      <w:r>
        <w:fldChar w:fldCharType="separate"/>
      </w:r>
      <w:r>
        <w:rPr>
          <w:rFonts w:hint="eastAsia" w:ascii="宋体" w:hAnsi="宋体" w:cs="宋体"/>
          <w:sz w:val="22"/>
          <w:szCs w:val="22"/>
        </w:rPr>
        <w:t>四、施工地点</w:t>
      </w:r>
      <w:r>
        <w:rPr>
          <w:rFonts w:hint="eastAsia" w:ascii="宋体" w:hAnsi="宋体" w:cs="宋体"/>
          <w:sz w:val="22"/>
          <w:szCs w:val="22"/>
        </w:rPr>
        <w:tab/>
      </w:r>
      <w:bookmarkStart w:id="904" w:name="_Toc17426_WPSOffice_Level1Page"/>
      <w:r>
        <w:rPr>
          <w:rFonts w:hint="eastAsia" w:ascii="宋体" w:hAnsi="宋体" w:cs="宋体"/>
          <w:sz w:val="22"/>
          <w:szCs w:val="22"/>
        </w:rPr>
        <w:t>4</w:t>
      </w:r>
      <w:bookmarkEnd w:id="904"/>
      <w:r>
        <w:rPr>
          <w:rFonts w:hint="eastAsia" w:ascii="宋体" w:hAnsi="宋体" w:cs="宋体"/>
          <w:sz w:val="22"/>
          <w:szCs w:val="22"/>
        </w:rPr>
        <w:fldChar w:fldCharType="end"/>
      </w:r>
    </w:p>
    <w:p>
      <w:pPr>
        <w:pStyle w:val="97"/>
        <w:tabs>
          <w:tab w:val="right" w:leader="dot" w:pos="9071"/>
        </w:tabs>
        <w:spacing w:line="360" w:lineRule="auto"/>
        <w:rPr>
          <w:rFonts w:ascii="宋体" w:hAnsi="宋体" w:cs="宋体"/>
          <w:sz w:val="22"/>
          <w:szCs w:val="22"/>
        </w:rPr>
      </w:pPr>
      <w:r>
        <w:fldChar w:fldCharType="begin"/>
      </w:r>
      <w:r>
        <w:instrText xml:space="preserve"> HYPERLINK \l "_Toc15941_WPSOffice_Level1" </w:instrText>
      </w:r>
      <w:r>
        <w:fldChar w:fldCharType="separate"/>
      </w:r>
      <w:r>
        <w:rPr>
          <w:rFonts w:hint="eastAsia" w:ascii="宋体" w:hAnsi="宋体" w:cs="宋体"/>
          <w:sz w:val="22"/>
          <w:szCs w:val="22"/>
        </w:rPr>
        <w:t>五、付款方式</w:t>
      </w:r>
      <w:r>
        <w:rPr>
          <w:rFonts w:hint="eastAsia" w:ascii="宋体" w:hAnsi="宋体" w:cs="宋体"/>
          <w:sz w:val="22"/>
          <w:szCs w:val="22"/>
        </w:rPr>
        <w:tab/>
      </w:r>
      <w:bookmarkStart w:id="905" w:name="_Toc15941_WPSOffice_Level1Page"/>
      <w:r>
        <w:rPr>
          <w:rFonts w:hint="eastAsia" w:ascii="宋体" w:hAnsi="宋体" w:cs="宋体"/>
          <w:sz w:val="22"/>
          <w:szCs w:val="22"/>
        </w:rPr>
        <w:t>4</w:t>
      </w:r>
      <w:bookmarkEnd w:id="905"/>
      <w:r>
        <w:rPr>
          <w:rFonts w:hint="eastAsia" w:ascii="宋体" w:hAnsi="宋体" w:cs="宋体"/>
          <w:sz w:val="22"/>
          <w:szCs w:val="22"/>
        </w:rPr>
        <w:fldChar w:fldCharType="end"/>
      </w:r>
    </w:p>
    <w:p>
      <w:pPr>
        <w:pStyle w:val="97"/>
        <w:tabs>
          <w:tab w:val="right" w:leader="dot" w:pos="9071"/>
        </w:tabs>
        <w:spacing w:line="360" w:lineRule="auto"/>
        <w:rPr>
          <w:rFonts w:ascii="宋体" w:hAnsi="宋体" w:cs="宋体"/>
          <w:sz w:val="22"/>
          <w:szCs w:val="22"/>
        </w:rPr>
      </w:pPr>
      <w:r>
        <w:fldChar w:fldCharType="begin"/>
      </w:r>
      <w:r>
        <w:instrText xml:space="preserve"> HYPERLINK \l "_Toc10698_WPSOffice_Level1" </w:instrText>
      </w:r>
      <w:r>
        <w:fldChar w:fldCharType="separate"/>
      </w:r>
      <w:r>
        <w:rPr>
          <w:rFonts w:hint="eastAsia" w:ascii="宋体" w:hAnsi="宋体" w:cs="宋体"/>
          <w:sz w:val="22"/>
          <w:szCs w:val="22"/>
        </w:rPr>
        <w:t>六、税费</w:t>
      </w:r>
      <w:r>
        <w:rPr>
          <w:rFonts w:hint="eastAsia" w:ascii="宋体" w:hAnsi="宋体" w:cs="宋体"/>
          <w:sz w:val="22"/>
          <w:szCs w:val="22"/>
        </w:rPr>
        <w:tab/>
      </w:r>
      <w:bookmarkStart w:id="906" w:name="_Toc10698_WPSOffice_Level1Page"/>
      <w:r>
        <w:rPr>
          <w:rFonts w:hint="eastAsia" w:ascii="宋体" w:hAnsi="宋体" w:cs="宋体"/>
          <w:sz w:val="22"/>
          <w:szCs w:val="22"/>
        </w:rPr>
        <w:t>4</w:t>
      </w:r>
      <w:bookmarkEnd w:id="906"/>
      <w:r>
        <w:rPr>
          <w:rFonts w:hint="eastAsia" w:ascii="宋体" w:hAnsi="宋体" w:cs="宋体"/>
          <w:sz w:val="22"/>
          <w:szCs w:val="22"/>
        </w:rPr>
        <w:fldChar w:fldCharType="end"/>
      </w:r>
    </w:p>
    <w:p>
      <w:pPr>
        <w:pStyle w:val="97"/>
        <w:tabs>
          <w:tab w:val="right" w:leader="dot" w:pos="9071"/>
        </w:tabs>
        <w:spacing w:line="360" w:lineRule="auto"/>
        <w:rPr>
          <w:rFonts w:ascii="宋体" w:hAnsi="宋体" w:cs="宋体"/>
          <w:sz w:val="22"/>
          <w:szCs w:val="22"/>
        </w:rPr>
      </w:pPr>
      <w:r>
        <w:fldChar w:fldCharType="begin"/>
      </w:r>
      <w:r>
        <w:instrText xml:space="preserve"> HYPERLINK \l "_Toc12043_WPSOffice_Level1" </w:instrText>
      </w:r>
      <w:r>
        <w:fldChar w:fldCharType="separate"/>
      </w:r>
      <w:r>
        <w:rPr>
          <w:rFonts w:hint="eastAsia" w:ascii="宋体" w:hAnsi="宋体" w:cs="宋体"/>
          <w:sz w:val="22"/>
          <w:szCs w:val="22"/>
        </w:rPr>
        <w:t>七、履约担保</w:t>
      </w:r>
      <w:r>
        <w:rPr>
          <w:rFonts w:hint="eastAsia" w:ascii="宋体" w:hAnsi="宋体" w:cs="宋体"/>
          <w:sz w:val="22"/>
          <w:szCs w:val="22"/>
        </w:rPr>
        <w:tab/>
      </w:r>
      <w:bookmarkStart w:id="907" w:name="_Toc12043_WPSOffice_Level1Page"/>
      <w:r>
        <w:rPr>
          <w:rFonts w:hint="eastAsia" w:ascii="宋体" w:hAnsi="宋体" w:cs="宋体"/>
          <w:sz w:val="22"/>
          <w:szCs w:val="22"/>
        </w:rPr>
        <w:t>4</w:t>
      </w:r>
      <w:bookmarkEnd w:id="907"/>
      <w:r>
        <w:rPr>
          <w:rFonts w:hint="eastAsia" w:ascii="宋体" w:hAnsi="宋体" w:cs="宋体"/>
          <w:sz w:val="22"/>
          <w:szCs w:val="22"/>
        </w:rPr>
        <w:fldChar w:fldCharType="end"/>
      </w:r>
    </w:p>
    <w:p>
      <w:pPr>
        <w:pStyle w:val="97"/>
        <w:tabs>
          <w:tab w:val="right" w:leader="dot" w:pos="9071"/>
        </w:tabs>
        <w:spacing w:line="360" w:lineRule="auto"/>
        <w:rPr>
          <w:rFonts w:ascii="宋体" w:hAnsi="宋体" w:cs="宋体"/>
          <w:sz w:val="22"/>
          <w:szCs w:val="22"/>
        </w:rPr>
      </w:pPr>
      <w:r>
        <w:fldChar w:fldCharType="begin"/>
      </w:r>
      <w:r>
        <w:instrText xml:space="preserve"> HYPERLINK \l "_Toc1350_WPSOffice_Level1" </w:instrText>
      </w:r>
      <w:r>
        <w:fldChar w:fldCharType="separate"/>
      </w:r>
      <w:r>
        <w:rPr>
          <w:rFonts w:hint="eastAsia" w:ascii="宋体" w:hAnsi="宋体" w:cs="宋体"/>
          <w:sz w:val="22"/>
          <w:szCs w:val="22"/>
        </w:rPr>
        <w:t>八、组成合同的文件及解释顺序</w:t>
      </w:r>
      <w:r>
        <w:rPr>
          <w:rFonts w:hint="eastAsia" w:ascii="宋体" w:hAnsi="宋体" w:cs="宋体"/>
          <w:sz w:val="22"/>
          <w:szCs w:val="22"/>
        </w:rPr>
        <w:tab/>
      </w:r>
      <w:bookmarkStart w:id="908" w:name="_Toc1350_WPSOffice_Level1Page"/>
      <w:r>
        <w:rPr>
          <w:rFonts w:hint="eastAsia" w:ascii="宋体" w:hAnsi="宋体" w:cs="宋体"/>
          <w:sz w:val="22"/>
          <w:szCs w:val="22"/>
        </w:rPr>
        <w:t>5</w:t>
      </w:r>
      <w:bookmarkEnd w:id="908"/>
      <w:r>
        <w:rPr>
          <w:rFonts w:hint="eastAsia" w:ascii="宋体" w:hAnsi="宋体" w:cs="宋体"/>
          <w:sz w:val="22"/>
          <w:szCs w:val="22"/>
        </w:rPr>
        <w:fldChar w:fldCharType="end"/>
      </w:r>
    </w:p>
    <w:p>
      <w:pPr>
        <w:pStyle w:val="97"/>
        <w:tabs>
          <w:tab w:val="right" w:leader="dot" w:pos="9071"/>
        </w:tabs>
        <w:spacing w:line="360" w:lineRule="auto"/>
        <w:rPr>
          <w:rFonts w:ascii="宋体" w:hAnsi="宋体" w:cs="宋体"/>
          <w:sz w:val="22"/>
          <w:szCs w:val="22"/>
        </w:rPr>
      </w:pPr>
      <w:r>
        <w:fldChar w:fldCharType="begin"/>
      </w:r>
      <w:r>
        <w:instrText xml:space="preserve"> HYPERLINK \l "_Toc22604_WPSOffice_Level1" </w:instrText>
      </w:r>
      <w:r>
        <w:fldChar w:fldCharType="separate"/>
      </w:r>
      <w:r>
        <w:rPr>
          <w:rFonts w:hint="eastAsia" w:ascii="宋体" w:hAnsi="宋体" w:cs="宋体"/>
          <w:sz w:val="22"/>
          <w:szCs w:val="22"/>
        </w:rPr>
        <w:t>九、双方的权利和义务</w:t>
      </w:r>
      <w:r>
        <w:rPr>
          <w:rFonts w:hint="eastAsia" w:ascii="宋体" w:hAnsi="宋体" w:cs="宋体"/>
          <w:sz w:val="22"/>
          <w:szCs w:val="22"/>
        </w:rPr>
        <w:tab/>
      </w:r>
      <w:bookmarkStart w:id="909" w:name="_Toc22604_WPSOffice_Level1Page"/>
      <w:r>
        <w:rPr>
          <w:rFonts w:hint="eastAsia" w:ascii="宋体" w:hAnsi="宋体" w:cs="宋体"/>
          <w:sz w:val="22"/>
          <w:szCs w:val="22"/>
        </w:rPr>
        <w:t>5</w:t>
      </w:r>
      <w:bookmarkEnd w:id="909"/>
      <w:r>
        <w:rPr>
          <w:rFonts w:hint="eastAsia" w:ascii="宋体" w:hAnsi="宋体" w:cs="宋体"/>
          <w:sz w:val="22"/>
          <w:szCs w:val="22"/>
        </w:rPr>
        <w:fldChar w:fldCharType="end"/>
      </w:r>
    </w:p>
    <w:p>
      <w:pPr>
        <w:pStyle w:val="97"/>
        <w:tabs>
          <w:tab w:val="right" w:leader="dot" w:pos="9071"/>
        </w:tabs>
        <w:spacing w:line="360" w:lineRule="auto"/>
        <w:rPr>
          <w:rFonts w:ascii="宋体" w:hAnsi="宋体" w:cs="宋体"/>
          <w:sz w:val="22"/>
          <w:szCs w:val="22"/>
        </w:rPr>
      </w:pPr>
      <w:r>
        <w:fldChar w:fldCharType="begin"/>
      </w:r>
      <w:r>
        <w:instrText xml:space="preserve"> HYPERLINK \l "_Toc1802_WPSOffice_Level1" </w:instrText>
      </w:r>
      <w:r>
        <w:fldChar w:fldCharType="separate"/>
      </w:r>
      <w:r>
        <w:rPr>
          <w:rFonts w:hint="eastAsia" w:ascii="宋体" w:hAnsi="宋体" w:cs="宋体"/>
          <w:sz w:val="22"/>
          <w:szCs w:val="22"/>
        </w:rPr>
        <w:t>十、安全责任及保险</w:t>
      </w:r>
      <w:r>
        <w:rPr>
          <w:rFonts w:hint="eastAsia" w:ascii="宋体" w:hAnsi="宋体" w:cs="宋体"/>
          <w:sz w:val="22"/>
          <w:szCs w:val="22"/>
        </w:rPr>
        <w:tab/>
      </w:r>
      <w:bookmarkStart w:id="910" w:name="_Toc1802_WPSOffice_Level1Page"/>
      <w:r>
        <w:rPr>
          <w:rFonts w:hint="eastAsia" w:ascii="宋体" w:hAnsi="宋体" w:cs="宋体"/>
          <w:sz w:val="22"/>
          <w:szCs w:val="22"/>
        </w:rPr>
        <w:t>7</w:t>
      </w:r>
      <w:bookmarkEnd w:id="910"/>
      <w:r>
        <w:rPr>
          <w:rFonts w:hint="eastAsia" w:ascii="宋体" w:hAnsi="宋体" w:cs="宋体"/>
          <w:sz w:val="22"/>
          <w:szCs w:val="22"/>
        </w:rPr>
        <w:fldChar w:fldCharType="end"/>
      </w:r>
    </w:p>
    <w:p>
      <w:pPr>
        <w:pStyle w:val="97"/>
        <w:tabs>
          <w:tab w:val="right" w:leader="dot" w:pos="9071"/>
        </w:tabs>
        <w:spacing w:line="360" w:lineRule="auto"/>
        <w:rPr>
          <w:rFonts w:ascii="宋体" w:hAnsi="宋体" w:cs="宋体"/>
          <w:sz w:val="22"/>
          <w:szCs w:val="22"/>
        </w:rPr>
      </w:pPr>
      <w:r>
        <w:fldChar w:fldCharType="begin"/>
      </w:r>
      <w:r>
        <w:instrText xml:space="preserve"> HYPERLINK \l "_Toc18576_WPSOffice_Level1" </w:instrText>
      </w:r>
      <w:r>
        <w:fldChar w:fldCharType="separate"/>
      </w:r>
      <w:r>
        <w:rPr>
          <w:rFonts w:hint="eastAsia" w:ascii="宋体" w:hAnsi="宋体" w:cs="宋体"/>
          <w:sz w:val="22"/>
          <w:szCs w:val="22"/>
        </w:rPr>
        <w:t>十一、检查和培训</w:t>
      </w:r>
      <w:r>
        <w:rPr>
          <w:rFonts w:hint="eastAsia" w:ascii="宋体" w:hAnsi="宋体" w:cs="宋体"/>
          <w:sz w:val="22"/>
          <w:szCs w:val="22"/>
        </w:rPr>
        <w:tab/>
      </w:r>
      <w:bookmarkStart w:id="911" w:name="_Toc18576_WPSOffice_Level1Page"/>
      <w:r>
        <w:rPr>
          <w:rFonts w:hint="eastAsia" w:ascii="宋体" w:hAnsi="宋体" w:cs="宋体"/>
          <w:sz w:val="22"/>
          <w:szCs w:val="22"/>
        </w:rPr>
        <w:t>7</w:t>
      </w:r>
      <w:bookmarkEnd w:id="911"/>
      <w:r>
        <w:rPr>
          <w:rFonts w:hint="eastAsia" w:ascii="宋体" w:hAnsi="宋体" w:cs="宋体"/>
          <w:sz w:val="22"/>
          <w:szCs w:val="22"/>
        </w:rPr>
        <w:fldChar w:fldCharType="end"/>
      </w:r>
    </w:p>
    <w:p>
      <w:pPr>
        <w:pStyle w:val="97"/>
        <w:tabs>
          <w:tab w:val="right" w:leader="dot" w:pos="9071"/>
        </w:tabs>
        <w:spacing w:line="360" w:lineRule="auto"/>
        <w:rPr>
          <w:rFonts w:ascii="宋体" w:hAnsi="宋体" w:cs="宋体"/>
          <w:sz w:val="22"/>
          <w:szCs w:val="22"/>
        </w:rPr>
      </w:pPr>
      <w:r>
        <w:fldChar w:fldCharType="begin"/>
      </w:r>
      <w:r>
        <w:instrText xml:space="preserve"> HYPERLINK \l "_Toc2858_WPSOffice_Level1" </w:instrText>
      </w:r>
      <w:r>
        <w:fldChar w:fldCharType="separate"/>
      </w:r>
      <w:r>
        <w:rPr>
          <w:rFonts w:hint="eastAsia" w:ascii="宋体" w:hAnsi="宋体" w:cs="宋体"/>
          <w:sz w:val="22"/>
          <w:szCs w:val="22"/>
        </w:rPr>
        <w:t>十二、调试、试运行和验收</w:t>
      </w:r>
      <w:r>
        <w:rPr>
          <w:rFonts w:hint="eastAsia" w:ascii="宋体" w:hAnsi="宋体" w:cs="宋体"/>
          <w:sz w:val="22"/>
          <w:szCs w:val="22"/>
        </w:rPr>
        <w:tab/>
      </w:r>
      <w:bookmarkStart w:id="912" w:name="_Toc2858_WPSOffice_Level1Page"/>
      <w:r>
        <w:rPr>
          <w:rFonts w:hint="eastAsia" w:ascii="宋体" w:hAnsi="宋体" w:cs="宋体"/>
          <w:sz w:val="22"/>
          <w:szCs w:val="22"/>
        </w:rPr>
        <w:t>8</w:t>
      </w:r>
      <w:bookmarkEnd w:id="912"/>
      <w:r>
        <w:rPr>
          <w:rFonts w:hint="eastAsia" w:ascii="宋体" w:hAnsi="宋体" w:cs="宋体"/>
          <w:sz w:val="22"/>
          <w:szCs w:val="22"/>
        </w:rPr>
        <w:fldChar w:fldCharType="end"/>
      </w:r>
    </w:p>
    <w:p>
      <w:pPr>
        <w:pStyle w:val="97"/>
        <w:tabs>
          <w:tab w:val="right" w:leader="dot" w:pos="9071"/>
        </w:tabs>
        <w:spacing w:line="360" w:lineRule="auto"/>
        <w:rPr>
          <w:rFonts w:ascii="宋体" w:hAnsi="宋体" w:cs="宋体"/>
          <w:sz w:val="22"/>
          <w:szCs w:val="22"/>
        </w:rPr>
      </w:pPr>
      <w:r>
        <w:fldChar w:fldCharType="begin"/>
      </w:r>
      <w:r>
        <w:instrText xml:space="preserve"> HYPERLINK \l "_Toc7305_WPSOffice_Level1" </w:instrText>
      </w:r>
      <w:r>
        <w:fldChar w:fldCharType="separate"/>
      </w:r>
      <w:r>
        <w:rPr>
          <w:rFonts w:hint="eastAsia" w:ascii="宋体" w:hAnsi="宋体" w:cs="宋体"/>
          <w:sz w:val="22"/>
          <w:szCs w:val="22"/>
        </w:rPr>
        <w:t>十三、质量保证期</w:t>
      </w:r>
      <w:r>
        <w:rPr>
          <w:rFonts w:hint="eastAsia" w:ascii="宋体" w:hAnsi="宋体" w:cs="宋体"/>
          <w:sz w:val="22"/>
          <w:szCs w:val="22"/>
        </w:rPr>
        <w:tab/>
      </w:r>
      <w:bookmarkStart w:id="913" w:name="_Toc7305_WPSOffice_Level1Page"/>
      <w:r>
        <w:rPr>
          <w:rFonts w:hint="eastAsia" w:ascii="宋体" w:hAnsi="宋体" w:cs="宋体"/>
          <w:sz w:val="22"/>
          <w:szCs w:val="22"/>
        </w:rPr>
        <w:t>9</w:t>
      </w:r>
      <w:bookmarkEnd w:id="913"/>
      <w:r>
        <w:rPr>
          <w:rFonts w:hint="eastAsia" w:ascii="宋体" w:hAnsi="宋体" w:cs="宋体"/>
          <w:sz w:val="22"/>
          <w:szCs w:val="22"/>
        </w:rPr>
        <w:fldChar w:fldCharType="end"/>
      </w:r>
    </w:p>
    <w:p>
      <w:pPr>
        <w:pStyle w:val="97"/>
        <w:tabs>
          <w:tab w:val="right" w:leader="dot" w:pos="9071"/>
        </w:tabs>
        <w:spacing w:line="360" w:lineRule="auto"/>
        <w:rPr>
          <w:rFonts w:ascii="宋体" w:hAnsi="宋体" w:cs="宋体"/>
          <w:sz w:val="22"/>
          <w:szCs w:val="22"/>
        </w:rPr>
      </w:pPr>
      <w:r>
        <w:fldChar w:fldCharType="begin"/>
      </w:r>
      <w:r>
        <w:instrText xml:space="preserve"> HYPERLINK \l "_Toc20694_WPSOffice_Level1" </w:instrText>
      </w:r>
      <w:r>
        <w:fldChar w:fldCharType="separate"/>
      </w:r>
      <w:r>
        <w:rPr>
          <w:rFonts w:hint="eastAsia" w:ascii="宋体" w:hAnsi="宋体" w:cs="宋体"/>
          <w:sz w:val="22"/>
          <w:szCs w:val="22"/>
        </w:rPr>
        <w:t>十四、售后服务</w:t>
      </w:r>
      <w:r>
        <w:rPr>
          <w:rFonts w:hint="eastAsia" w:ascii="宋体" w:hAnsi="宋体" w:cs="宋体"/>
          <w:sz w:val="22"/>
          <w:szCs w:val="22"/>
        </w:rPr>
        <w:tab/>
      </w:r>
      <w:bookmarkStart w:id="914" w:name="_Toc20694_WPSOffice_Level1Page"/>
      <w:r>
        <w:rPr>
          <w:rFonts w:hint="eastAsia" w:ascii="宋体" w:hAnsi="宋体" w:cs="宋体"/>
          <w:sz w:val="22"/>
          <w:szCs w:val="22"/>
        </w:rPr>
        <w:t>9</w:t>
      </w:r>
      <w:bookmarkEnd w:id="914"/>
      <w:r>
        <w:rPr>
          <w:rFonts w:hint="eastAsia" w:ascii="宋体" w:hAnsi="宋体" w:cs="宋体"/>
          <w:sz w:val="22"/>
          <w:szCs w:val="22"/>
        </w:rPr>
        <w:fldChar w:fldCharType="end"/>
      </w:r>
    </w:p>
    <w:p>
      <w:pPr>
        <w:pStyle w:val="97"/>
        <w:tabs>
          <w:tab w:val="right" w:leader="dot" w:pos="9071"/>
        </w:tabs>
        <w:spacing w:line="360" w:lineRule="auto"/>
        <w:rPr>
          <w:rFonts w:ascii="宋体" w:hAnsi="宋体" w:cs="宋体"/>
          <w:sz w:val="22"/>
          <w:szCs w:val="22"/>
        </w:rPr>
      </w:pPr>
      <w:r>
        <w:fldChar w:fldCharType="begin"/>
      </w:r>
      <w:r>
        <w:instrText xml:space="preserve"> HYPERLINK \l "_Toc24287_WPSOffice_Level1" </w:instrText>
      </w:r>
      <w:r>
        <w:fldChar w:fldCharType="separate"/>
      </w:r>
      <w:r>
        <w:rPr>
          <w:rFonts w:hint="eastAsia" w:ascii="宋体" w:hAnsi="宋体" w:cs="宋体"/>
          <w:sz w:val="22"/>
          <w:szCs w:val="22"/>
        </w:rPr>
        <w:t>十五、转让</w:t>
      </w:r>
      <w:r>
        <w:rPr>
          <w:rFonts w:hint="eastAsia" w:ascii="宋体" w:hAnsi="宋体" w:cs="宋体"/>
          <w:sz w:val="22"/>
          <w:szCs w:val="22"/>
        </w:rPr>
        <w:tab/>
      </w:r>
      <w:bookmarkStart w:id="915" w:name="_Toc24287_WPSOffice_Level1Page"/>
      <w:r>
        <w:rPr>
          <w:rFonts w:hint="eastAsia" w:ascii="宋体" w:hAnsi="宋体" w:cs="宋体"/>
          <w:sz w:val="22"/>
          <w:szCs w:val="22"/>
        </w:rPr>
        <w:t>10</w:t>
      </w:r>
      <w:bookmarkEnd w:id="915"/>
      <w:r>
        <w:rPr>
          <w:rFonts w:hint="eastAsia" w:ascii="宋体" w:hAnsi="宋体" w:cs="宋体"/>
          <w:sz w:val="22"/>
          <w:szCs w:val="22"/>
        </w:rPr>
        <w:fldChar w:fldCharType="end"/>
      </w:r>
    </w:p>
    <w:p>
      <w:pPr>
        <w:pStyle w:val="97"/>
        <w:tabs>
          <w:tab w:val="right" w:leader="dot" w:pos="9071"/>
        </w:tabs>
        <w:spacing w:line="360" w:lineRule="auto"/>
        <w:rPr>
          <w:rFonts w:ascii="宋体" w:hAnsi="宋体" w:cs="宋体"/>
          <w:sz w:val="22"/>
          <w:szCs w:val="22"/>
        </w:rPr>
      </w:pPr>
      <w:r>
        <w:fldChar w:fldCharType="begin"/>
      </w:r>
      <w:r>
        <w:instrText xml:space="preserve"> HYPERLINK \l "_Toc18281_WPSOffice_Level1" </w:instrText>
      </w:r>
      <w:r>
        <w:fldChar w:fldCharType="separate"/>
      </w:r>
      <w:r>
        <w:rPr>
          <w:rFonts w:hint="eastAsia" w:ascii="宋体" w:hAnsi="宋体" w:cs="宋体"/>
          <w:sz w:val="22"/>
          <w:szCs w:val="22"/>
        </w:rPr>
        <w:t>十六、变更</w:t>
      </w:r>
      <w:r>
        <w:rPr>
          <w:rFonts w:hint="eastAsia" w:ascii="宋体" w:hAnsi="宋体" w:cs="宋体"/>
          <w:sz w:val="22"/>
          <w:szCs w:val="22"/>
        </w:rPr>
        <w:tab/>
      </w:r>
      <w:bookmarkStart w:id="916" w:name="_Toc18281_WPSOffice_Level1Page"/>
      <w:r>
        <w:rPr>
          <w:rFonts w:hint="eastAsia" w:ascii="宋体" w:hAnsi="宋体" w:cs="宋体"/>
          <w:sz w:val="22"/>
          <w:szCs w:val="22"/>
        </w:rPr>
        <w:t>10</w:t>
      </w:r>
      <w:bookmarkEnd w:id="916"/>
      <w:r>
        <w:rPr>
          <w:rFonts w:hint="eastAsia" w:ascii="宋体" w:hAnsi="宋体" w:cs="宋体"/>
          <w:sz w:val="22"/>
          <w:szCs w:val="22"/>
        </w:rPr>
        <w:fldChar w:fldCharType="end"/>
      </w:r>
    </w:p>
    <w:p>
      <w:pPr>
        <w:pStyle w:val="97"/>
        <w:tabs>
          <w:tab w:val="right" w:leader="dot" w:pos="9071"/>
        </w:tabs>
        <w:spacing w:line="360" w:lineRule="auto"/>
        <w:rPr>
          <w:rFonts w:ascii="宋体" w:hAnsi="宋体" w:cs="宋体"/>
          <w:sz w:val="22"/>
          <w:szCs w:val="22"/>
        </w:rPr>
      </w:pPr>
      <w:r>
        <w:fldChar w:fldCharType="begin"/>
      </w:r>
      <w:r>
        <w:instrText xml:space="preserve"> HYPERLINK \l "_Toc23434_WPSOffice_Level1" </w:instrText>
      </w:r>
      <w:r>
        <w:fldChar w:fldCharType="separate"/>
      </w:r>
      <w:r>
        <w:rPr>
          <w:rFonts w:hint="eastAsia" w:ascii="宋体" w:hAnsi="宋体" w:cs="宋体"/>
          <w:sz w:val="22"/>
          <w:szCs w:val="22"/>
        </w:rPr>
        <w:t>十七、知识产权</w:t>
      </w:r>
      <w:r>
        <w:rPr>
          <w:rFonts w:hint="eastAsia" w:ascii="宋体" w:hAnsi="宋体" w:cs="宋体"/>
          <w:sz w:val="22"/>
          <w:szCs w:val="22"/>
        </w:rPr>
        <w:tab/>
      </w:r>
      <w:bookmarkStart w:id="917" w:name="_Toc23434_WPSOffice_Level1Page"/>
      <w:r>
        <w:rPr>
          <w:rFonts w:hint="eastAsia" w:ascii="宋体" w:hAnsi="宋体" w:cs="宋体"/>
          <w:sz w:val="22"/>
          <w:szCs w:val="22"/>
        </w:rPr>
        <w:t>10</w:t>
      </w:r>
      <w:bookmarkEnd w:id="917"/>
      <w:r>
        <w:rPr>
          <w:rFonts w:hint="eastAsia" w:ascii="宋体" w:hAnsi="宋体" w:cs="宋体"/>
          <w:sz w:val="22"/>
          <w:szCs w:val="22"/>
        </w:rPr>
        <w:fldChar w:fldCharType="end"/>
      </w:r>
    </w:p>
    <w:p>
      <w:pPr>
        <w:pStyle w:val="97"/>
        <w:tabs>
          <w:tab w:val="right" w:leader="dot" w:pos="9071"/>
        </w:tabs>
        <w:spacing w:line="360" w:lineRule="auto"/>
        <w:rPr>
          <w:rFonts w:ascii="宋体" w:hAnsi="宋体" w:cs="宋体"/>
          <w:sz w:val="22"/>
          <w:szCs w:val="22"/>
        </w:rPr>
      </w:pPr>
      <w:r>
        <w:fldChar w:fldCharType="begin"/>
      </w:r>
      <w:r>
        <w:instrText xml:space="preserve"> HYPERLINK \l "_Toc25818_WPSOffice_Level1" </w:instrText>
      </w:r>
      <w:r>
        <w:fldChar w:fldCharType="separate"/>
      </w:r>
      <w:r>
        <w:rPr>
          <w:rFonts w:hint="eastAsia" w:ascii="宋体" w:hAnsi="宋体" w:cs="宋体"/>
          <w:sz w:val="22"/>
          <w:szCs w:val="22"/>
        </w:rPr>
        <w:t>十八、 违约责任</w:t>
      </w:r>
      <w:r>
        <w:rPr>
          <w:rFonts w:hint="eastAsia" w:ascii="宋体" w:hAnsi="宋体" w:cs="宋体"/>
          <w:sz w:val="22"/>
          <w:szCs w:val="22"/>
        </w:rPr>
        <w:tab/>
      </w:r>
      <w:bookmarkStart w:id="918" w:name="_Toc25818_WPSOffice_Level1Page"/>
      <w:r>
        <w:rPr>
          <w:rFonts w:hint="eastAsia" w:ascii="宋体" w:hAnsi="宋体" w:cs="宋体"/>
          <w:sz w:val="22"/>
          <w:szCs w:val="22"/>
        </w:rPr>
        <w:t>11</w:t>
      </w:r>
      <w:bookmarkEnd w:id="918"/>
      <w:r>
        <w:rPr>
          <w:rFonts w:hint="eastAsia" w:ascii="宋体" w:hAnsi="宋体" w:cs="宋体"/>
          <w:sz w:val="22"/>
          <w:szCs w:val="22"/>
        </w:rPr>
        <w:fldChar w:fldCharType="end"/>
      </w:r>
    </w:p>
    <w:p>
      <w:pPr>
        <w:pStyle w:val="97"/>
        <w:tabs>
          <w:tab w:val="right" w:leader="dot" w:pos="9071"/>
        </w:tabs>
        <w:spacing w:line="360" w:lineRule="auto"/>
        <w:rPr>
          <w:rFonts w:ascii="宋体" w:hAnsi="宋体" w:cs="宋体"/>
          <w:sz w:val="22"/>
          <w:szCs w:val="22"/>
        </w:rPr>
      </w:pPr>
      <w:r>
        <w:fldChar w:fldCharType="begin"/>
      </w:r>
      <w:r>
        <w:instrText xml:space="preserve"> HYPERLINK \l "_Toc11008_WPSOffice_Level1" </w:instrText>
      </w:r>
      <w:r>
        <w:fldChar w:fldCharType="separate"/>
      </w:r>
      <w:r>
        <w:rPr>
          <w:rFonts w:hint="eastAsia" w:ascii="宋体" w:hAnsi="宋体" w:cs="宋体"/>
          <w:sz w:val="22"/>
          <w:szCs w:val="22"/>
        </w:rPr>
        <w:t>十九、争议解决</w:t>
      </w:r>
      <w:r>
        <w:rPr>
          <w:rFonts w:hint="eastAsia" w:ascii="宋体" w:hAnsi="宋体" w:cs="宋体"/>
          <w:sz w:val="22"/>
          <w:szCs w:val="22"/>
        </w:rPr>
        <w:tab/>
      </w:r>
      <w:bookmarkStart w:id="919" w:name="_Toc11008_WPSOffice_Level1Page"/>
      <w:r>
        <w:rPr>
          <w:rFonts w:hint="eastAsia" w:ascii="宋体" w:hAnsi="宋体" w:cs="宋体"/>
          <w:sz w:val="22"/>
          <w:szCs w:val="22"/>
        </w:rPr>
        <w:t>12</w:t>
      </w:r>
      <w:bookmarkEnd w:id="919"/>
      <w:r>
        <w:rPr>
          <w:rFonts w:hint="eastAsia" w:ascii="宋体" w:hAnsi="宋体" w:cs="宋体"/>
          <w:sz w:val="22"/>
          <w:szCs w:val="22"/>
        </w:rPr>
        <w:fldChar w:fldCharType="end"/>
      </w:r>
    </w:p>
    <w:p>
      <w:pPr>
        <w:pStyle w:val="97"/>
        <w:tabs>
          <w:tab w:val="right" w:leader="dot" w:pos="9071"/>
        </w:tabs>
        <w:spacing w:line="360" w:lineRule="auto"/>
        <w:rPr>
          <w:rFonts w:ascii="宋体" w:hAnsi="宋体" w:cs="宋体"/>
          <w:sz w:val="22"/>
          <w:szCs w:val="22"/>
        </w:rPr>
      </w:pPr>
      <w:r>
        <w:fldChar w:fldCharType="begin"/>
      </w:r>
      <w:r>
        <w:instrText xml:space="preserve"> HYPERLINK \l "_Toc22715_WPSOffice_Level1" </w:instrText>
      </w:r>
      <w:r>
        <w:fldChar w:fldCharType="separate"/>
      </w:r>
      <w:r>
        <w:rPr>
          <w:rFonts w:hint="eastAsia" w:ascii="宋体" w:hAnsi="宋体" w:cs="宋体"/>
          <w:sz w:val="22"/>
          <w:szCs w:val="22"/>
        </w:rPr>
        <w:t>二十、其他</w:t>
      </w:r>
      <w:r>
        <w:rPr>
          <w:rFonts w:hint="eastAsia" w:ascii="宋体" w:hAnsi="宋体" w:cs="宋体"/>
          <w:sz w:val="22"/>
          <w:szCs w:val="22"/>
        </w:rPr>
        <w:tab/>
      </w:r>
      <w:bookmarkStart w:id="920" w:name="_Toc22715_WPSOffice_Level1Page"/>
      <w:r>
        <w:rPr>
          <w:rFonts w:hint="eastAsia" w:ascii="宋体" w:hAnsi="宋体" w:cs="宋体"/>
          <w:sz w:val="22"/>
          <w:szCs w:val="22"/>
        </w:rPr>
        <w:t>12</w:t>
      </w:r>
      <w:bookmarkEnd w:id="920"/>
      <w:r>
        <w:rPr>
          <w:rFonts w:hint="eastAsia" w:ascii="宋体" w:hAnsi="宋体" w:cs="宋体"/>
          <w:sz w:val="22"/>
          <w:szCs w:val="22"/>
        </w:rPr>
        <w:fldChar w:fldCharType="end"/>
      </w:r>
    </w:p>
    <w:p>
      <w:pPr>
        <w:pStyle w:val="97"/>
        <w:tabs>
          <w:tab w:val="right" w:leader="dot" w:pos="9071"/>
        </w:tabs>
        <w:spacing w:line="360" w:lineRule="auto"/>
        <w:rPr>
          <w:rFonts w:ascii="宋体" w:hAnsi="宋体" w:cs="宋体"/>
          <w:sz w:val="22"/>
          <w:szCs w:val="22"/>
        </w:rPr>
      </w:pPr>
      <w:r>
        <w:fldChar w:fldCharType="begin"/>
      </w:r>
      <w:r>
        <w:instrText xml:space="preserve"> HYPERLINK \l "_Toc7095_WPSOffice_Level1" </w:instrText>
      </w:r>
      <w:r>
        <w:fldChar w:fldCharType="separate"/>
      </w:r>
      <w:r>
        <w:rPr>
          <w:rFonts w:hint="eastAsia" w:ascii="宋体" w:hAnsi="宋体" w:cs="宋体"/>
          <w:sz w:val="22"/>
          <w:szCs w:val="22"/>
        </w:rPr>
        <w:t>附件1.廉洁合同</w:t>
      </w:r>
      <w:r>
        <w:rPr>
          <w:rFonts w:hint="eastAsia" w:ascii="宋体" w:hAnsi="宋体" w:cs="宋体"/>
          <w:sz w:val="22"/>
          <w:szCs w:val="22"/>
        </w:rPr>
        <w:tab/>
      </w:r>
      <w:bookmarkStart w:id="921" w:name="_Toc7095_WPSOffice_Level1Page"/>
      <w:r>
        <w:rPr>
          <w:rFonts w:hint="eastAsia" w:ascii="宋体" w:hAnsi="宋体" w:cs="宋体"/>
          <w:sz w:val="22"/>
          <w:szCs w:val="22"/>
        </w:rPr>
        <w:t>13</w:t>
      </w:r>
      <w:bookmarkEnd w:id="921"/>
      <w:r>
        <w:rPr>
          <w:rFonts w:hint="eastAsia" w:ascii="宋体" w:hAnsi="宋体" w:cs="宋体"/>
          <w:sz w:val="22"/>
          <w:szCs w:val="22"/>
        </w:rPr>
        <w:fldChar w:fldCharType="end"/>
      </w:r>
    </w:p>
    <w:p>
      <w:pPr>
        <w:pStyle w:val="97"/>
        <w:tabs>
          <w:tab w:val="right" w:leader="dot" w:pos="9071"/>
        </w:tabs>
        <w:spacing w:line="360" w:lineRule="auto"/>
        <w:rPr>
          <w:rFonts w:ascii="宋体" w:hAnsi="宋体" w:cs="宋体"/>
          <w:sz w:val="22"/>
          <w:szCs w:val="22"/>
        </w:rPr>
      </w:pPr>
      <w:r>
        <w:fldChar w:fldCharType="begin"/>
      </w:r>
      <w:r>
        <w:instrText xml:space="preserve"> HYPERLINK \l "_Toc18475_WPSOffice_Level1" </w:instrText>
      </w:r>
      <w:r>
        <w:fldChar w:fldCharType="separate"/>
      </w:r>
      <w:r>
        <w:rPr>
          <w:rFonts w:hint="eastAsia" w:ascii="宋体" w:hAnsi="宋体" w:cs="宋体"/>
          <w:sz w:val="22"/>
          <w:szCs w:val="22"/>
        </w:rPr>
        <w:t>廉洁合同</w:t>
      </w:r>
      <w:r>
        <w:rPr>
          <w:rFonts w:hint="eastAsia" w:ascii="宋体" w:hAnsi="宋体" w:cs="宋体"/>
          <w:sz w:val="22"/>
          <w:szCs w:val="22"/>
        </w:rPr>
        <w:tab/>
      </w:r>
      <w:bookmarkStart w:id="922" w:name="_Toc18475_WPSOffice_Level1Page"/>
      <w:r>
        <w:rPr>
          <w:rFonts w:hint="eastAsia" w:ascii="宋体" w:hAnsi="宋体" w:cs="宋体"/>
          <w:sz w:val="22"/>
          <w:szCs w:val="22"/>
        </w:rPr>
        <w:t>13</w:t>
      </w:r>
      <w:bookmarkEnd w:id="922"/>
      <w:r>
        <w:rPr>
          <w:rFonts w:hint="eastAsia" w:ascii="宋体" w:hAnsi="宋体" w:cs="宋体"/>
          <w:sz w:val="22"/>
          <w:szCs w:val="22"/>
        </w:rPr>
        <w:fldChar w:fldCharType="end"/>
      </w:r>
    </w:p>
    <w:p>
      <w:pPr>
        <w:pStyle w:val="97"/>
        <w:tabs>
          <w:tab w:val="right" w:leader="dot" w:pos="9071"/>
        </w:tabs>
        <w:spacing w:line="360" w:lineRule="auto"/>
        <w:rPr>
          <w:rFonts w:ascii="宋体" w:hAnsi="宋体" w:cs="宋体"/>
          <w:sz w:val="22"/>
          <w:szCs w:val="22"/>
        </w:rPr>
      </w:pPr>
      <w:r>
        <w:fldChar w:fldCharType="begin"/>
      </w:r>
      <w:r>
        <w:instrText xml:space="preserve"> HYPERLINK \l "_Toc5323_WPSOffice_Level1" </w:instrText>
      </w:r>
      <w:r>
        <w:fldChar w:fldCharType="separate"/>
      </w:r>
      <w:r>
        <w:rPr>
          <w:rFonts w:hint="eastAsia" w:ascii="宋体" w:hAnsi="宋体" w:cs="宋体"/>
          <w:sz w:val="22"/>
          <w:szCs w:val="22"/>
        </w:rPr>
        <w:t>安全生产管理协议</w:t>
      </w:r>
      <w:r>
        <w:rPr>
          <w:rFonts w:hint="eastAsia" w:ascii="宋体" w:hAnsi="宋体" w:cs="宋体"/>
          <w:sz w:val="22"/>
          <w:szCs w:val="22"/>
        </w:rPr>
        <w:tab/>
      </w:r>
      <w:bookmarkStart w:id="923" w:name="_Toc5323_WPSOffice_Level1Page"/>
      <w:r>
        <w:rPr>
          <w:rFonts w:hint="eastAsia" w:ascii="宋体" w:hAnsi="宋体" w:cs="宋体"/>
          <w:sz w:val="22"/>
          <w:szCs w:val="22"/>
        </w:rPr>
        <w:t>15</w:t>
      </w:r>
      <w:bookmarkEnd w:id="923"/>
      <w:r>
        <w:rPr>
          <w:rFonts w:hint="eastAsia" w:ascii="宋体" w:hAnsi="宋体" w:cs="宋体"/>
          <w:sz w:val="22"/>
          <w:szCs w:val="22"/>
        </w:rPr>
        <w:fldChar w:fldCharType="end"/>
      </w:r>
    </w:p>
    <w:p>
      <w:pPr>
        <w:pStyle w:val="97"/>
        <w:tabs>
          <w:tab w:val="right" w:leader="dot" w:pos="9071"/>
        </w:tabs>
        <w:spacing w:line="360" w:lineRule="auto"/>
        <w:rPr>
          <w:rFonts w:ascii="宋体" w:hAnsi="宋体" w:cs="宋体"/>
          <w:sz w:val="22"/>
          <w:szCs w:val="22"/>
        </w:rPr>
      </w:pPr>
      <w:r>
        <w:fldChar w:fldCharType="begin"/>
      </w:r>
      <w:r>
        <w:instrText xml:space="preserve"> HYPERLINK \l "_Toc25191_WPSOffice_Level1" </w:instrText>
      </w:r>
      <w:r>
        <w:fldChar w:fldCharType="separate"/>
      </w:r>
      <w:r>
        <w:rPr>
          <w:rFonts w:hint="eastAsia" w:ascii="宋体" w:hAnsi="宋体" w:cs="宋体"/>
          <w:sz w:val="22"/>
          <w:szCs w:val="22"/>
        </w:rPr>
        <w:t>一、工程概况</w:t>
      </w:r>
      <w:r>
        <w:rPr>
          <w:rFonts w:hint="eastAsia" w:ascii="宋体" w:hAnsi="宋体" w:cs="宋体"/>
          <w:sz w:val="22"/>
          <w:szCs w:val="22"/>
        </w:rPr>
        <w:tab/>
      </w:r>
      <w:bookmarkStart w:id="924" w:name="_Toc25191_WPSOffice_Level1Page"/>
      <w:r>
        <w:rPr>
          <w:rFonts w:hint="eastAsia" w:ascii="宋体" w:hAnsi="宋体" w:cs="宋体"/>
          <w:sz w:val="22"/>
          <w:szCs w:val="22"/>
        </w:rPr>
        <w:t>15</w:t>
      </w:r>
      <w:bookmarkEnd w:id="924"/>
      <w:r>
        <w:rPr>
          <w:rFonts w:hint="eastAsia" w:ascii="宋体" w:hAnsi="宋体" w:cs="宋体"/>
          <w:sz w:val="22"/>
          <w:szCs w:val="22"/>
        </w:rPr>
        <w:fldChar w:fldCharType="end"/>
      </w:r>
    </w:p>
    <w:p>
      <w:pPr>
        <w:pStyle w:val="97"/>
        <w:tabs>
          <w:tab w:val="right" w:leader="dot" w:pos="9071"/>
        </w:tabs>
        <w:spacing w:line="360" w:lineRule="auto"/>
        <w:rPr>
          <w:rFonts w:ascii="宋体" w:hAnsi="宋体" w:cs="宋体"/>
          <w:sz w:val="22"/>
          <w:szCs w:val="22"/>
        </w:rPr>
      </w:pPr>
      <w:r>
        <w:fldChar w:fldCharType="begin"/>
      </w:r>
      <w:r>
        <w:instrText xml:space="preserve"> HYPERLINK \l "_Toc8908_WPSOffice_Level1" </w:instrText>
      </w:r>
      <w:r>
        <w:fldChar w:fldCharType="separate"/>
      </w:r>
      <w:r>
        <w:rPr>
          <w:rFonts w:hint="eastAsia" w:ascii="宋体" w:hAnsi="宋体" w:cs="宋体"/>
          <w:sz w:val="22"/>
          <w:szCs w:val="22"/>
        </w:rPr>
        <w:t>二、甲方的职责、权利和义务</w:t>
      </w:r>
      <w:r>
        <w:rPr>
          <w:rFonts w:hint="eastAsia" w:ascii="宋体" w:hAnsi="宋体" w:cs="宋体"/>
          <w:sz w:val="22"/>
          <w:szCs w:val="22"/>
        </w:rPr>
        <w:tab/>
      </w:r>
      <w:bookmarkStart w:id="925" w:name="_Toc8908_WPSOffice_Level1Page"/>
      <w:r>
        <w:rPr>
          <w:rFonts w:hint="eastAsia" w:ascii="宋体" w:hAnsi="宋体" w:cs="宋体"/>
          <w:sz w:val="22"/>
          <w:szCs w:val="22"/>
        </w:rPr>
        <w:t>15</w:t>
      </w:r>
      <w:bookmarkEnd w:id="925"/>
      <w:r>
        <w:rPr>
          <w:rFonts w:hint="eastAsia" w:ascii="宋体" w:hAnsi="宋体" w:cs="宋体"/>
          <w:sz w:val="22"/>
          <w:szCs w:val="22"/>
        </w:rPr>
        <w:fldChar w:fldCharType="end"/>
      </w:r>
    </w:p>
    <w:p>
      <w:pPr>
        <w:pStyle w:val="97"/>
        <w:tabs>
          <w:tab w:val="right" w:leader="dot" w:pos="9071"/>
        </w:tabs>
        <w:spacing w:line="360" w:lineRule="auto"/>
        <w:rPr>
          <w:rFonts w:ascii="宋体" w:hAnsi="宋体" w:cs="宋体"/>
          <w:sz w:val="22"/>
          <w:szCs w:val="22"/>
        </w:rPr>
      </w:pPr>
      <w:r>
        <w:fldChar w:fldCharType="begin"/>
      </w:r>
      <w:r>
        <w:instrText xml:space="preserve"> HYPERLINK \l "_Toc23266_WPSOffice_Level1" </w:instrText>
      </w:r>
      <w:r>
        <w:fldChar w:fldCharType="separate"/>
      </w:r>
      <w:r>
        <w:rPr>
          <w:rFonts w:hint="eastAsia" w:ascii="宋体" w:hAnsi="宋体" w:cs="宋体"/>
          <w:sz w:val="22"/>
          <w:szCs w:val="22"/>
        </w:rPr>
        <w:t>三、乙方的职责、权利和义务</w:t>
      </w:r>
      <w:r>
        <w:rPr>
          <w:rFonts w:hint="eastAsia" w:ascii="宋体" w:hAnsi="宋体" w:cs="宋体"/>
          <w:sz w:val="22"/>
          <w:szCs w:val="22"/>
        </w:rPr>
        <w:tab/>
      </w:r>
      <w:bookmarkStart w:id="926" w:name="_Toc23266_WPSOffice_Level1Page"/>
      <w:r>
        <w:rPr>
          <w:rFonts w:hint="eastAsia" w:ascii="宋体" w:hAnsi="宋体" w:cs="宋体"/>
          <w:sz w:val="22"/>
          <w:szCs w:val="22"/>
        </w:rPr>
        <w:t>16</w:t>
      </w:r>
      <w:bookmarkEnd w:id="926"/>
      <w:r>
        <w:rPr>
          <w:rFonts w:hint="eastAsia" w:ascii="宋体" w:hAnsi="宋体" w:cs="宋体"/>
          <w:sz w:val="22"/>
          <w:szCs w:val="22"/>
        </w:rPr>
        <w:fldChar w:fldCharType="end"/>
      </w:r>
    </w:p>
    <w:p>
      <w:pPr>
        <w:pStyle w:val="97"/>
        <w:tabs>
          <w:tab w:val="right" w:leader="dot" w:pos="9071"/>
        </w:tabs>
        <w:spacing w:line="360" w:lineRule="auto"/>
        <w:rPr>
          <w:rFonts w:ascii="宋体" w:hAnsi="宋体" w:cs="宋体"/>
          <w:sz w:val="22"/>
          <w:szCs w:val="22"/>
        </w:rPr>
      </w:pPr>
      <w:r>
        <w:fldChar w:fldCharType="begin"/>
      </w:r>
      <w:r>
        <w:instrText xml:space="preserve"> HYPERLINK \l "_Toc10237_WPSOffice_Level1" </w:instrText>
      </w:r>
      <w:r>
        <w:fldChar w:fldCharType="separate"/>
      </w:r>
      <w:r>
        <w:rPr>
          <w:rFonts w:hint="eastAsia" w:ascii="宋体" w:hAnsi="宋体" w:cs="宋体"/>
          <w:sz w:val="22"/>
          <w:szCs w:val="22"/>
        </w:rPr>
        <w:t>四、责任和索赔</w:t>
      </w:r>
      <w:r>
        <w:rPr>
          <w:rFonts w:hint="eastAsia" w:ascii="宋体" w:hAnsi="宋体" w:cs="宋体"/>
          <w:sz w:val="22"/>
          <w:szCs w:val="22"/>
        </w:rPr>
        <w:tab/>
      </w:r>
      <w:bookmarkStart w:id="927" w:name="_Toc10237_WPSOffice_Level1Page"/>
      <w:r>
        <w:rPr>
          <w:rFonts w:hint="eastAsia" w:ascii="宋体" w:hAnsi="宋体" w:cs="宋体"/>
          <w:sz w:val="22"/>
          <w:szCs w:val="22"/>
        </w:rPr>
        <w:t>19</w:t>
      </w:r>
      <w:bookmarkEnd w:id="927"/>
      <w:r>
        <w:rPr>
          <w:rFonts w:hint="eastAsia" w:ascii="宋体" w:hAnsi="宋体" w:cs="宋体"/>
          <w:sz w:val="22"/>
          <w:szCs w:val="22"/>
        </w:rPr>
        <w:fldChar w:fldCharType="end"/>
      </w:r>
    </w:p>
    <w:p>
      <w:pPr>
        <w:pStyle w:val="97"/>
        <w:tabs>
          <w:tab w:val="right" w:leader="dot" w:pos="9071"/>
        </w:tabs>
        <w:spacing w:line="360" w:lineRule="auto"/>
        <w:rPr>
          <w:rFonts w:ascii="宋体" w:hAnsi="宋体" w:cs="宋体"/>
          <w:sz w:val="22"/>
          <w:szCs w:val="22"/>
        </w:rPr>
      </w:pPr>
      <w:r>
        <w:fldChar w:fldCharType="begin"/>
      </w:r>
      <w:r>
        <w:instrText xml:space="preserve"> HYPERLINK \l "_Toc32006_WPSOffice_Level1" </w:instrText>
      </w:r>
      <w:r>
        <w:fldChar w:fldCharType="separate"/>
      </w:r>
      <w:r>
        <w:rPr>
          <w:rFonts w:hint="eastAsia" w:ascii="宋体" w:hAnsi="宋体" w:cs="宋体"/>
          <w:sz w:val="22"/>
          <w:szCs w:val="22"/>
        </w:rPr>
        <w:t>五、其他事宜</w:t>
      </w:r>
      <w:r>
        <w:rPr>
          <w:rFonts w:hint="eastAsia" w:ascii="宋体" w:hAnsi="宋体" w:cs="宋体"/>
          <w:sz w:val="22"/>
          <w:szCs w:val="22"/>
        </w:rPr>
        <w:tab/>
      </w:r>
      <w:bookmarkStart w:id="928" w:name="_Toc32006_WPSOffice_Level1Page"/>
      <w:r>
        <w:rPr>
          <w:rFonts w:hint="eastAsia" w:ascii="宋体" w:hAnsi="宋体" w:cs="宋体"/>
          <w:sz w:val="22"/>
          <w:szCs w:val="22"/>
        </w:rPr>
        <w:t>19</w:t>
      </w:r>
      <w:bookmarkEnd w:id="928"/>
      <w:r>
        <w:rPr>
          <w:rFonts w:hint="eastAsia" w:ascii="宋体" w:hAnsi="宋体" w:cs="宋体"/>
          <w:sz w:val="22"/>
          <w:szCs w:val="22"/>
        </w:rPr>
        <w:fldChar w:fldCharType="end"/>
      </w:r>
    </w:p>
    <w:p>
      <w:pPr>
        <w:pStyle w:val="97"/>
        <w:tabs>
          <w:tab w:val="right" w:leader="dot" w:pos="9071"/>
        </w:tabs>
        <w:spacing w:line="360" w:lineRule="auto"/>
        <w:rPr>
          <w:rFonts w:ascii="宋体" w:hAnsi="宋体" w:cs="宋体"/>
          <w:sz w:val="22"/>
          <w:szCs w:val="22"/>
        </w:rPr>
      </w:pPr>
      <w:r>
        <w:fldChar w:fldCharType="begin"/>
      </w:r>
      <w:r>
        <w:instrText xml:space="preserve"> HYPERLINK \l "_Toc13197_WPSOffice_Level1" </w:instrText>
      </w:r>
      <w:r>
        <w:fldChar w:fldCharType="separate"/>
      </w:r>
      <w:r>
        <w:rPr>
          <w:rFonts w:hint="eastAsia" w:ascii="宋体" w:hAnsi="宋体" w:cs="宋体"/>
          <w:sz w:val="22"/>
          <w:szCs w:val="22"/>
        </w:rPr>
        <w:t>附件3. 项目技术标准和要求</w:t>
      </w:r>
      <w:r>
        <w:rPr>
          <w:rFonts w:hint="eastAsia" w:ascii="宋体" w:hAnsi="宋体" w:cs="宋体"/>
          <w:sz w:val="22"/>
          <w:szCs w:val="22"/>
        </w:rPr>
        <w:tab/>
      </w:r>
      <w:bookmarkStart w:id="929" w:name="_Toc13197_WPSOffice_Level1Page"/>
      <w:r>
        <w:rPr>
          <w:rFonts w:hint="eastAsia" w:ascii="宋体" w:hAnsi="宋体" w:cs="宋体"/>
          <w:sz w:val="22"/>
          <w:szCs w:val="22"/>
        </w:rPr>
        <w:t>21</w:t>
      </w:r>
      <w:bookmarkEnd w:id="929"/>
      <w:r>
        <w:rPr>
          <w:rFonts w:hint="eastAsia" w:ascii="宋体" w:hAnsi="宋体" w:cs="宋体"/>
          <w:sz w:val="22"/>
          <w:szCs w:val="22"/>
        </w:rPr>
        <w:fldChar w:fldCharType="end"/>
      </w:r>
    </w:p>
    <w:p>
      <w:pPr>
        <w:pStyle w:val="97"/>
        <w:tabs>
          <w:tab w:val="right" w:leader="dot" w:pos="9071"/>
        </w:tabs>
        <w:spacing w:line="360" w:lineRule="auto"/>
        <w:rPr>
          <w:rFonts w:ascii="宋体" w:hAnsi="宋体" w:cs="宋体"/>
          <w:sz w:val="22"/>
          <w:szCs w:val="22"/>
        </w:rPr>
      </w:pPr>
      <w:r>
        <w:fldChar w:fldCharType="begin"/>
      </w:r>
      <w:r>
        <w:instrText xml:space="preserve"> HYPERLINK \l "_Toc28426_WPSOffice_Level1" </w:instrText>
      </w:r>
      <w:r>
        <w:fldChar w:fldCharType="separate"/>
      </w:r>
      <w:r>
        <w:rPr>
          <w:rFonts w:hint="eastAsia" w:ascii="宋体" w:hAnsi="宋体" w:cs="宋体"/>
          <w:sz w:val="22"/>
          <w:szCs w:val="22"/>
        </w:rPr>
        <w:t>技术标准和要求</w:t>
      </w:r>
      <w:r>
        <w:rPr>
          <w:rFonts w:hint="eastAsia" w:ascii="宋体" w:hAnsi="宋体" w:cs="宋体"/>
          <w:sz w:val="22"/>
          <w:szCs w:val="22"/>
        </w:rPr>
        <w:tab/>
      </w:r>
      <w:bookmarkStart w:id="930" w:name="_Toc28426_WPSOffice_Level1Page"/>
      <w:r>
        <w:rPr>
          <w:rFonts w:hint="eastAsia" w:ascii="宋体" w:hAnsi="宋体" w:cs="宋体"/>
          <w:sz w:val="22"/>
          <w:szCs w:val="22"/>
        </w:rPr>
        <w:t>21</w:t>
      </w:r>
      <w:bookmarkEnd w:id="930"/>
      <w:r>
        <w:rPr>
          <w:rFonts w:hint="eastAsia" w:ascii="宋体" w:hAnsi="宋体" w:cs="宋体"/>
          <w:sz w:val="22"/>
          <w:szCs w:val="22"/>
        </w:rPr>
        <w:fldChar w:fldCharType="end"/>
      </w:r>
    </w:p>
    <w:p>
      <w:pPr>
        <w:pStyle w:val="97"/>
        <w:tabs>
          <w:tab w:val="right" w:leader="dot" w:pos="9071"/>
        </w:tabs>
        <w:spacing w:line="360" w:lineRule="auto"/>
        <w:rPr>
          <w:rFonts w:ascii="宋体" w:hAnsi="宋体" w:cs="宋体"/>
          <w:sz w:val="22"/>
          <w:szCs w:val="22"/>
        </w:rPr>
      </w:pPr>
      <w:r>
        <w:fldChar w:fldCharType="begin"/>
      </w:r>
      <w:r>
        <w:instrText xml:space="preserve"> HYPERLINK \l "_Toc24460_WPSOffice_Level1" </w:instrText>
      </w:r>
      <w:r>
        <w:fldChar w:fldCharType="separate"/>
      </w:r>
      <w:r>
        <w:rPr>
          <w:rFonts w:hint="eastAsia" w:ascii="宋体" w:hAnsi="宋体" w:cs="宋体"/>
          <w:sz w:val="22"/>
          <w:szCs w:val="22"/>
        </w:rPr>
        <w:t>附件4. 项目清单</w:t>
      </w:r>
      <w:r>
        <w:rPr>
          <w:rFonts w:hint="eastAsia" w:ascii="宋体" w:hAnsi="宋体" w:cs="宋体"/>
          <w:sz w:val="22"/>
          <w:szCs w:val="22"/>
        </w:rPr>
        <w:tab/>
      </w:r>
      <w:bookmarkStart w:id="931" w:name="_Toc24460_WPSOffice_Level1Page"/>
      <w:r>
        <w:rPr>
          <w:rFonts w:hint="eastAsia" w:ascii="宋体" w:hAnsi="宋体" w:cs="宋体"/>
          <w:sz w:val="22"/>
          <w:szCs w:val="22"/>
        </w:rPr>
        <w:t>22</w:t>
      </w:r>
      <w:bookmarkEnd w:id="931"/>
      <w:r>
        <w:rPr>
          <w:rFonts w:hint="eastAsia" w:ascii="宋体" w:hAnsi="宋体" w:cs="宋体"/>
          <w:sz w:val="22"/>
          <w:szCs w:val="22"/>
        </w:rPr>
        <w:fldChar w:fldCharType="end"/>
      </w:r>
    </w:p>
    <w:p>
      <w:pPr>
        <w:pStyle w:val="97"/>
        <w:tabs>
          <w:tab w:val="right" w:leader="dot" w:pos="9071"/>
        </w:tabs>
        <w:spacing w:line="360" w:lineRule="auto"/>
        <w:rPr>
          <w:rFonts w:ascii="宋体" w:hAnsi="宋体" w:cs="宋体"/>
          <w:sz w:val="22"/>
          <w:szCs w:val="22"/>
        </w:rPr>
      </w:pPr>
      <w:r>
        <w:fldChar w:fldCharType="begin"/>
      </w:r>
      <w:r>
        <w:instrText xml:space="preserve"> HYPERLINK \l "_Toc9353_WPSOffice_Level1" </w:instrText>
      </w:r>
      <w:r>
        <w:fldChar w:fldCharType="separate"/>
      </w:r>
      <w:r>
        <w:rPr>
          <w:rFonts w:hint="eastAsia" w:ascii="宋体" w:hAnsi="宋体" w:cs="宋体"/>
          <w:sz w:val="22"/>
          <w:szCs w:val="22"/>
        </w:rPr>
        <w:t>附件5.项目相关图纸</w:t>
      </w:r>
      <w:r>
        <w:rPr>
          <w:rFonts w:hint="eastAsia" w:ascii="宋体" w:hAnsi="宋体" w:cs="宋体"/>
          <w:sz w:val="22"/>
          <w:szCs w:val="22"/>
        </w:rPr>
        <w:tab/>
      </w:r>
      <w:bookmarkStart w:id="932" w:name="_Toc9353_WPSOffice_Level1Page"/>
      <w:r>
        <w:rPr>
          <w:rFonts w:hint="eastAsia" w:ascii="宋体" w:hAnsi="宋体" w:cs="宋体"/>
          <w:sz w:val="22"/>
          <w:szCs w:val="22"/>
        </w:rPr>
        <w:t>48</w:t>
      </w:r>
      <w:bookmarkEnd w:id="932"/>
      <w:r>
        <w:rPr>
          <w:rFonts w:hint="eastAsia" w:ascii="宋体" w:hAnsi="宋体" w:cs="宋体"/>
          <w:sz w:val="22"/>
          <w:szCs w:val="22"/>
        </w:rPr>
        <w:fldChar w:fldCharType="end"/>
      </w:r>
      <w:bookmarkEnd w:id="900"/>
    </w:p>
    <w:p>
      <w:pPr>
        <w:widowControl/>
        <w:spacing w:line="360" w:lineRule="auto"/>
        <w:jc w:val="left"/>
        <w:rPr>
          <w:rFonts w:ascii="宋体" w:hAnsi="宋体" w:cs="宋体"/>
          <w:sz w:val="22"/>
          <w:szCs w:val="22"/>
          <w:u w:val="single"/>
        </w:rPr>
      </w:pPr>
      <w:r>
        <w:rPr>
          <w:rFonts w:hint="eastAsia" w:ascii="宋体" w:hAnsi="宋体" w:cs="宋体"/>
          <w:sz w:val="22"/>
          <w:szCs w:val="22"/>
          <w:u w:val="single"/>
        </w:rPr>
        <w:br w:type="page"/>
      </w:r>
      <w:r>
        <w:rPr>
          <w:rFonts w:hint="eastAsia" w:ascii="宋体" w:hAnsi="宋体" w:cs="宋体"/>
          <w:sz w:val="22"/>
          <w:szCs w:val="22"/>
          <w:u w:val="single"/>
        </w:rPr>
        <w:t xml:space="preserve">                                                                            </w:t>
      </w:r>
    </w:p>
    <w:p>
      <w:pPr>
        <w:tabs>
          <w:tab w:val="left" w:pos="7380"/>
        </w:tabs>
        <w:spacing w:line="360" w:lineRule="auto"/>
        <w:rPr>
          <w:rFonts w:ascii="宋体" w:hAnsi="宋体" w:cs="宋体"/>
          <w:b/>
          <w:sz w:val="22"/>
          <w:szCs w:val="22"/>
        </w:rPr>
      </w:pPr>
      <w:r>
        <w:rPr>
          <w:rFonts w:hint="eastAsia" w:ascii="宋体" w:hAnsi="宋体" w:cs="宋体"/>
          <w:sz w:val="22"/>
          <w:szCs w:val="22"/>
        </w:rPr>
        <w:t xml:space="preserve">甲方合同编号：           </w:t>
      </w:r>
      <w:r>
        <w:rPr>
          <w:rFonts w:hint="eastAsia" w:ascii="宋体" w:hAnsi="宋体" w:cs="宋体"/>
          <w:b/>
          <w:sz w:val="22"/>
          <w:szCs w:val="22"/>
        </w:rPr>
        <w:t xml:space="preserve">                        </w:t>
      </w:r>
      <w:r>
        <w:rPr>
          <w:rFonts w:hint="eastAsia" w:ascii="宋体" w:hAnsi="宋体" w:cs="宋体"/>
          <w:sz w:val="22"/>
          <w:szCs w:val="22"/>
        </w:rPr>
        <w:t>乙方合同编号：</w:t>
      </w:r>
    </w:p>
    <w:p>
      <w:pPr>
        <w:tabs>
          <w:tab w:val="left" w:pos="5700"/>
        </w:tabs>
        <w:autoSpaceDE w:val="0"/>
        <w:autoSpaceDN w:val="0"/>
        <w:spacing w:line="360" w:lineRule="auto"/>
        <w:rPr>
          <w:rFonts w:ascii="宋体" w:hAnsi="宋体" w:cs="宋体"/>
          <w:sz w:val="22"/>
          <w:szCs w:val="22"/>
        </w:rPr>
      </w:pPr>
      <w:r>
        <w:rPr>
          <w:rFonts w:hint="eastAsia" w:ascii="宋体" w:hAnsi="宋体" w:cs="宋体"/>
          <w:sz w:val="22"/>
          <w:szCs w:val="22"/>
        </w:rPr>
        <w:t xml:space="preserve">甲方：东莞市数据互联有限公司                     乙方：  </w:t>
      </w:r>
    </w:p>
    <w:p>
      <w:pPr>
        <w:tabs>
          <w:tab w:val="left" w:pos="5820"/>
        </w:tabs>
        <w:autoSpaceDE w:val="0"/>
        <w:autoSpaceDN w:val="0"/>
        <w:spacing w:line="360" w:lineRule="auto"/>
        <w:rPr>
          <w:rFonts w:ascii="宋体" w:hAnsi="宋体" w:cs="宋体"/>
          <w:sz w:val="22"/>
          <w:szCs w:val="22"/>
        </w:rPr>
      </w:pPr>
      <w:r>
        <w:rPr>
          <w:rFonts w:hint="eastAsia" w:ascii="宋体" w:hAnsi="宋体" w:cs="宋体"/>
          <w:sz w:val="22"/>
          <w:szCs w:val="22"/>
        </w:rPr>
        <w:t>地址：                                           地址：</w:t>
      </w:r>
    </w:p>
    <w:p>
      <w:pPr>
        <w:tabs>
          <w:tab w:val="left" w:pos="4740"/>
        </w:tabs>
        <w:autoSpaceDE w:val="0"/>
        <w:autoSpaceDN w:val="0"/>
        <w:spacing w:line="360" w:lineRule="auto"/>
        <w:rPr>
          <w:rFonts w:ascii="宋体" w:hAnsi="宋体" w:cs="宋体"/>
          <w:sz w:val="22"/>
          <w:szCs w:val="22"/>
        </w:rPr>
      </w:pPr>
      <w:r>
        <w:rPr>
          <w:rFonts w:hint="eastAsia" w:ascii="宋体" w:hAnsi="宋体" w:cs="宋体"/>
          <w:sz w:val="22"/>
          <w:szCs w:val="22"/>
        </w:rPr>
        <w:t>电话：                                           电话：</w:t>
      </w:r>
    </w:p>
    <w:p>
      <w:pPr>
        <w:tabs>
          <w:tab w:val="left" w:pos="5700"/>
        </w:tabs>
        <w:autoSpaceDE w:val="0"/>
        <w:autoSpaceDN w:val="0"/>
        <w:spacing w:line="360" w:lineRule="auto"/>
        <w:rPr>
          <w:rFonts w:ascii="宋体" w:hAnsi="宋体" w:cs="宋体"/>
          <w:sz w:val="22"/>
          <w:szCs w:val="22"/>
        </w:rPr>
      </w:pPr>
      <w:r>
        <w:rPr>
          <w:rFonts w:hint="eastAsia" w:ascii="宋体" w:hAnsi="宋体" w:cs="宋体"/>
          <w:sz w:val="22"/>
          <w:szCs w:val="22"/>
        </w:rPr>
        <w:t>传真：                                           传真：</w:t>
      </w:r>
    </w:p>
    <w:p>
      <w:pPr>
        <w:tabs>
          <w:tab w:val="left" w:pos="5820"/>
        </w:tabs>
        <w:autoSpaceDE w:val="0"/>
        <w:autoSpaceDN w:val="0"/>
        <w:spacing w:line="360" w:lineRule="auto"/>
        <w:rPr>
          <w:rFonts w:ascii="宋体" w:hAnsi="宋体" w:cs="宋体"/>
          <w:sz w:val="22"/>
          <w:szCs w:val="22"/>
        </w:rPr>
      </w:pPr>
      <w:r>
        <w:rPr>
          <w:rFonts w:hint="eastAsia" w:ascii="宋体" w:hAnsi="宋体" w:cs="宋体"/>
          <w:sz w:val="22"/>
          <w:szCs w:val="22"/>
        </w:rPr>
        <w:t>开户银行：                                       开户银行：</w:t>
      </w:r>
    </w:p>
    <w:p>
      <w:pPr>
        <w:tabs>
          <w:tab w:val="left" w:pos="5820"/>
        </w:tabs>
        <w:autoSpaceDE w:val="0"/>
        <w:autoSpaceDN w:val="0"/>
        <w:spacing w:line="360" w:lineRule="auto"/>
        <w:ind w:firstLine="1100" w:firstLineChars="500"/>
        <w:rPr>
          <w:rFonts w:ascii="宋体" w:hAnsi="宋体" w:cs="宋体"/>
          <w:sz w:val="22"/>
          <w:szCs w:val="22"/>
        </w:rPr>
      </w:pPr>
      <w:r>
        <w:rPr>
          <w:rFonts w:hint="eastAsia" w:ascii="宋体" w:hAnsi="宋体" w:cs="宋体"/>
          <w:sz w:val="22"/>
          <w:szCs w:val="22"/>
        </w:rPr>
        <w:t xml:space="preserve">                         </w:t>
      </w:r>
    </w:p>
    <w:p>
      <w:pPr>
        <w:tabs>
          <w:tab w:val="left" w:pos="5700"/>
        </w:tabs>
        <w:autoSpaceDE w:val="0"/>
        <w:autoSpaceDN w:val="0"/>
        <w:spacing w:line="360" w:lineRule="auto"/>
        <w:rPr>
          <w:rFonts w:ascii="宋体" w:hAnsi="宋体" w:cs="宋体"/>
          <w:sz w:val="22"/>
          <w:szCs w:val="22"/>
        </w:rPr>
      </w:pPr>
      <w:r>
        <w:rPr>
          <w:rFonts w:hint="eastAsia" w:ascii="宋体" w:hAnsi="宋体" w:cs="宋体"/>
          <w:sz w:val="22"/>
          <w:szCs w:val="22"/>
        </w:rPr>
        <w:t>账号：                                            账号：</w:t>
      </w:r>
    </w:p>
    <w:p>
      <w:pPr>
        <w:tabs>
          <w:tab w:val="left" w:pos="5820"/>
        </w:tabs>
        <w:autoSpaceDE w:val="0"/>
        <w:autoSpaceDN w:val="0"/>
        <w:spacing w:line="360" w:lineRule="auto"/>
        <w:rPr>
          <w:rFonts w:ascii="宋体" w:hAnsi="宋体" w:cs="宋体"/>
          <w:sz w:val="22"/>
          <w:szCs w:val="22"/>
          <w:u w:val="single"/>
        </w:rPr>
      </w:pPr>
      <w:r>
        <w:rPr>
          <w:rFonts w:hint="eastAsia" w:ascii="宋体" w:hAnsi="宋体" w:cs="宋体"/>
          <w:sz w:val="22"/>
          <w:szCs w:val="22"/>
          <w:u w:val="single"/>
        </w:rPr>
        <w:t xml:space="preserve">                                                                            </w:t>
      </w:r>
    </w:p>
    <w:p>
      <w:pPr>
        <w:tabs>
          <w:tab w:val="left" w:pos="7380"/>
        </w:tabs>
        <w:spacing w:line="360" w:lineRule="auto"/>
        <w:ind w:firstLine="440" w:firstLineChars="199"/>
        <w:rPr>
          <w:rFonts w:ascii="宋体" w:hAnsi="宋体" w:cs="宋体"/>
          <w:b/>
          <w:bCs/>
          <w:sz w:val="22"/>
          <w:szCs w:val="22"/>
          <w:u w:val="single"/>
        </w:rPr>
      </w:pPr>
    </w:p>
    <w:p>
      <w:pPr>
        <w:tabs>
          <w:tab w:val="left" w:pos="5700"/>
        </w:tabs>
        <w:autoSpaceDE w:val="0"/>
        <w:autoSpaceDN w:val="0"/>
        <w:spacing w:line="360" w:lineRule="auto"/>
        <w:ind w:firstLine="442" w:firstLineChars="200"/>
        <w:rPr>
          <w:rFonts w:ascii="宋体" w:hAnsi="宋体" w:cs="宋体"/>
          <w:sz w:val="22"/>
          <w:szCs w:val="22"/>
        </w:rPr>
      </w:pPr>
      <w:r>
        <w:rPr>
          <w:rFonts w:hint="eastAsia" w:ascii="宋体" w:hAnsi="宋体" w:cs="宋体"/>
          <w:b/>
          <w:bCs/>
          <w:sz w:val="22"/>
          <w:szCs w:val="22"/>
          <w:u w:val="single"/>
        </w:rPr>
        <w:t>东莞市数据互联有限公司</w:t>
      </w:r>
      <w:r>
        <w:rPr>
          <w:rFonts w:hint="eastAsia" w:ascii="宋体" w:hAnsi="宋体" w:cs="宋体"/>
          <w:bCs/>
          <w:sz w:val="22"/>
          <w:szCs w:val="22"/>
        </w:rPr>
        <w:t>（</w:t>
      </w:r>
      <w:r>
        <w:rPr>
          <w:rFonts w:hint="eastAsia" w:ascii="宋体" w:hAnsi="宋体" w:cs="宋体"/>
          <w:kern w:val="28"/>
          <w:sz w:val="22"/>
          <w:szCs w:val="22"/>
        </w:rPr>
        <w:t>以下简称甲方）</w:t>
      </w:r>
      <w:r>
        <w:rPr>
          <w:rFonts w:hint="eastAsia" w:ascii="宋体" w:hAnsi="宋体" w:cs="宋体"/>
          <w:bCs/>
          <w:kern w:val="28"/>
          <w:sz w:val="22"/>
          <w:szCs w:val="22"/>
        </w:rPr>
        <w:t>与</w:t>
      </w:r>
      <w:r>
        <w:rPr>
          <w:rFonts w:hint="eastAsia" w:ascii="宋体" w:hAnsi="宋体" w:cs="宋体"/>
          <w:b/>
          <w:bCs/>
          <w:sz w:val="22"/>
          <w:szCs w:val="22"/>
          <w:u w:val="single"/>
        </w:rPr>
        <w:t>XXX</w:t>
      </w:r>
      <w:r>
        <w:rPr>
          <w:rFonts w:hint="eastAsia" w:ascii="宋体" w:hAnsi="宋体" w:cs="宋体"/>
          <w:sz w:val="22"/>
          <w:szCs w:val="22"/>
        </w:rPr>
        <w:t>（</w:t>
      </w:r>
      <w:r>
        <w:rPr>
          <w:rFonts w:hint="eastAsia" w:ascii="宋体" w:hAnsi="宋体" w:cs="宋体"/>
          <w:kern w:val="28"/>
          <w:sz w:val="22"/>
          <w:szCs w:val="22"/>
        </w:rPr>
        <w:t>以下简称乙方）</w:t>
      </w:r>
      <w:r>
        <w:rPr>
          <w:rFonts w:hint="eastAsia" w:ascii="宋体" w:hAnsi="宋体" w:cs="宋体"/>
          <w:sz w:val="22"/>
          <w:szCs w:val="22"/>
        </w:rPr>
        <w:t>双方依据有关法律、行政法规，遵循平等、自愿、公平和诚实信用的原则，</w:t>
      </w:r>
      <w:r>
        <w:rPr>
          <w:rFonts w:hint="eastAsia" w:ascii="宋体" w:hAnsi="宋体" w:cs="宋体"/>
          <w:kern w:val="28"/>
          <w:sz w:val="22"/>
          <w:szCs w:val="22"/>
        </w:rPr>
        <w:t>就甲方</w:t>
      </w:r>
      <w:r>
        <w:rPr>
          <w:rFonts w:hint="eastAsia" w:ascii="宋体" w:hAnsi="宋体" w:cs="宋体"/>
          <w:bCs/>
          <w:sz w:val="22"/>
          <w:szCs w:val="22"/>
          <w:u w:val="single"/>
          <w:lang w:eastAsia="zh-CN"/>
        </w:rPr>
        <w:t>东莞市交通投资集团有限公司供应链服务平台项目</w:t>
      </w:r>
      <w:r>
        <w:rPr>
          <w:rFonts w:hint="eastAsia" w:ascii="宋体" w:hAnsi="宋体" w:cs="宋体"/>
          <w:sz w:val="22"/>
          <w:szCs w:val="22"/>
          <w:u w:val="single"/>
        </w:rPr>
        <w:t>及相关服务</w:t>
      </w:r>
      <w:r>
        <w:rPr>
          <w:rFonts w:hint="eastAsia" w:ascii="宋体" w:hAnsi="宋体" w:cs="宋体"/>
          <w:sz w:val="22"/>
          <w:szCs w:val="22"/>
        </w:rPr>
        <w:t>，</w:t>
      </w:r>
      <w:r>
        <w:rPr>
          <w:rFonts w:hint="eastAsia" w:ascii="宋体" w:hAnsi="宋体" w:cs="宋体"/>
          <w:kern w:val="28"/>
          <w:sz w:val="22"/>
          <w:szCs w:val="22"/>
        </w:rPr>
        <w:t>经协商一致，签订本合同，共同遵守如下条款：</w:t>
      </w:r>
    </w:p>
    <w:p>
      <w:pPr>
        <w:pStyle w:val="4"/>
        <w:numPr>
          <w:ilvl w:val="0"/>
          <w:numId w:val="102"/>
        </w:numPr>
        <w:spacing w:before="0" w:after="0" w:line="360" w:lineRule="auto"/>
        <w:rPr>
          <w:rFonts w:ascii="宋体" w:hAnsi="宋体" w:eastAsia="宋体" w:cs="宋体"/>
          <w:sz w:val="22"/>
          <w:szCs w:val="22"/>
        </w:rPr>
      </w:pPr>
      <w:bookmarkStart w:id="933" w:name="_Toc293843148"/>
      <w:bookmarkStart w:id="934" w:name="_Toc390938699"/>
      <w:bookmarkStart w:id="935" w:name="_Toc293843280"/>
      <w:bookmarkStart w:id="936" w:name="_Toc434218675"/>
      <w:bookmarkStart w:id="937" w:name="_Toc390937917"/>
      <w:bookmarkStart w:id="938" w:name="_Toc356480369"/>
      <w:bookmarkStart w:id="939" w:name="_Toc428871936"/>
      <w:bookmarkStart w:id="940" w:name="_Toc390937689"/>
      <w:bookmarkStart w:id="941" w:name="_Toc27501"/>
      <w:bookmarkStart w:id="942" w:name="_Toc110411514"/>
      <w:bookmarkStart w:id="943" w:name="_Toc19092_WPSOffice_Level1"/>
      <w:bookmarkStart w:id="944" w:name="_Toc27480"/>
      <w:bookmarkStart w:id="945" w:name="_Toc110279012"/>
      <w:bookmarkStart w:id="946" w:name="_Toc16429"/>
      <w:r>
        <w:rPr>
          <w:rFonts w:hint="eastAsia" w:ascii="宋体" w:hAnsi="宋体" w:eastAsia="宋体" w:cs="宋体"/>
          <w:sz w:val="22"/>
          <w:szCs w:val="22"/>
        </w:rPr>
        <w:t>合同范围</w:t>
      </w:r>
      <w:bookmarkEnd w:id="933"/>
      <w:bookmarkEnd w:id="934"/>
      <w:bookmarkEnd w:id="935"/>
      <w:bookmarkEnd w:id="936"/>
      <w:bookmarkEnd w:id="937"/>
      <w:bookmarkEnd w:id="938"/>
      <w:bookmarkEnd w:id="939"/>
      <w:bookmarkEnd w:id="940"/>
      <w:r>
        <w:rPr>
          <w:rFonts w:hint="eastAsia" w:ascii="宋体" w:hAnsi="宋体" w:eastAsia="宋体" w:cs="宋体"/>
          <w:sz w:val="22"/>
          <w:szCs w:val="22"/>
        </w:rPr>
        <w:t>及要求</w:t>
      </w:r>
      <w:bookmarkEnd w:id="941"/>
      <w:bookmarkEnd w:id="942"/>
      <w:bookmarkEnd w:id="943"/>
      <w:bookmarkEnd w:id="944"/>
      <w:bookmarkEnd w:id="945"/>
      <w:bookmarkEnd w:id="946"/>
    </w:p>
    <w:p>
      <w:pPr>
        <w:spacing w:line="360" w:lineRule="auto"/>
        <w:ind w:left="462" w:hanging="462" w:hangingChars="210"/>
        <w:rPr>
          <w:rFonts w:ascii="宋体" w:hAnsi="宋体" w:cs="宋体"/>
          <w:sz w:val="22"/>
          <w:szCs w:val="22"/>
        </w:rPr>
      </w:pPr>
      <w:r>
        <w:rPr>
          <w:rFonts w:hint="eastAsia" w:ascii="宋体" w:hAnsi="宋体" w:cs="宋体"/>
          <w:sz w:val="22"/>
          <w:szCs w:val="22"/>
        </w:rPr>
        <w:t>XX</w:t>
      </w:r>
    </w:p>
    <w:p>
      <w:pPr>
        <w:spacing w:line="360" w:lineRule="auto"/>
        <w:ind w:left="462" w:hanging="462" w:hangingChars="210"/>
        <w:rPr>
          <w:rFonts w:ascii="宋体" w:hAnsi="宋体" w:cs="宋体"/>
          <w:sz w:val="22"/>
          <w:szCs w:val="22"/>
        </w:rPr>
      </w:pPr>
      <w:r>
        <w:rPr>
          <w:rFonts w:hint="eastAsia" w:ascii="宋体" w:hAnsi="宋体" w:cs="宋体"/>
          <w:sz w:val="22"/>
          <w:szCs w:val="22"/>
        </w:rPr>
        <w:t>XX</w:t>
      </w:r>
    </w:p>
    <w:p>
      <w:pPr>
        <w:spacing w:line="360" w:lineRule="auto"/>
        <w:ind w:left="462" w:hanging="462" w:hangingChars="210"/>
        <w:rPr>
          <w:rFonts w:ascii="宋体" w:hAnsi="宋体" w:cs="宋体"/>
          <w:sz w:val="22"/>
          <w:szCs w:val="22"/>
        </w:rPr>
      </w:pPr>
      <w:r>
        <w:rPr>
          <w:rFonts w:hint="eastAsia" w:ascii="宋体" w:hAnsi="宋体" w:cs="宋体"/>
          <w:sz w:val="22"/>
          <w:szCs w:val="22"/>
        </w:rPr>
        <w:t>XX</w:t>
      </w:r>
    </w:p>
    <w:p>
      <w:pPr>
        <w:spacing w:line="360" w:lineRule="auto"/>
        <w:ind w:left="462" w:hanging="462" w:hangingChars="210"/>
        <w:rPr>
          <w:rFonts w:ascii="宋体" w:hAnsi="宋体" w:cs="宋体"/>
          <w:sz w:val="22"/>
          <w:szCs w:val="22"/>
        </w:rPr>
      </w:pPr>
    </w:p>
    <w:p>
      <w:pPr>
        <w:spacing w:line="360" w:lineRule="auto"/>
        <w:ind w:left="462" w:hanging="462" w:hangingChars="210"/>
        <w:rPr>
          <w:rFonts w:ascii="宋体" w:hAnsi="宋体" w:cs="宋体"/>
          <w:sz w:val="22"/>
          <w:szCs w:val="22"/>
        </w:rPr>
      </w:pPr>
      <w:r>
        <w:rPr>
          <w:rFonts w:hint="eastAsia" w:ascii="宋体" w:hAnsi="宋体" w:cs="宋体"/>
          <w:sz w:val="22"/>
          <w:szCs w:val="22"/>
        </w:rPr>
        <w:t>XX、双方确认的以下“附件”的内容。</w:t>
      </w:r>
    </w:p>
    <w:p>
      <w:pPr>
        <w:spacing w:line="360" w:lineRule="auto"/>
        <w:ind w:left="462" w:hanging="462" w:hangingChars="210"/>
        <w:rPr>
          <w:rFonts w:ascii="宋体" w:hAnsi="宋体" w:cs="宋体"/>
          <w:sz w:val="22"/>
          <w:szCs w:val="22"/>
        </w:rPr>
      </w:pPr>
      <w:r>
        <w:rPr>
          <w:rFonts w:hint="eastAsia" w:ascii="宋体" w:hAnsi="宋体" w:cs="宋体"/>
          <w:sz w:val="22"/>
          <w:szCs w:val="22"/>
        </w:rPr>
        <w:t xml:space="preserve">    附件1《廉洁合同》，附件2《系统最终验收投运后支付考核标准》，附件3《供应链服务平台模块清单》，附件4《项目需求书》，附件5《项目报价清单》。</w:t>
      </w:r>
    </w:p>
    <w:p>
      <w:pPr>
        <w:spacing w:line="360" w:lineRule="auto"/>
        <w:ind w:left="462" w:hanging="462" w:hangingChars="210"/>
        <w:rPr>
          <w:rFonts w:ascii="宋体" w:hAnsi="宋体" w:cs="宋体"/>
          <w:sz w:val="22"/>
          <w:szCs w:val="22"/>
        </w:rPr>
      </w:pPr>
    </w:p>
    <w:p>
      <w:pPr>
        <w:pStyle w:val="4"/>
        <w:spacing w:before="0" w:after="0" w:line="360" w:lineRule="auto"/>
        <w:ind w:left="0" w:firstLine="0"/>
        <w:rPr>
          <w:rFonts w:ascii="宋体" w:hAnsi="宋体" w:eastAsia="宋体" w:cs="宋体"/>
          <w:sz w:val="22"/>
          <w:szCs w:val="22"/>
        </w:rPr>
      </w:pPr>
      <w:bookmarkStart w:id="947" w:name="_Toc390937692"/>
      <w:bookmarkStart w:id="948" w:name="_Toc356480372"/>
      <w:bookmarkStart w:id="949" w:name="_Toc293843283"/>
      <w:bookmarkStart w:id="950" w:name="_Toc428871939"/>
      <w:bookmarkStart w:id="951" w:name="_Toc390938702"/>
      <w:bookmarkStart w:id="952" w:name="_Toc14295"/>
      <w:bookmarkStart w:id="953" w:name="_Toc434218678"/>
      <w:bookmarkStart w:id="954" w:name="_Toc28266_WPSOffice_Level1"/>
      <w:bookmarkStart w:id="955" w:name="_Toc110279013"/>
      <w:bookmarkStart w:id="956" w:name="_Toc110411515"/>
      <w:bookmarkStart w:id="957" w:name="_Toc18593"/>
      <w:bookmarkStart w:id="958" w:name="_Toc390937920"/>
      <w:bookmarkStart w:id="959" w:name="_Toc13036"/>
      <w:bookmarkStart w:id="960" w:name="_Toc293843151"/>
      <w:r>
        <w:rPr>
          <w:rFonts w:hint="eastAsia" w:ascii="宋体" w:hAnsi="宋体" w:eastAsia="宋体" w:cs="宋体"/>
          <w:sz w:val="22"/>
          <w:szCs w:val="22"/>
        </w:rPr>
        <w:t>二、合同价格</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tabs>
          <w:tab w:val="left" w:pos="7380"/>
        </w:tabs>
        <w:spacing w:line="360" w:lineRule="auto"/>
        <w:ind w:left="389" w:hanging="389" w:hangingChars="177"/>
        <w:rPr>
          <w:rFonts w:ascii="宋体" w:hAnsi="宋体" w:cs="宋体"/>
          <w:sz w:val="22"/>
          <w:szCs w:val="22"/>
        </w:rPr>
      </w:pPr>
      <w:r>
        <w:rPr>
          <w:rFonts w:hint="eastAsia" w:ascii="宋体" w:hAnsi="宋体" w:cs="宋体"/>
          <w:sz w:val="22"/>
          <w:szCs w:val="22"/>
        </w:rPr>
        <w:t>1、本合同总价（含税价）为人民币（大写）：</w:t>
      </w:r>
      <w:r>
        <w:rPr>
          <w:rFonts w:hint="eastAsia" w:ascii="宋体" w:hAnsi="宋体" w:cs="宋体"/>
          <w:b/>
          <w:bCs/>
          <w:kern w:val="0"/>
          <w:sz w:val="22"/>
          <w:szCs w:val="22"/>
          <w:u w:val="single"/>
        </w:rPr>
        <w:t xml:space="preserve">    </w:t>
      </w:r>
      <w:r>
        <w:rPr>
          <w:rFonts w:hint="eastAsia" w:ascii="宋体" w:hAnsi="宋体" w:cs="宋体"/>
          <w:sz w:val="22"/>
          <w:szCs w:val="22"/>
          <w:u w:val="single"/>
        </w:rPr>
        <w:t>整</w:t>
      </w:r>
      <w:r>
        <w:rPr>
          <w:rFonts w:hint="eastAsia" w:ascii="宋体" w:hAnsi="宋体" w:cs="宋体"/>
          <w:sz w:val="22"/>
          <w:szCs w:val="22"/>
        </w:rPr>
        <w:t>（小写：¥</w:t>
      </w:r>
      <w:r>
        <w:rPr>
          <w:rFonts w:hint="eastAsia" w:ascii="宋体" w:hAnsi="宋体" w:cs="宋体"/>
          <w:sz w:val="22"/>
          <w:szCs w:val="22"/>
          <w:u w:val="single"/>
        </w:rPr>
        <w:t xml:space="preserve">      </w:t>
      </w:r>
      <w:r>
        <w:rPr>
          <w:rFonts w:hint="eastAsia" w:ascii="宋体" w:hAnsi="宋体" w:cs="宋体"/>
          <w:sz w:val="22"/>
          <w:szCs w:val="22"/>
        </w:rPr>
        <w:t>元）；不含税价为人民币（大写）：</w:t>
      </w:r>
      <w:r>
        <w:rPr>
          <w:rFonts w:hint="eastAsia" w:ascii="宋体" w:hAnsi="宋体" w:cs="宋体"/>
          <w:sz w:val="22"/>
          <w:szCs w:val="22"/>
          <w:u w:val="single"/>
        </w:rPr>
        <w:t xml:space="preserve">     </w:t>
      </w:r>
      <w:r>
        <w:rPr>
          <w:rFonts w:hint="eastAsia" w:ascii="宋体" w:hAnsi="宋体" w:cs="宋体"/>
          <w:sz w:val="22"/>
          <w:szCs w:val="22"/>
        </w:rPr>
        <w:t>（小写：¥</w:t>
      </w:r>
      <w:r>
        <w:rPr>
          <w:rFonts w:hint="eastAsia" w:ascii="宋体" w:hAnsi="宋体" w:cs="宋体"/>
          <w:sz w:val="22"/>
          <w:szCs w:val="22"/>
          <w:u w:val="single"/>
        </w:rPr>
        <w:t xml:space="preserve">        </w:t>
      </w:r>
      <w:r>
        <w:rPr>
          <w:rFonts w:hint="eastAsia" w:ascii="宋体" w:hAnsi="宋体" w:cs="宋体"/>
          <w:sz w:val="22"/>
          <w:szCs w:val="22"/>
        </w:rPr>
        <w:t>元）；增值税税率为 XX%，增值税税额为人民币（大写）：</w:t>
      </w:r>
      <w:r>
        <w:rPr>
          <w:rFonts w:hint="eastAsia" w:ascii="宋体" w:hAnsi="宋体" w:cs="宋体"/>
          <w:sz w:val="22"/>
          <w:szCs w:val="22"/>
          <w:u w:val="single"/>
        </w:rPr>
        <w:t xml:space="preserve">       </w:t>
      </w:r>
      <w:r>
        <w:rPr>
          <w:rFonts w:hint="eastAsia" w:ascii="宋体" w:hAnsi="宋体" w:cs="宋体"/>
          <w:sz w:val="22"/>
          <w:szCs w:val="22"/>
        </w:rPr>
        <w:t>（小写：¥</w:t>
      </w:r>
      <w:r>
        <w:rPr>
          <w:rFonts w:hint="eastAsia" w:ascii="宋体" w:hAnsi="宋体" w:cs="宋体"/>
          <w:sz w:val="22"/>
          <w:szCs w:val="22"/>
          <w:u w:val="single"/>
        </w:rPr>
        <w:t xml:space="preserve">       </w:t>
      </w:r>
      <w:r>
        <w:rPr>
          <w:rFonts w:hint="eastAsia" w:ascii="宋体" w:hAnsi="宋体" w:cs="宋体"/>
          <w:sz w:val="22"/>
          <w:szCs w:val="22"/>
        </w:rPr>
        <w:t xml:space="preserve">元），具体支付总额按照甲乙双方根据考核结果确认的结算总额确定。 </w:t>
      </w:r>
    </w:p>
    <w:p>
      <w:pPr>
        <w:tabs>
          <w:tab w:val="left" w:pos="4000"/>
        </w:tabs>
        <w:adjustRightInd w:val="0"/>
        <w:snapToGrid w:val="0"/>
        <w:spacing w:line="360" w:lineRule="auto"/>
        <w:ind w:left="389" w:hanging="389" w:hangingChars="177"/>
        <w:rPr>
          <w:rFonts w:ascii="宋体" w:hAnsi="宋体" w:cs="宋体"/>
          <w:sz w:val="22"/>
          <w:szCs w:val="22"/>
        </w:rPr>
      </w:pPr>
      <w:r>
        <w:rPr>
          <w:rFonts w:hint="eastAsia" w:ascii="宋体" w:hAnsi="宋体" w:cs="宋体"/>
          <w:sz w:val="22"/>
          <w:szCs w:val="22"/>
        </w:rPr>
        <w:t>2、合同总价已包含为提供本合同范围内设备采购及全程服务可能产生的所有费用；除本合同另有约定外，合同履行期间的合同不含税价固定不变。在履行合同期间，如遇国家税率调整，则税费相应调整。</w:t>
      </w:r>
    </w:p>
    <w:p>
      <w:pPr>
        <w:pStyle w:val="4"/>
        <w:spacing w:before="0" w:after="0" w:line="360" w:lineRule="auto"/>
        <w:ind w:left="0" w:firstLine="0"/>
        <w:rPr>
          <w:rFonts w:ascii="宋体" w:hAnsi="宋体" w:eastAsia="宋体" w:cs="宋体"/>
          <w:sz w:val="22"/>
          <w:szCs w:val="22"/>
        </w:rPr>
      </w:pPr>
      <w:bookmarkStart w:id="961" w:name="_Toc110279014"/>
      <w:bookmarkStart w:id="962" w:name="_Toc110411516"/>
      <w:bookmarkStart w:id="963" w:name="_Toc1400"/>
      <w:bookmarkStart w:id="964" w:name="_Toc17095"/>
      <w:bookmarkStart w:id="965" w:name="_Toc13637_WPSOffice_Level1"/>
      <w:bookmarkStart w:id="966" w:name="_Toc11589"/>
      <w:bookmarkStart w:id="967" w:name="_Toc390937693"/>
      <w:bookmarkStart w:id="968" w:name="_Toc293843152"/>
      <w:bookmarkStart w:id="969" w:name="_Toc434218679"/>
      <w:bookmarkStart w:id="970" w:name="_Toc356480373"/>
      <w:bookmarkStart w:id="971" w:name="_Toc428871940"/>
      <w:bookmarkStart w:id="972" w:name="_Toc390937921"/>
      <w:bookmarkStart w:id="973" w:name="_Toc390938703"/>
      <w:bookmarkStart w:id="974" w:name="_Toc293843284"/>
      <w:r>
        <w:rPr>
          <w:rFonts w:hint="eastAsia" w:ascii="宋体" w:hAnsi="宋体" w:eastAsia="宋体" w:cs="宋体"/>
          <w:sz w:val="22"/>
          <w:szCs w:val="22"/>
        </w:rPr>
        <w:t>三、合同工期</w:t>
      </w:r>
      <w:bookmarkEnd w:id="961"/>
      <w:bookmarkEnd w:id="962"/>
      <w:bookmarkEnd w:id="963"/>
      <w:bookmarkEnd w:id="964"/>
      <w:bookmarkEnd w:id="965"/>
      <w:bookmarkEnd w:id="966"/>
    </w:p>
    <w:p>
      <w:pPr>
        <w:pStyle w:val="4"/>
        <w:spacing w:before="0" w:after="0" w:line="360" w:lineRule="auto"/>
        <w:ind w:left="0" w:firstLine="0"/>
        <w:rPr>
          <w:rFonts w:hint="eastAsia" w:ascii="宋体" w:hAnsi="宋体" w:cs="宋体"/>
          <w:sz w:val="22"/>
          <w:szCs w:val="22"/>
        </w:rPr>
      </w:pPr>
      <w:r>
        <w:rPr>
          <w:rFonts w:hint="eastAsia" w:ascii="宋体" w:hAnsi="宋体" w:cs="宋体"/>
          <w:sz w:val="22"/>
          <w:szCs w:val="22"/>
        </w:rPr>
        <w:t xml:space="preserve">合同总工期为XX；合同签订后 </w:t>
      </w:r>
      <w:r>
        <w:rPr>
          <w:rFonts w:hint="eastAsia" w:ascii="宋体" w:hAnsi="宋体" w:cs="宋体"/>
          <w:sz w:val="22"/>
          <w:szCs w:val="22"/>
          <w:u w:val="single"/>
        </w:rPr>
        <w:t xml:space="preserve"> XX  </w:t>
      </w:r>
      <w:r>
        <w:rPr>
          <w:rFonts w:hint="eastAsia" w:ascii="宋体" w:hAnsi="宋体" w:cs="宋体"/>
          <w:sz w:val="22"/>
          <w:szCs w:val="22"/>
        </w:rPr>
        <w:t>个月内完成项目内容建设，并具备上线运行条件；   个月内完成试运行，验收合格后交付甲方使用。</w:t>
      </w:r>
      <w:bookmarkStart w:id="975" w:name="_Toc5802"/>
      <w:bookmarkStart w:id="976" w:name="_Toc23583"/>
      <w:bookmarkStart w:id="977" w:name="_Toc110411517"/>
      <w:bookmarkStart w:id="978" w:name="_Toc17426_WPSOffice_Level1"/>
      <w:bookmarkStart w:id="979" w:name="_Toc1868"/>
      <w:bookmarkStart w:id="980" w:name="_Toc110279015"/>
    </w:p>
    <w:p>
      <w:pPr>
        <w:pStyle w:val="4"/>
        <w:spacing w:before="0" w:after="0" w:line="360" w:lineRule="auto"/>
        <w:ind w:left="0" w:firstLine="0"/>
        <w:rPr>
          <w:rFonts w:ascii="宋体" w:hAnsi="宋体" w:eastAsia="宋体" w:cs="宋体"/>
          <w:sz w:val="22"/>
          <w:szCs w:val="22"/>
        </w:rPr>
      </w:pPr>
      <w:r>
        <w:rPr>
          <w:rFonts w:hint="eastAsia" w:ascii="宋体" w:hAnsi="宋体" w:eastAsia="宋体" w:cs="宋体"/>
          <w:sz w:val="22"/>
          <w:szCs w:val="22"/>
        </w:rPr>
        <w:t>四、施工地点</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Start w:id="981" w:name="_Toc293843153"/>
      <w:bookmarkStart w:id="982" w:name="_Toc356480374"/>
      <w:bookmarkStart w:id="983" w:name="_Toc293843285"/>
    </w:p>
    <w:p>
      <w:pPr>
        <w:spacing w:line="360" w:lineRule="auto"/>
        <w:ind w:firstLine="480"/>
        <w:rPr>
          <w:rFonts w:ascii="宋体" w:hAnsi="宋体" w:cs="宋体"/>
          <w:sz w:val="22"/>
          <w:szCs w:val="22"/>
        </w:rPr>
      </w:pPr>
      <w:r>
        <w:rPr>
          <w:rFonts w:hint="eastAsia" w:ascii="宋体" w:hAnsi="宋体" w:cs="宋体"/>
          <w:sz w:val="22"/>
          <w:szCs w:val="22"/>
        </w:rPr>
        <w:t>招标人指定地点：东莞市</w:t>
      </w:r>
    </w:p>
    <w:bookmarkEnd w:id="981"/>
    <w:bookmarkEnd w:id="982"/>
    <w:bookmarkEnd w:id="983"/>
    <w:p>
      <w:pPr>
        <w:pStyle w:val="4"/>
        <w:numPr>
          <w:ilvl w:val="255"/>
          <w:numId w:val="0"/>
        </w:numPr>
        <w:spacing w:before="0" w:after="0" w:line="360" w:lineRule="auto"/>
        <w:rPr>
          <w:rFonts w:ascii="宋体" w:hAnsi="宋体" w:eastAsia="宋体" w:cs="宋体"/>
          <w:sz w:val="22"/>
          <w:szCs w:val="22"/>
        </w:rPr>
      </w:pPr>
      <w:bookmarkStart w:id="984" w:name="_Toc434218681"/>
      <w:bookmarkStart w:id="985" w:name="_Toc390938706"/>
      <w:bookmarkStart w:id="986" w:name="_Toc110411518"/>
      <w:bookmarkStart w:id="987" w:name="_Toc428871942"/>
      <w:bookmarkStart w:id="988" w:name="_Toc12379"/>
      <w:bookmarkStart w:id="989" w:name="_Toc26610"/>
      <w:bookmarkStart w:id="990" w:name="_Toc110279016"/>
      <w:bookmarkStart w:id="991" w:name="_Toc356480375"/>
      <w:bookmarkStart w:id="992" w:name="_Toc390937696"/>
      <w:bookmarkStart w:id="993" w:name="_Toc390937924"/>
      <w:bookmarkStart w:id="994" w:name="_Toc15941_WPSOffice_Level1"/>
      <w:bookmarkStart w:id="995" w:name="_Toc32587"/>
      <w:bookmarkStart w:id="996" w:name="_Toc293843286"/>
      <w:bookmarkStart w:id="997" w:name="_Toc293843154"/>
      <w:r>
        <w:rPr>
          <w:rFonts w:hint="eastAsia" w:ascii="宋体" w:hAnsi="宋体" w:eastAsia="宋体" w:cs="宋体"/>
          <w:sz w:val="22"/>
          <w:szCs w:val="22"/>
        </w:rPr>
        <w:t>五、付款方式</w:t>
      </w:r>
      <w:bookmarkEnd w:id="984"/>
      <w:bookmarkEnd w:id="985"/>
      <w:bookmarkEnd w:id="986"/>
      <w:bookmarkEnd w:id="987"/>
      <w:bookmarkEnd w:id="988"/>
      <w:bookmarkEnd w:id="989"/>
      <w:bookmarkEnd w:id="990"/>
      <w:bookmarkEnd w:id="991"/>
      <w:bookmarkEnd w:id="992"/>
      <w:bookmarkEnd w:id="993"/>
      <w:bookmarkEnd w:id="994"/>
      <w:bookmarkEnd w:id="995"/>
    </w:p>
    <w:p>
      <w:pPr>
        <w:spacing w:line="360" w:lineRule="auto"/>
        <w:rPr>
          <w:rFonts w:hint="eastAsia" w:ascii="宋体" w:hAnsi="宋体" w:eastAsia="宋体" w:cs="宋体"/>
          <w:sz w:val="22"/>
          <w:szCs w:val="22"/>
        </w:rPr>
      </w:pPr>
      <w:r>
        <w:rPr>
          <w:rFonts w:hint="eastAsia" w:ascii="宋体" w:hAnsi="宋体" w:eastAsia="宋体" w:cs="宋体"/>
          <w:sz w:val="22"/>
          <w:szCs w:val="22"/>
          <w:lang w:val="en-US" w:eastAsia="zh-CN"/>
        </w:rPr>
        <w:t>1</w:t>
      </w:r>
      <w:r>
        <w:rPr>
          <w:rFonts w:hint="eastAsia" w:ascii="宋体" w:hAnsi="宋体" w:eastAsia="宋体" w:cs="宋体"/>
          <w:sz w:val="22"/>
          <w:szCs w:val="22"/>
        </w:rPr>
        <w:t>、预付款：合同签订生效后30个工作日内，甲方向乙方支付合同款10%作为预付款，支付前乙方提供相应增值税发票给甲方。</w:t>
      </w:r>
    </w:p>
    <w:p>
      <w:pPr>
        <w:spacing w:line="360" w:lineRule="auto"/>
        <w:rPr>
          <w:rFonts w:hint="eastAsia" w:ascii="宋体" w:hAnsi="宋体" w:eastAsia="宋体" w:cs="宋体"/>
          <w:sz w:val="22"/>
          <w:szCs w:val="22"/>
        </w:rPr>
      </w:pPr>
      <w:r>
        <w:rPr>
          <w:rFonts w:hint="eastAsia" w:ascii="宋体" w:hAnsi="宋体" w:eastAsia="宋体" w:cs="宋体"/>
          <w:sz w:val="22"/>
          <w:szCs w:val="22"/>
        </w:rPr>
        <w:t>2、进度款：进度款支付的方式和时间如下：</w:t>
      </w:r>
    </w:p>
    <w:p>
      <w:pPr>
        <w:spacing w:line="360" w:lineRule="auto"/>
        <w:rPr>
          <w:rFonts w:hint="eastAsia" w:ascii="宋体" w:hAnsi="宋体" w:eastAsia="宋体" w:cs="宋体"/>
          <w:sz w:val="22"/>
          <w:szCs w:val="22"/>
        </w:rPr>
      </w:pPr>
      <w:r>
        <w:rPr>
          <w:rFonts w:hint="eastAsia" w:ascii="宋体" w:hAnsi="宋体" w:eastAsia="宋体" w:cs="宋体"/>
          <w:sz w:val="22"/>
          <w:szCs w:val="22"/>
        </w:rPr>
        <w:t>1）项目系统功能《采购链建设内容》上线后30个工作日内，甲方支付合同款10%给乙方，支付前乙方提供相应增值税发票给甲方；</w:t>
      </w:r>
    </w:p>
    <w:p>
      <w:pPr>
        <w:spacing w:line="360" w:lineRule="auto"/>
        <w:rPr>
          <w:rFonts w:hint="eastAsia" w:ascii="宋体" w:hAnsi="宋体" w:eastAsia="宋体" w:cs="宋体"/>
          <w:sz w:val="22"/>
          <w:szCs w:val="22"/>
        </w:rPr>
      </w:pPr>
      <w:r>
        <w:rPr>
          <w:rFonts w:hint="eastAsia" w:ascii="宋体" w:hAnsi="宋体" w:eastAsia="宋体" w:cs="宋体"/>
          <w:sz w:val="22"/>
          <w:szCs w:val="22"/>
        </w:rPr>
        <w:t>2）项目系统功能《物资链建设内容》上线后30个工作日内，甲方支付合同款10%给乙方，支付前乙方提供相应增值税发票给甲方；</w:t>
      </w:r>
    </w:p>
    <w:p>
      <w:pPr>
        <w:spacing w:line="360" w:lineRule="auto"/>
        <w:rPr>
          <w:rFonts w:hint="eastAsia" w:ascii="宋体" w:hAnsi="宋体" w:eastAsia="宋体" w:cs="宋体"/>
          <w:sz w:val="22"/>
          <w:szCs w:val="22"/>
        </w:rPr>
      </w:pPr>
      <w:r>
        <w:rPr>
          <w:rFonts w:hint="eastAsia" w:ascii="宋体" w:hAnsi="宋体" w:eastAsia="宋体" w:cs="宋体"/>
          <w:sz w:val="22"/>
          <w:szCs w:val="22"/>
        </w:rPr>
        <w:t>3）项目系统功能《信息链建设内容》上线后30个工作日内，甲方支付合同款10%给乙方，支付乙方提供相应增值税发票给甲方。</w:t>
      </w:r>
    </w:p>
    <w:p>
      <w:pPr>
        <w:spacing w:line="360" w:lineRule="auto"/>
        <w:rPr>
          <w:rFonts w:hint="eastAsia" w:ascii="宋体" w:hAnsi="宋体" w:eastAsia="宋体" w:cs="宋体"/>
          <w:sz w:val="22"/>
          <w:szCs w:val="22"/>
        </w:rPr>
      </w:pPr>
      <w:r>
        <w:rPr>
          <w:rFonts w:hint="eastAsia" w:ascii="宋体" w:hAnsi="宋体" w:eastAsia="宋体" w:cs="宋体"/>
          <w:sz w:val="22"/>
          <w:szCs w:val="22"/>
        </w:rPr>
        <w:t>3、系统进入运行维护期，剩余尾款不计利息。</w:t>
      </w:r>
    </w:p>
    <w:p>
      <w:pPr>
        <w:spacing w:line="360" w:lineRule="auto"/>
        <w:rPr>
          <w:rFonts w:hint="eastAsia" w:ascii="宋体" w:hAnsi="宋体" w:eastAsia="宋体" w:cs="宋体"/>
          <w:color w:val="auto"/>
          <w:sz w:val="22"/>
          <w:szCs w:val="22"/>
        </w:rPr>
      </w:pPr>
      <w:r>
        <w:rPr>
          <w:rFonts w:hint="eastAsia" w:ascii="宋体" w:hAnsi="宋体" w:eastAsia="宋体" w:cs="宋体"/>
          <w:sz w:val="22"/>
          <w:szCs w:val="22"/>
        </w:rPr>
        <w:t>4、剩余余款按日历年支付，</w:t>
      </w:r>
      <w:r>
        <w:rPr>
          <w:rFonts w:hint="eastAsia" w:ascii="宋体" w:hAnsi="宋体" w:eastAsia="宋体" w:cs="宋体"/>
          <w:sz w:val="22"/>
          <w:szCs w:val="22"/>
          <w:highlight w:val="yellow"/>
        </w:rPr>
        <w:t>以</w:t>
      </w:r>
      <w:r>
        <w:rPr>
          <w:rFonts w:hint="eastAsia" w:ascii="宋体" w:hAnsi="宋体" w:cs="宋体"/>
          <w:sz w:val="22"/>
          <w:szCs w:val="22"/>
          <w:highlight w:val="yellow"/>
          <w:lang w:eastAsia="zh-CN"/>
        </w:rPr>
        <w:t>系统上线</w:t>
      </w:r>
      <w:r>
        <w:rPr>
          <w:rFonts w:hint="eastAsia" w:ascii="宋体" w:hAnsi="宋体" w:eastAsia="宋体" w:cs="宋体"/>
          <w:sz w:val="22"/>
          <w:szCs w:val="22"/>
          <w:highlight w:val="yellow"/>
        </w:rPr>
        <w:t>时间点为节点，</w:t>
      </w:r>
      <w:r>
        <w:rPr>
          <w:rFonts w:hint="eastAsia" w:ascii="宋体" w:hAnsi="宋体" w:eastAsia="宋体" w:cs="宋体"/>
          <w:sz w:val="22"/>
          <w:szCs w:val="22"/>
        </w:rPr>
        <w:t>支付条件为乙方保证本次招标《用户需求书》项下功能的正常运行和优化。</w:t>
      </w:r>
      <w:r>
        <w:rPr>
          <w:rFonts w:hint="eastAsia" w:ascii="宋体" w:hAnsi="宋体" w:eastAsia="宋体" w:cs="宋体"/>
          <w:color w:val="auto"/>
          <w:sz w:val="22"/>
          <w:szCs w:val="22"/>
          <w:highlight w:val="none"/>
        </w:rPr>
        <w:t>由双方按中标价格及运行维护考核结果结算费用，每年度由中标人根据招标人提供的考核结果，计算出上一年度应付金额，经双方确认后，由中标人开具等额有效的增值税专用发票，招标人收到发票后</w:t>
      </w:r>
      <w:r>
        <w:rPr>
          <w:rFonts w:hint="eastAsia" w:ascii="宋体" w:hAnsi="宋体" w:eastAsia="宋体" w:cs="宋体"/>
          <w:color w:val="auto"/>
          <w:sz w:val="22"/>
          <w:szCs w:val="22"/>
        </w:rPr>
        <w:t>的20个工作日内支付上一年度的运行维护费给中标人：</w:t>
      </w:r>
    </w:p>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第二年</w:t>
      </w:r>
      <w:r>
        <w:rPr>
          <w:rFonts w:hint="eastAsia" w:ascii="宋体" w:hAnsi="宋体" w:eastAsia="宋体" w:cs="宋体"/>
          <w:color w:val="auto"/>
          <w:sz w:val="22"/>
          <w:szCs w:val="22"/>
          <w:lang w:val="en-US" w:eastAsia="zh-CN"/>
        </w:rPr>
        <w:t>甲方</w:t>
      </w:r>
      <w:r>
        <w:rPr>
          <w:rFonts w:hint="eastAsia" w:ascii="宋体" w:hAnsi="宋体" w:eastAsia="宋体" w:cs="宋体"/>
          <w:color w:val="auto"/>
          <w:sz w:val="22"/>
          <w:szCs w:val="22"/>
        </w:rPr>
        <w:t>最高支付合同总金额的</w:t>
      </w:r>
      <w:r>
        <w:rPr>
          <w:rFonts w:hint="eastAsia" w:ascii="宋体" w:hAnsi="宋体" w:eastAsia="宋体" w:cs="宋体"/>
          <w:color w:val="auto"/>
          <w:sz w:val="22"/>
          <w:szCs w:val="22"/>
          <w:lang w:val="en-US" w:eastAsia="zh-CN"/>
        </w:rPr>
        <w:t>15</w:t>
      </w:r>
      <w:r>
        <w:rPr>
          <w:rFonts w:hint="eastAsia" w:ascii="宋体" w:hAnsi="宋体" w:eastAsia="宋体" w:cs="宋体"/>
          <w:color w:val="auto"/>
          <w:sz w:val="22"/>
          <w:szCs w:val="22"/>
        </w:rPr>
        <w:t>%；</w:t>
      </w:r>
    </w:p>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第三年</w:t>
      </w:r>
      <w:r>
        <w:rPr>
          <w:rFonts w:hint="eastAsia" w:ascii="宋体" w:hAnsi="宋体" w:eastAsia="宋体" w:cs="宋体"/>
          <w:color w:val="auto"/>
          <w:sz w:val="22"/>
          <w:szCs w:val="22"/>
          <w:lang w:val="en-US" w:eastAsia="zh-CN"/>
        </w:rPr>
        <w:t>甲方</w:t>
      </w:r>
      <w:r>
        <w:rPr>
          <w:rFonts w:hint="eastAsia" w:ascii="宋体" w:hAnsi="宋体" w:eastAsia="宋体" w:cs="宋体"/>
          <w:color w:val="auto"/>
          <w:sz w:val="22"/>
          <w:szCs w:val="22"/>
        </w:rPr>
        <w:t>最高支付合同总金额的</w:t>
      </w:r>
      <w:r>
        <w:rPr>
          <w:rFonts w:hint="eastAsia" w:ascii="宋体" w:hAnsi="宋体" w:eastAsia="宋体" w:cs="宋体"/>
          <w:color w:val="auto"/>
          <w:sz w:val="22"/>
          <w:szCs w:val="22"/>
          <w:lang w:val="en-US" w:eastAsia="zh-CN"/>
        </w:rPr>
        <w:t>15</w:t>
      </w:r>
      <w:r>
        <w:rPr>
          <w:rFonts w:hint="eastAsia" w:ascii="宋体" w:hAnsi="宋体" w:eastAsia="宋体" w:cs="宋体"/>
          <w:color w:val="auto"/>
          <w:sz w:val="22"/>
          <w:szCs w:val="22"/>
        </w:rPr>
        <w:t>%；</w:t>
      </w:r>
    </w:p>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第四年</w:t>
      </w:r>
      <w:r>
        <w:rPr>
          <w:rFonts w:hint="eastAsia" w:ascii="宋体" w:hAnsi="宋体" w:eastAsia="宋体" w:cs="宋体"/>
          <w:color w:val="auto"/>
          <w:sz w:val="22"/>
          <w:szCs w:val="22"/>
          <w:lang w:val="en-US" w:eastAsia="zh-CN"/>
        </w:rPr>
        <w:t>甲方</w:t>
      </w:r>
      <w:r>
        <w:rPr>
          <w:rFonts w:hint="eastAsia" w:ascii="宋体" w:hAnsi="宋体" w:eastAsia="宋体" w:cs="宋体"/>
          <w:color w:val="auto"/>
          <w:sz w:val="22"/>
          <w:szCs w:val="22"/>
        </w:rPr>
        <w:t>最高支付合同总金额的</w:t>
      </w:r>
      <w:r>
        <w:rPr>
          <w:rFonts w:hint="eastAsia" w:ascii="宋体" w:hAnsi="宋体" w:eastAsia="宋体" w:cs="宋体"/>
          <w:color w:val="auto"/>
          <w:sz w:val="22"/>
          <w:szCs w:val="22"/>
          <w:lang w:val="en-US" w:eastAsia="zh-CN"/>
        </w:rPr>
        <w:t>15</w:t>
      </w:r>
      <w:r>
        <w:rPr>
          <w:rFonts w:hint="eastAsia" w:ascii="宋体" w:hAnsi="宋体" w:eastAsia="宋体" w:cs="宋体"/>
          <w:color w:val="auto"/>
          <w:sz w:val="22"/>
          <w:szCs w:val="22"/>
        </w:rPr>
        <w:t>%；</w:t>
      </w:r>
    </w:p>
    <w:p>
      <w:pPr>
        <w:spacing w:line="360" w:lineRule="auto"/>
        <w:ind w:left="440" w:hanging="440" w:hangingChars="200"/>
        <w:rPr>
          <w:rFonts w:hint="eastAsia" w:ascii="宋体" w:hAnsi="宋体" w:eastAsia="宋体" w:cs="宋体"/>
          <w:color w:val="auto"/>
          <w:sz w:val="22"/>
          <w:szCs w:val="22"/>
        </w:rPr>
      </w:pPr>
      <w:r>
        <w:rPr>
          <w:rFonts w:hint="eastAsia" w:ascii="宋体" w:hAnsi="宋体" w:eastAsia="宋体" w:cs="宋体"/>
          <w:color w:val="auto"/>
          <w:sz w:val="22"/>
          <w:szCs w:val="22"/>
        </w:rPr>
        <w:t>第五年</w:t>
      </w:r>
      <w:r>
        <w:rPr>
          <w:rFonts w:hint="eastAsia" w:ascii="宋体" w:hAnsi="宋体" w:eastAsia="宋体" w:cs="宋体"/>
          <w:color w:val="auto"/>
          <w:sz w:val="22"/>
          <w:szCs w:val="22"/>
          <w:lang w:val="en-US" w:eastAsia="zh-CN"/>
        </w:rPr>
        <w:t>甲方</w:t>
      </w:r>
      <w:r>
        <w:rPr>
          <w:rFonts w:hint="eastAsia" w:ascii="宋体" w:hAnsi="宋体" w:eastAsia="宋体" w:cs="宋体"/>
          <w:color w:val="auto"/>
          <w:sz w:val="22"/>
          <w:szCs w:val="22"/>
        </w:rPr>
        <w:t>最高支付合同总金额的</w:t>
      </w:r>
      <w:r>
        <w:rPr>
          <w:rFonts w:hint="eastAsia" w:ascii="宋体" w:hAnsi="宋体" w:eastAsia="宋体" w:cs="宋体"/>
          <w:color w:val="auto"/>
          <w:sz w:val="22"/>
          <w:szCs w:val="22"/>
          <w:lang w:val="en-US" w:eastAsia="zh-CN"/>
        </w:rPr>
        <w:t>15</w:t>
      </w:r>
      <w:r>
        <w:rPr>
          <w:rFonts w:hint="eastAsia" w:ascii="宋体" w:hAnsi="宋体" w:eastAsia="宋体" w:cs="宋体"/>
          <w:color w:val="auto"/>
          <w:sz w:val="22"/>
          <w:szCs w:val="22"/>
        </w:rPr>
        <w:t>%。</w:t>
      </w:r>
    </w:p>
    <w:p>
      <w:pPr>
        <w:spacing w:line="360" w:lineRule="auto"/>
        <w:ind w:left="440" w:hanging="440" w:hangingChars="200"/>
        <w:rPr>
          <w:rFonts w:hint="eastAsia" w:ascii="宋体" w:hAnsi="宋体" w:cs="宋体"/>
          <w:sz w:val="22"/>
          <w:szCs w:val="22"/>
        </w:rPr>
      </w:pPr>
      <w:r>
        <w:rPr>
          <w:rFonts w:hint="eastAsia" w:ascii="宋体" w:hAnsi="宋体" w:cs="宋体"/>
          <w:sz w:val="22"/>
          <w:szCs w:val="22"/>
        </w:rPr>
        <w:t>5、支付总额为中标通知书上中标总金额为止。</w:t>
      </w:r>
    </w:p>
    <w:p>
      <w:pPr>
        <w:pStyle w:val="4"/>
        <w:spacing w:before="0" w:after="0" w:line="360" w:lineRule="auto"/>
        <w:ind w:left="0" w:firstLine="0"/>
        <w:rPr>
          <w:rFonts w:hint="eastAsia" w:ascii="宋体" w:hAnsi="宋体" w:eastAsia="宋体" w:cs="宋体"/>
          <w:sz w:val="22"/>
          <w:szCs w:val="22"/>
        </w:rPr>
      </w:pPr>
      <w:r>
        <w:rPr>
          <w:rFonts w:hint="eastAsia" w:ascii="宋体" w:hAnsi="宋体" w:cs="宋体"/>
          <w:sz w:val="22"/>
          <w:szCs w:val="22"/>
        </w:rPr>
        <w:t>6、本次招标费用包含系统的三级等保和三星检测费用，每笔费用由乙方支付给第三方后30日内，甲方将相应笔费用支付给乙方。两笔费用的总额将在第五年未支付合同总额15%中扣减。</w:t>
      </w:r>
      <w:bookmarkStart w:id="998" w:name="_Toc110279017"/>
      <w:bookmarkStart w:id="999" w:name="_Toc10698_WPSOffice_Level1"/>
      <w:bookmarkStart w:id="1000" w:name="_Toc10847"/>
      <w:bookmarkStart w:id="1001" w:name="_Toc110411519"/>
      <w:bookmarkStart w:id="1002" w:name="_Toc9739"/>
      <w:bookmarkStart w:id="1003" w:name="_Toc2264"/>
      <w:bookmarkStart w:id="1004" w:name="_Toc356480376"/>
      <w:bookmarkStart w:id="1005" w:name="_Toc434218682"/>
      <w:bookmarkStart w:id="1006" w:name="_Toc390938707"/>
      <w:bookmarkStart w:id="1007" w:name="_Toc390937925"/>
      <w:bookmarkStart w:id="1008" w:name="_Toc428871943"/>
      <w:bookmarkStart w:id="1009" w:name="_Toc390937697"/>
    </w:p>
    <w:p>
      <w:pPr>
        <w:pStyle w:val="4"/>
        <w:spacing w:before="0" w:after="0" w:line="360" w:lineRule="auto"/>
        <w:ind w:left="0" w:firstLine="0"/>
        <w:rPr>
          <w:rFonts w:ascii="宋体" w:hAnsi="宋体" w:eastAsia="宋体" w:cs="宋体"/>
          <w:sz w:val="22"/>
          <w:szCs w:val="22"/>
        </w:rPr>
      </w:pPr>
      <w:r>
        <w:rPr>
          <w:rFonts w:hint="eastAsia" w:ascii="宋体" w:hAnsi="宋体" w:eastAsia="宋体" w:cs="宋体"/>
          <w:sz w:val="22"/>
          <w:szCs w:val="22"/>
        </w:rPr>
        <w:t>六、税费</w:t>
      </w:r>
      <w:bookmarkEnd w:id="998"/>
      <w:bookmarkEnd w:id="999"/>
      <w:bookmarkEnd w:id="1000"/>
      <w:bookmarkEnd w:id="1001"/>
      <w:bookmarkEnd w:id="1002"/>
      <w:bookmarkEnd w:id="1003"/>
    </w:p>
    <w:p>
      <w:pPr>
        <w:spacing w:line="360" w:lineRule="auto"/>
        <w:ind w:left="345" w:hanging="345" w:hangingChars="157"/>
        <w:rPr>
          <w:rFonts w:ascii="宋体" w:hAnsi="宋体" w:cs="宋体"/>
          <w:b/>
          <w:sz w:val="22"/>
          <w:szCs w:val="22"/>
        </w:rPr>
      </w:pPr>
      <w:r>
        <w:rPr>
          <w:rFonts w:hint="eastAsia" w:ascii="宋体" w:hAnsi="宋体" w:cs="宋体"/>
          <w:sz w:val="22"/>
          <w:szCs w:val="22"/>
        </w:rPr>
        <w:t>1、根据国家有关税务的法律、法规和规定，应该交纳与本合同有关的税费由乙方承担。</w:t>
      </w:r>
    </w:p>
    <w:p>
      <w:pPr>
        <w:spacing w:line="360" w:lineRule="auto"/>
        <w:ind w:left="345" w:hanging="345" w:hangingChars="157"/>
        <w:rPr>
          <w:rFonts w:ascii="宋体" w:hAnsi="宋体" w:cs="宋体"/>
          <w:sz w:val="22"/>
          <w:szCs w:val="22"/>
        </w:rPr>
      </w:pPr>
      <w:r>
        <w:rPr>
          <w:rFonts w:hint="eastAsia" w:ascii="宋体" w:hAnsi="宋体" w:cs="宋体"/>
          <w:sz w:val="22"/>
          <w:szCs w:val="22"/>
        </w:rPr>
        <w:t>2、本合同价格为含税价，税率为6%的增值税专用发票。乙方提供的技术服务、技术资料等所有税费（包括保险费）已全部包含在合同价格内，由乙方承担。如果因国家财政政策变更，需要调整合同增值税税率，乙方应无条件按照国家新财政政策进行税率调整，增减的税费由乙方承担，甲方应支付的合同金额不变。</w:t>
      </w:r>
    </w:p>
    <w:p>
      <w:pPr>
        <w:pStyle w:val="4"/>
        <w:spacing w:before="0" w:after="0" w:line="360" w:lineRule="auto"/>
        <w:ind w:left="0" w:firstLine="0"/>
        <w:rPr>
          <w:rFonts w:ascii="宋体" w:hAnsi="宋体" w:eastAsia="宋体" w:cs="宋体"/>
          <w:sz w:val="22"/>
          <w:szCs w:val="22"/>
        </w:rPr>
      </w:pPr>
      <w:bookmarkStart w:id="1010" w:name="_Toc22818"/>
      <w:bookmarkStart w:id="1011" w:name="_Toc1350_WPSOffice_Level1"/>
      <w:bookmarkStart w:id="1012" w:name="_Toc22077"/>
      <w:bookmarkStart w:id="1013" w:name="_Toc110279018"/>
      <w:bookmarkStart w:id="1014" w:name="_Toc110411520"/>
      <w:bookmarkStart w:id="1015" w:name="_Toc21585"/>
      <w:r>
        <w:rPr>
          <w:rFonts w:hint="eastAsia" w:ascii="宋体" w:hAnsi="宋体" w:eastAsia="宋体" w:cs="宋体"/>
          <w:sz w:val="22"/>
          <w:szCs w:val="22"/>
        </w:rPr>
        <w:t>七、组成合同的文件及解释顺序</w:t>
      </w:r>
      <w:bookmarkEnd w:id="1010"/>
      <w:bookmarkEnd w:id="1011"/>
      <w:bookmarkEnd w:id="1012"/>
      <w:bookmarkEnd w:id="1013"/>
      <w:bookmarkEnd w:id="1014"/>
      <w:bookmarkEnd w:id="1015"/>
    </w:p>
    <w:p>
      <w:pPr>
        <w:spacing w:line="360" w:lineRule="auto"/>
        <w:ind w:firstLine="440" w:firstLineChars="200"/>
        <w:rPr>
          <w:rFonts w:ascii="宋体" w:hAnsi="宋体" w:cs="宋体"/>
          <w:sz w:val="22"/>
          <w:szCs w:val="22"/>
        </w:rPr>
      </w:pPr>
      <w:r>
        <w:rPr>
          <w:rFonts w:hint="eastAsia" w:ascii="宋体" w:hAnsi="宋体" w:cs="宋体"/>
          <w:sz w:val="22"/>
          <w:szCs w:val="22"/>
        </w:rPr>
        <w:t>下列组成本合同的文件（简称合同附件）构成一个合同整体，彼此应能相互解释，互为说明。当出现相互矛盾时，组成本合同文件的优先解释顺序如下：</w:t>
      </w:r>
    </w:p>
    <w:p>
      <w:pPr>
        <w:spacing w:line="360" w:lineRule="auto"/>
        <w:rPr>
          <w:rFonts w:ascii="宋体" w:hAnsi="宋体" w:cs="宋体"/>
          <w:sz w:val="22"/>
          <w:szCs w:val="22"/>
        </w:rPr>
      </w:pPr>
      <w:r>
        <w:rPr>
          <w:rFonts w:hint="eastAsia" w:ascii="宋体" w:hAnsi="宋体" w:cs="宋体"/>
          <w:sz w:val="22"/>
          <w:szCs w:val="22"/>
        </w:rPr>
        <w:t>1、本合同。</w:t>
      </w:r>
    </w:p>
    <w:p>
      <w:pPr>
        <w:spacing w:line="360" w:lineRule="auto"/>
        <w:rPr>
          <w:rFonts w:ascii="宋体" w:hAnsi="宋体" w:cs="宋体"/>
          <w:sz w:val="22"/>
          <w:szCs w:val="22"/>
        </w:rPr>
      </w:pPr>
      <w:r>
        <w:rPr>
          <w:rFonts w:hint="eastAsia" w:ascii="宋体" w:hAnsi="宋体" w:cs="宋体"/>
          <w:sz w:val="22"/>
          <w:szCs w:val="22"/>
        </w:rPr>
        <w:t>2、补充合同(协议)及修正文件。</w:t>
      </w:r>
    </w:p>
    <w:p>
      <w:pPr>
        <w:spacing w:line="360" w:lineRule="auto"/>
        <w:rPr>
          <w:rFonts w:ascii="宋体" w:hAnsi="宋体" w:cs="宋体"/>
          <w:sz w:val="22"/>
          <w:szCs w:val="22"/>
        </w:rPr>
      </w:pPr>
      <w:r>
        <w:rPr>
          <w:rFonts w:hint="eastAsia" w:ascii="宋体" w:hAnsi="宋体" w:cs="宋体"/>
          <w:sz w:val="22"/>
          <w:szCs w:val="22"/>
        </w:rPr>
        <w:t>3、标准、规范及有关技术文件等。</w:t>
      </w:r>
    </w:p>
    <w:p>
      <w:pPr>
        <w:spacing w:line="360" w:lineRule="auto"/>
        <w:rPr>
          <w:rFonts w:ascii="宋体" w:hAnsi="宋体" w:cs="宋体"/>
          <w:sz w:val="22"/>
          <w:szCs w:val="22"/>
        </w:rPr>
      </w:pPr>
      <w:r>
        <w:rPr>
          <w:rFonts w:hint="eastAsia" w:ascii="宋体" w:hAnsi="宋体" w:cs="宋体"/>
          <w:sz w:val="22"/>
          <w:szCs w:val="22"/>
        </w:rPr>
        <w:t>4、甲方招标文件和乙方投标文件。</w:t>
      </w:r>
    </w:p>
    <w:p>
      <w:pPr>
        <w:spacing w:line="360" w:lineRule="auto"/>
        <w:rPr>
          <w:rFonts w:ascii="宋体" w:hAnsi="宋体" w:cs="宋体"/>
          <w:sz w:val="22"/>
          <w:szCs w:val="22"/>
        </w:rPr>
      </w:pPr>
      <w:r>
        <w:rPr>
          <w:rFonts w:hint="eastAsia" w:ascii="宋体" w:hAnsi="宋体" w:cs="宋体"/>
          <w:sz w:val="22"/>
          <w:szCs w:val="22"/>
        </w:rPr>
        <w:t>5、组成合同的其它文件。</w:t>
      </w:r>
    </w:p>
    <w:p>
      <w:pPr>
        <w:spacing w:line="360" w:lineRule="auto"/>
        <w:ind w:firstLine="440" w:firstLineChars="200"/>
        <w:rPr>
          <w:rFonts w:ascii="宋体" w:hAnsi="宋体" w:cs="宋体"/>
          <w:sz w:val="22"/>
          <w:szCs w:val="22"/>
        </w:rPr>
      </w:pPr>
      <w:r>
        <w:rPr>
          <w:rFonts w:hint="eastAsia" w:ascii="宋体" w:hAnsi="宋体" w:cs="宋体"/>
          <w:sz w:val="22"/>
          <w:szCs w:val="22"/>
        </w:rPr>
        <w:t>当合同文件出现不准确时，在不影响工程进度的情况下，由双方协商解决。</w:t>
      </w:r>
    </w:p>
    <w:bookmarkEnd w:id="1004"/>
    <w:bookmarkEnd w:id="1005"/>
    <w:bookmarkEnd w:id="1006"/>
    <w:bookmarkEnd w:id="1007"/>
    <w:bookmarkEnd w:id="1008"/>
    <w:bookmarkEnd w:id="1009"/>
    <w:p>
      <w:pPr>
        <w:pStyle w:val="4"/>
        <w:spacing w:before="0" w:after="0" w:line="360" w:lineRule="auto"/>
        <w:ind w:left="0" w:firstLine="0"/>
        <w:rPr>
          <w:rFonts w:ascii="宋体" w:hAnsi="宋体" w:eastAsia="宋体" w:cs="宋体"/>
          <w:sz w:val="22"/>
          <w:szCs w:val="22"/>
        </w:rPr>
      </w:pPr>
      <w:bookmarkStart w:id="1016" w:name="_Toc15282"/>
      <w:bookmarkStart w:id="1017" w:name="_Toc110279019"/>
      <w:bookmarkStart w:id="1018" w:name="_Toc22604_WPSOffice_Level1"/>
      <w:bookmarkStart w:id="1019" w:name="_Toc110411521"/>
      <w:bookmarkStart w:id="1020" w:name="_Toc13758"/>
      <w:bookmarkStart w:id="1021" w:name="_Toc9400"/>
      <w:bookmarkStart w:id="1022" w:name="_Toc390937926"/>
      <w:bookmarkStart w:id="1023" w:name="_Toc434218683"/>
      <w:bookmarkStart w:id="1024" w:name="_Toc390937698"/>
      <w:bookmarkStart w:id="1025" w:name="_Toc390938708"/>
      <w:bookmarkStart w:id="1026" w:name="_Toc356480377"/>
      <w:bookmarkStart w:id="1027" w:name="_Toc428871944"/>
      <w:r>
        <w:rPr>
          <w:rFonts w:hint="eastAsia" w:ascii="宋体" w:hAnsi="宋体" w:eastAsia="宋体" w:cs="宋体"/>
          <w:sz w:val="22"/>
          <w:szCs w:val="22"/>
        </w:rPr>
        <w:t>八、双方的权利和义务</w:t>
      </w:r>
      <w:bookmarkEnd w:id="1016"/>
      <w:bookmarkEnd w:id="1017"/>
      <w:bookmarkEnd w:id="1018"/>
      <w:bookmarkEnd w:id="1019"/>
      <w:bookmarkEnd w:id="1020"/>
      <w:bookmarkEnd w:id="1021"/>
    </w:p>
    <w:p>
      <w:pPr>
        <w:pStyle w:val="28"/>
        <w:spacing w:before="0" w:beforeAutospacing="0" w:after="0" w:afterAutospacing="0" w:line="360" w:lineRule="auto"/>
        <w:rPr>
          <w:rFonts w:cs="宋体"/>
          <w:b/>
          <w:sz w:val="22"/>
          <w:szCs w:val="22"/>
        </w:rPr>
      </w:pPr>
      <w:r>
        <w:rPr>
          <w:rFonts w:hint="eastAsia" w:cs="宋体"/>
          <w:b/>
          <w:sz w:val="22"/>
          <w:szCs w:val="22"/>
        </w:rPr>
        <w:t>1、甲方的权利和义务</w:t>
      </w:r>
    </w:p>
    <w:p>
      <w:pPr>
        <w:spacing w:line="360" w:lineRule="auto"/>
        <w:ind w:left="389" w:hanging="389" w:hangingChars="177"/>
        <w:rPr>
          <w:rFonts w:ascii="宋体" w:hAnsi="宋体" w:cs="宋体"/>
          <w:sz w:val="22"/>
          <w:szCs w:val="22"/>
        </w:rPr>
      </w:pPr>
      <w:r>
        <w:rPr>
          <w:rFonts w:hint="eastAsia" w:ascii="宋体" w:hAnsi="宋体" w:cs="宋体"/>
          <w:sz w:val="22"/>
          <w:szCs w:val="22"/>
        </w:rPr>
        <w:t>1.1  甲方派出业务人员积极配合乙方开展现场施工等工作。</w:t>
      </w:r>
    </w:p>
    <w:p>
      <w:pPr>
        <w:spacing w:line="360" w:lineRule="auto"/>
        <w:ind w:left="389" w:hanging="389" w:hangingChars="177"/>
        <w:jc w:val="left"/>
        <w:rPr>
          <w:rFonts w:ascii="宋体" w:hAnsi="宋体" w:cs="宋体"/>
          <w:sz w:val="22"/>
          <w:szCs w:val="22"/>
        </w:rPr>
      </w:pPr>
      <w:r>
        <w:rPr>
          <w:rFonts w:hint="eastAsia" w:ascii="宋体" w:hAnsi="宋体" w:cs="宋体"/>
          <w:sz w:val="22"/>
          <w:szCs w:val="22"/>
        </w:rPr>
        <w:t xml:space="preserve">1.2 项目实施期间，甲方有权要求乙方提供本项目施工的相关技术资料，包括硬件设备技术材料、证明，软件接口资料等。 </w:t>
      </w:r>
    </w:p>
    <w:p>
      <w:pPr>
        <w:spacing w:line="360" w:lineRule="auto"/>
        <w:ind w:left="389" w:hanging="389" w:hangingChars="177"/>
        <w:rPr>
          <w:rFonts w:ascii="宋体" w:hAnsi="宋体" w:cs="宋体"/>
          <w:sz w:val="22"/>
          <w:szCs w:val="22"/>
        </w:rPr>
      </w:pPr>
      <w:r>
        <w:rPr>
          <w:rFonts w:hint="eastAsia" w:ascii="宋体" w:hAnsi="宋体" w:cs="宋体"/>
          <w:sz w:val="22"/>
          <w:szCs w:val="22"/>
        </w:rPr>
        <w:t xml:space="preserve">1.3 甲方有权在项目施工过程中对乙方的工作进行督导，乙方向第三方提供技术资料需经甲方审批同意。 </w:t>
      </w:r>
    </w:p>
    <w:p>
      <w:pPr>
        <w:spacing w:line="360" w:lineRule="auto"/>
        <w:ind w:left="389" w:hanging="389" w:hangingChars="177"/>
        <w:rPr>
          <w:rFonts w:ascii="宋体" w:hAnsi="宋体" w:cs="宋体"/>
          <w:sz w:val="22"/>
          <w:szCs w:val="22"/>
        </w:rPr>
      </w:pPr>
      <w:r>
        <w:rPr>
          <w:rFonts w:hint="eastAsia" w:ascii="宋体" w:hAnsi="宋体" w:cs="宋体"/>
          <w:sz w:val="22"/>
          <w:szCs w:val="22"/>
        </w:rPr>
        <w:t xml:space="preserve">1.4 甲方应按期按质向乙方提供与项目开展相关的业务和技术资料，如因甲方原因导致开发工作延迟或停顿的，由甲方承担责任。 </w:t>
      </w:r>
    </w:p>
    <w:p>
      <w:pPr>
        <w:spacing w:line="360" w:lineRule="auto"/>
        <w:ind w:left="389" w:hanging="389" w:hangingChars="177"/>
        <w:rPr>
          <w:rFonts w:ascii="宋体" w:hAnsi="宋体" w:cs="宋体"/>
          <w:sz w:val="22"/>
          <w:szCs w:val="22"/>
        </w:rPr>
      </w:pPr>
      <w:r>
        <w:rPr>
          <w:rFonts w:hint="eastAsia" w:ascii="宋体" w:hAnsi="宋体" w:cs="宋体"/>
          <w:sz w:val="22"/>
          <w:szCs w:val="22"/>
        </w:rPr>
        <w:t xml:space="preserve">1.5 在项目施工和项目试运行期间，甲方要定期进行审计和阶段评估，乙方需配合相关工作。 </w:t>
      </w:r>
    </w:p>
    <w:p>
      <w:pPr>
        <w:spacing w:line="360" w:lineRule="auto"/>
        <w:ind w:left="389" w:hanging="389" w:hangingChars="177"/>
        <w:rPr>
          <w:rFonts w:ascii="宋体" w:hAnsi="宋体" w:cs="宋体"/>
          <w:sz w:val="22"/>
          <w:szCs w:val="22"/>
        </w:rPr>
      </w:pPr>
      <w:r>
        <w:rPr>
          <w:rFonts w:hint="eastAsia" w:ascii="宋体" w:hAnsi="宋体" w:cs="宋体"/>
          <w:sz w:val="22"/>
          <w:szCs w:val="22"/>
        </w:rPr>
        <w:t>1.6 乙方未经甲方书面同意，擅自变更甲方招标文件要求或乙方投标文件响应的项目经理或其它成员，甲方有权向乙方索取合同总金额 5%的违约金。</w:t>
      </w:r>
    </w:p>
    <w:p>
      <w:pPr>
        <w:pStyle w:val="28"/>
        <w:spacing w:before="0" w:beforeAutospacing="0" w:after="0" w:afterAutospacing="0" w:line="360" w:lineRule="auto"/>
        <w:rPr>
          <w:rFonts w:cs="宋体"/>
          <w:b/>
          <w:sz w:val="22"/>
          <w:szCs w:val="22"/>
        </w:rPr>
      </w:pPr>
      <w:r>
        <w:rPr>
          <w:rFonts w:hint="eastAsia" w:cs="宋体"/>
          <w:b/>
          <w:sz w:val="22"/>
          <w:szCs w:val="22"/>
        </w:rPr>
        <w:t>2、乙方的权利和义务</w:t>
      </w:r>
    </w:p>
    <w:p>
      <w:pPr>
        <w:spacing w:line="360" w:lineRule="auto"/>
        <w:ind w:left="389" w:hanging="389" w:hangingChars="177"/>
        <w:rPr>
          <w:rFonts w:ascii="宋体" w:hAnsi="宋体" w:cs="宋体"/>
          <w:kern w:val="0"/>
          <w:sz w:val="22"/>
          <w:szCs w:val="22"/>
        </w:rPr>
      </w:pPr>
      <w:r>
        <w:rPr>
          <w:rFonts w:hint="eastAsia" w:ascii="宋体" w:hAnsi="宋体" w:cs="宋体"/>
          <w:kern w:val="0"/>
          <w:sz w:val="22"/>
          <w:szCs w:val="22"/>
        </w:rPr>
        <w:t>2.1 乙方需投入合格、充足的技术人员和施工人员进行项目实施，提供所承担项目实施的全部软硬件环境。</w:t>
      </w:r>
    </w:p>
    <w:p>
      <w:pPr>
        <w:spacing w:line="360" w:lineRule="auto"/>
        <w:ind w:left="389" w:hanging="389" w:hangingChars="177"/>
        <w:rPr>
          <w:rFonts w:ascii="宋体" w:hAnsi="宋体" w:cs="宋体"/>
          <w:sz w:val="22"/>
          <w:szCs w:val="22"/>
        </w:rPr>
      </w:pPr>
      <w:r>
        <w:rPr>
          <w:rFonts w:hint="eastAsia" w:ascii="宋体" w:hAnsi="宋体" w:cs="宋体"/>
          <w:kern w:val="0"/>
          <w:sz w:val="22"/>
          <w:szCs w:val="22"/>
        </w:rPr>
        <w:t>2.2 乙方负责与甲方协商后提出的《项目技术和要求》。乙方应按期按质进行项目实施工作，如因乙方原因导致开发工作延迟或停顿的，由乙方承担责任。</w:t>
      </w:r>
    </w:p>
    <w:p>
      <w:pPr>
        <w:spacing w:line="360" w:lineRule="auto"/>
        <w:ind w:left="389" w:hanging="389" w:hangingChars="177"/>
        <w:rPr>
          <w:rFonts w:ascii="宋体" w:hAnsi="宋体" w:cs="宋体"/>
          <w:kern w:val="0"/>
          <w:sz w:val="22"/>
          <w:szCs w:val="22"/>
        </w:rPr>
      </w:pPr>
      <w:r>
        <w:rPr>
          <w:rFonts w:hint="eastAsia" w:ascii="宋体" w:hAnsi="宋体" w:cs="宋体"/>
          <w:kern w:val="0"/>
          <w:sz w:val="22"/>
          <w:szCs w:val="22"/>
        </w:rPr>
        <w:t xml:space="preserve">2.3 </w:t>
      </w:r>
      <w:r>
        <w:rPr>
          <w:rFonts w:hint="eastAsia" w:ascii="宋体" w:hAnsi="宋体" w:cs="宋体"/>
          <w:sz w:val="22"/>
          <w:szCs w:val="22"/>
        </w:rPr>
        <w:t>乙方应按本合同规定向甲方公开项目内容的有关技术细节，提供必要的技术资料，并向甲方相关人员提供培训和技术支持，确保甲方受训人员理解并掌握操作、管理和维护系统相关技术</w:t>
      </w:r>
      <w:r>
        <w:rPr>
          <w:rFonts w:hint="eastAsia" w:ascii="宋体" w:hAnsi="宋体" w:cs="宋体"/>
          <w:kern w:val="0"/>
          <w:sz w:val="22"/>
          <w:szCs w:val="22"/>
        </w:rPr>
        <w:t>。</w:t>
      </w:r>
    </w:p>
    <w:p>
      <w:pPr>
        <w:spacing w:line="360" w:lineRule="auto"/>
        <w:ind w:left="389" w:hanging="389" w:hangingChars="177"/>
        <w:rPr>
          <w:rFonts w:ascii="宋体" w:hAnsi="宋体" w:cs="宋体"/>
          <w:kern w:val="0"/>
          <w:sz w:val="22"/>
          <w:szCs w:val="22"/>
        </w:rPr>
      </w:pPr>
      <w:r>
        <w:rPr>
          <w:rFonts w:hint="eastAsia" w:ascii="宋体" w:hAnsi="宋体" w:cs="宋体"/>
          <w:kern w:val="0"/>
          <w:sz w:val="22"/>
          <w:szCs w:val="22"/>
        </w:rPr>
        <w:t>2.4  乙方所提供的一切资料应通过合法途径获得，任何第三方不得对该资料主张权利，否则，乙方应承担相应的责任，并承担由此给甲方造成的一切损失。</w:t>
      </w:r>
    </w:p>
    <w:p>
      <w:pPr>
        <w:spacing w:line="360" w:lineRule="auto"/>
        <w:ind w:left="389" w:hanging="389" w:hangingChars="177"/>
        <w:rPr>
          <w:rFonts w:ascii="宋体" w:hAnsi="宋体" w:cs="宋体"/>
          <w:kern w:val="0"/>
          <w:sz w:val="22"/>
          <w:szCs w:val="22"/>
        </w:rPr>
      </w:pPr>
      <w:r>
        <w:rPr>
          <w:rFonts w:hint="eastAsia" w:ascii="宋体" w:hAnsi="宋体" w:cs="宋体"/>
          <w:kern w:val="0"/>
          <w:sz w:val="22"/>
          <w:szCs w:val="22"/>
        </w:rPr>
        <w:t>2.5 因乙方施工包含所有内容的质量问题造成的甲方或第三方人身、财产损失，乙方负责全额赔偿；若甲方因设备质量问题对外承担了损害赔偿义务或其他义务的，乙方应弥补甲方为此支付的一切款项及承担的一切其他责任。</w:t>
      </w:r>
    </w:p>
    <w:p>
      <w:pPr>
        <w:spacing w:line="360" w:lineRule="auto"/>
        <w:rPr>
          <w:rFonts w:ascii="宋体" w:hAnsi="宋体" w:cs="宋体"/>
          <w:sz w:val="22"/>
          <w:szCs w:val="22"/>
        </w:rPr>
      </w:pPr>
      <w:r>
        <w:rPr>
          <w:rFonts w:hint="eastAsia" w:ascii="宋体" w:hAnsi="宋体" w:cs="宋体"/>
          <w:kern w:val="0"/>
          <w:sz w:val="22"/>
          <w:szCs w:val="22"/>
        </w:rPr>
        <w:t xml:space="preserve">2.6 </w:t>
      </w:r>
      <w:r>
        <w:rPr>
          <w:rFonts w:hint="eastAsia" w:ascii="宋体" w:hAnsi="宋体" w:cs="宋体"/>
          <w:sz w:val="22"/>
          <w:szCs w:val="22"/>
        </w:rPr>
        <w:t>乙方应每周召开开发例会，向甲方通报项目进度。</w:t>
      </w:r>
    </w:p>
    <w:p>
      <w:pPr>
        <w:spacing w:line="360" w:lineRule="auto"/>
        <w:rPr>
          <w:rFonts w:ascii="宋体" w:hAnsi="宋体" w:cs="宋体"/>
          <w:sz w:val="22"/>
          <w:szCs w:val="22"/>
        </w:rPr>
      </w:pPr>
      <w:r>
        <w:rPr>
          <w:rFonts w:hint="eastAsia" w:ascii="宋体" w:hAnsi="宋体" w:cs="宋体"/>
          <w:kern w:val="0"/>
          <w:sz w:val="22"/>
          <w:szCs w:val="22"/>
        </w:rPr>
        <w:t xml:space="preserve">2.7 </w:t>
      </w:r>
      <w:r>
        <w:rPr>
          <w:rFonts w:hint="eastAsia" w:ascii="宋体" w:hAnsi="宋体" w:cs="宋体"/>
          <w:sz w:val="22"/>
          <w:szCs w:val="22"/>
        </w:rPr>
        <w:t xml:space="preserve">乙方应按照甲方要求，及时提交和调整项目计划，按时提交项目周报。 </w:t>
      </w:r>
    </w:p>
    <w:p>
      <w:pPr>
        <w:spacing w:line="360" w:lineRule="auto"/>
        <w:rPr>
          <w:rFonts w:ascii="宋体" w:hAnsi="宋体" w:cs="宋体"/>
          <w:sz w:val="22"/>
          <w:szCs w:val="22"/>
        </w:rPr>
      </w:pPr>
      <w:r>
        <w:rPr>
          <w:rFonts w:hint="eastAsia" w:ascii="宋体" w:hAnsi="宋体" w:cs="宋体"/>
          <w:kern w:val="0"/>
          <w:sz w:val="22"/>
          <w:szCs w:val="22"/>
        </w:rPr>
        <w:t>2.9</w:t>
      </w:r>
      <w:r>
        <w:rPr>
          <w:rFonts w:hint="eastAsia" w:ascii="宋体" w:hAnsi="宋体" w:cs="宋体"/>
          <w:sz w:val="22"/>
          <w:szCs w:val="22"/>
        </w:rPr>
        <w:t xml:space="preserve">  乙方应协助甲方完成相关项目验收工作，包括收集、整理验收所需文档资料， 检查验收所需文档资料是否齐全、内容是否完备。 </w:t>
      </w:r>
    </w:p>
    <w:p>
      <w:pPr>
        <w:spacing w:line="360" w:lineRule="auto"/>
        <w:rPr>
          <w:rFonts w:ascii="宋体" w:hAnsi="宋体" w:cs="宋体"/>
          <w:kern w:val="0"/>
          <w:sz w:val="22"/>
          <w:szCs w:val="22"/>
        </w:rPr>
      </w:pPr>
      <w:r>
        <w:rPr>
          <w:rFonts w:hint="eastAsia" w:ascii="宋体" w:hAnsi="宋体" w:cs="宋体"/>
          <w:kern w:val="0"/>
          <w:sz w:val="22"/>
          <w:szCs w:val="22"/>
        </w:rPr>
        <w:t>2.10</w:t>
      </w:r>
      <w:r>
        <w:rPr>
          <w:rFonts w:hint="eastAsia" w:ascii="宋体" w:hAnsi="宋体" w:cs="宋体"/>
          <w:sz w:val="22"/>
          <w:szCs w:val="22"/>
        </w:rPr>
        <w:t xml:space="preserve"> 乙方需做好项目实施管理和项目人员管理，确保项目按计划保质量有步骤地实施。</w:t>
      </w:r>
    </w:p>
    <w:p>
      <w:pPr>
        <w:spacing w:line="360" w:lineRule="auto"/>
        <w:ind w:left="389" w:hanging="389" w:hangingChars="177"/>
        <w:rPr>
          <w:rFonts w:ascii="宋体" w:hAnsi="宋体" w:cs="宋体"/>
          <w:kern w:val="0"/>
          <w:sz w:val="22"/>
          <w:szCs w:val="22"/>
        </w:rPr>
      </w:pPr>
      <w:r>
        <w:rPr>
          <w:rFonts w:hint="eastAsia" w:ascii="宋体" w:hAnsi="宋体" w:cs="宋体"/>
          <w:kern w:val="0"/>
          <w:sz w:val="22"/>
          <w:szCs w:val="22"/>
        </w:rPr>
        <w:t>2.11在安装调试及验收过程发现的合同货物规格或质量问题时或</w:t>
      </w:r>
      <w:r>
        <w:rPr>
          <w:rFonts w:hint="eastAsia" w:ascii="宋体" w:hAnsi="宋体" w:cs="宋体"/>
          <w:sz w:val="22"/>
          <w:szCs w:val="22"/>
        </w:rPr>
        <w:t>系统出现故障问题</w:t>
      </w:r>
      <w:r>
        <w:rPr>
          <w:rFonts w:hint="eastAsia" w:ascii="宋体" w:hAnsi="宋体" w:cs="宋体"/>
          <w:kern w:val="0"/>
          <w:sz w:val="22"/>
          <w:szCs w:val="22"/>
        </w:rPr>
        <w:t>，乙方应及时采取补救措施，因此产生的费用由乙方承担；在开工前，向当地政府主管部门办理施工报批及有关安全施工手续（如需），并承担有关的费用。</w:t>
      </w:r>
    </w:p>
    <w:p>
      <w:pPr>
        <w:spacing w:line="360" w:lineRule="auto"/>
        <w:ind w:left="389" w:hanging="389" w:hangingChars="177"/>
        <w:rPr>
          <w:rFonts w:ascii="宋体" w:hAnsi="宋体" w:cs="宋体"/>
          <w:kern w:val="0"/>
          <w:sz w:val="22"/>
          <w:szCs w:val="22"/>
        </w:rPr>
      </w:pPr>
      <w:r>
        <w:rPr>
          <w:rFonts w:hint="eastAsia" w:ascii="宋体" w:hAnsi="宋体" w:cs="宋体"/>
          <w:kern w:val="0"/>
          <w:sz w:val="22"/>
          <w:szCs w:val="22"/>
        </w:rPr>
        <w:t>2.12在本工程经验收合格后，向甲方提交有关技术文件和验收文件，并办理实物移交手续，培训甲方相关技术人员。</w:t>
      </w:r>
    </w:p>
    <w:p>
      <w:pPr>
        <w:spacing w:line="360" w:lineRule="auto"/>
        <w:ind w:left="389" w:hanging="389" w:hangingChars="177"/>
        <w:rPr>
          <w:rFonts w:ascii="宋体" w:hAnsi="宋体" w:cs="宋体"/>
          <w:kern w:val="0"/>
          <w:sz w:val="22"/>
          <w:szCs w:val="22"/>
        </w:rPr>
      </w:pPr>
      <w:r>
        <w:rPr>
          <w:rFonts w:hint="eastAsia" w:ascii="宋体" w:hAnsi="宋体" w:cs="宋体"/>
          <w:kern w:val="0"/>
          <w:sz w:val="22"/>
          <w:szCs w:val="22"/>
        </w:rPr>
        <w:t>2.13乙方负责按本合同约定购买保险，并支付一切费用。</w:t>
      </w:r>
    </w:p>
    <w:p>
      <w:pPr>
        <w:spacing w:line="360" w:lineRule="auto"/>
        <w:ind w:left="389" w:hanging="389" w:hangingChars="177"/>
        <w:rPr>
          <w:rFonts w:hint="eastAsia" w:ascii="宋体" w:hAnsi="宋体" w:cs="宋体"/>
          <w:kern w:val="0"/>
          <w:sz w:val="22"/>
          <w:szCs w:val="22"/>
        </w:rPr>
      </w:pPr>
      <w:r>
        <w:rPr>
          <w:rFonts w:hint="eastAsia" w:ascii="宋体" w:hAnsi="宋体" w:cs="宋体"/>
          <w:kern w:val="0"/>
          <w:sz w:val="22"/>
          <w:szCs w:val="22"/>
        </w:rPr>
        <w:t>2.14乙方及乙方工作人员必须具备履行本合同所要求的一切合法有效的资质。2.15乙方应严格遵循甲方的响应时间，响应时间不超过2小时，到达现场的时间不得超过6小时，24小时内必须解决问题，24小时内因软件系统故障不能修复的，需提供应急处理方案并马上进行实施，至系统修复为止。如果乙方无法在6小时内到达现场，甲方有权委托第三方进行修复，所产生的费用由乙方承担。</w:t>
      </w:r>
    </w:p>
    <w:bookmarkEnd w:id="1022"/>
    <w:bookmarkEnd w:id="1023"/>
    <w:bookmarkEnd w:id="1024"/>
    <w:bookmarkEnd w:id="1025"/>
    <w:bookmarkEnd w:id="1026"/>
    <w:bookmarkEnd w:id="1027"/>
    <w:p>
      <w:pPr>
        <w:pStyle w:val="4"/>
        <w:spacing w:before="0" w:after="0" w:line="360" w:lineRule="auto"/>
        <w:ind w:left="0" w:firstLine="0"/>
        <w:rPr>
          <w:rFonts w:ascii="宋体" w:hAnsi="宋体" w:eastAsia="宋体" w:cs="宋体"/>
          <w:sz w:val="22"/>
          <w:szCs w:val="22"/>
        </w:rPr>
      </w:pPr>
      <w:bookmarkStart w:id="1028" w:name="_Toc390937927"/>
      <w:bookmarkStart w:id="1029" w:name="_Toc6893"/>
      <w:bookmarkStart w:id="1030" w:name="_Toc390937699"/>
      <w:bookmarkStart w:id="1031" w:name="_Toc14246"/>
      <w:bookmarkStart w:id="1032" w:name="_Toc512"/>
      <w:bookmarkStart w:id="1033" w:name="_Toc390938709"/>
      <w:bookmarkStart w:id="1034" w:name="_Toc428871945"/>
      <w:bookmarkStart w:id="1035" w:name="_Toc356480378"/>
      <w:bookmarkStart w:id="1036" w:name="_Toc1802_WPSOffice_Level1"/>
      <w:bookmarkStart w:id="1037" w:name="_Toc110411522"/>
      <w:bookmarkStart w:id="1038" w:name="_Toc110279020"/>
      <w:bookmarkStart w:id="1039" w:name="_Toc434218684"/>
      <w:r>
        <w:rPr>
          <w:rFonts w:hint="eastAsia" w:ascii="宋体" w:hAnsi="宋体" w:eastAsia="宋体" w:cs="宋体"/>
          <w:sz w:val="22"/>
          <w:szCs w:val="22"/>
        </w:rPr>
        <w:t>九、安全责任及保险</w:t>
      </w:r>
      <w:bookmarkEnd w:id="1028"/>
      <w:bookmarkEnd w:id="1029"/>
      <w:bookmarkEnd w:id="1030"/>
      <w:bookmarkEnd w:id="1031"/>
      <w:bookmarkEnd w:id="1032"/>
      <w:bookmarkEnd w:id="1033"/>
      <w:bookmarkEnd w:id="1034"/>
      <w:bookmarkEnd w:id="1035"/>
      <w:bookmarkEnd w:id="1036"/>
      <w:bookmarkEnd w:id="1037"/>
      <w:bookmarkEnd w:id="1038"/>
      <w:bookmarkEnd w:id="1039"/>
    </w:p>
    <w:p>
      <w:pPr>
        <w:spacing w:line="360" w:lineRule="auto"/>
        <w:rPr>
          <w:rFonts w:ascii="宋体" w:hAnsi="宋体" w:cs="宋体"/>
          <w:b/>
          <w:sz w:val="22"/>
          <w:szCs w:val="22"/>
        </w:rPr>
      </w:pPr>
      <w:r>
        <w:rPr>
          <w:rFonts w:hint="eastAsia" w:ascii="宋体" w:hAnsi="宋体" w:cs="宋体"/>
          <w:sz w:val="22"/>
          <w:szCs w:val="22"/>
        </w:rPr>
        <w:t>1、设备安装调试期间的设备安全和人身安全责任全部由乙方负责。</w:t>
      </w:r>
    </w:p>
    <w:p>
      <w:pPr>
        <w:spacing w:line="360" w:lineRule="auto"/>
        <w:ind w:left="345" w:hanging="345" w:hangingChars="157"/>
        <w:rPr>
          <w:rFonts w:ascii="宋体" w:hAnsi="宋体" w:cs="宋体"/>
          <w:b/>
          <w:sz w:val="22"/>
          <w:szCs w:val="22"/>
        </w:rPr>
      </w:pPr>
      <w:r>
        <w:rPr>
          <w:rFonts w:hint="eastAsia" w:ascii="宋体" w:hAnsi="宋体" w:cs="宋体"/>
          <w:sz w:val="22"/>
          <w:szCs w:val="22"/>
        </w:rPr>
        <w:t>2、乙方应对设备运输、安装和安装时的人身安全及第三者责任等进行保险，对上述过程的风险负全部责任。</w:t>
      </w:r>
    </w:p>
    <w:p>
      <w:pPr>
        <w:spacing w:line="360" w:lineRule="auto"/>
        <w:ind w:left="345" w:hanging="345" w:hangingChars="157"/>
        <w:rPr>
          <w:rFonts w:ascii="宋体" w:hAnsi="宋体" w:cs="宋体"/>
          <w:sz w:val="22"/>
          <w:szCs w:val="22"/>
        </w:rPr>
      </w:pPr>
      <w:r>
        <w:rPr>
          <w:rFonts w:hint="eastAsia" w:ascii="宋体" w:hAnsi="宋体" w:cs="宋体"/>
          <w:sz w:val="22"/>
          <w:szCs w:val="22"/>
        </w:rPr>
        <w:t>3、乙方进入甲方现场进行安装前，要与甲方签定相关的安全协议；进入现场安装调试的乙方人员要遵守甲方的规章制度，违反甲方的规章制度和自身原因造成的所有责任由乙方负责。</w:t>
      </w:r>
    </w:p>
    <w:p>
      <w:pPr>
        <w:pStyle w:val="4"/>
        <w:spacing w:before="0" w:after="0" w:line="360" w:lineRule="auto"/>
        <w:ind w:left="0" w:firstLine="0"/>
        <w:rPr>
          <w:rFonts w:ascii="宋体" w:hAnsi="宋体" w:eastAsia="宋体" w:cs="宋体"/>
          <w:sz w:val="22"/>
          <w:szCs w:val="22"/>
        </w:rPr>
      </w:pPr>
      <w:bookmarkStart w:id="1040" w:name="_Toc9325"/>
      <w:bookmarkStart w:id="1041" w:name="_Toc16144"/>
      <w:bookmarkStart w:id="1042" w:name="_Toc18576_WPSOffice_Level1"/>
      <w:bookmarkStart w:id="1043" w:name="_Toc7279"/>
      <w:bookmarkStart w:id="1044" w:name="_Toc287949072"/>
      <w:bookmarkStart w:id="1045" w:name="_Toc287783553"/>
      <w:bookmarkStart w:id="1046" w:name="_Toc434218690"/>
      <w:bookmarkStart w:id="1047" w:name="_Toc110411523"/>
      <w:bookmarkStart w:id="1048" w:name="_Toc428871951"/>
      <w:bookmarkStart w:id="1049" w:name="_Toc110279021"/>
      <w:bookmarkStart w:id="1050" w:name="_Toc356480379"/>
      <w:bookmarkStart w:id="1051" w:name="_Toc434218685"/>
      <w:bookmarkStart w:id="1052" w:name="_Toc390937700"/>
      <w:bookmarkStart w:id="1053" w:name="_Toc428871946"/>
      <w:bookmarkStart w:id="1054" w:name="_Toc390937928"/>
      <w:bookmarkStart w:id="1055" w:name="_Toc390938710"/>
      <w:r>
        <w:rPr>
          <w:rFonts w:hint="eastAsia" w:ascii="宋体" w:hAnsi="宋体" w:eastAsia="宋体" w:cs="宋体"/>
          <w:sz w:val="22"/>
          <w:szCs w:val="22"/>
        </w:rPr>
        <w:t>十、检查和培训</w:t>
      </w:r>
      <w:bookmarkEnd w:id="1040"/>
      <w:bookmarkEnd w:id="1041"/>
      <w:bookmarkEnd w:id="1042"/>
      <w:bookmarkEnd w:id="1043"/>
      <w:bookmarkEnd w:id="1044"/>
      <w:bookmarkEnd w:id="1045"/>
      <w:bookmarkEnd w:id="1046"/>
      <w:bookmarkEnd w:id="1047"/>
      <w:bookmarkEnd w:id="1048"/>
      <w:bookmarkEnd w:id="1049"/>
    </w:p>
    <w:p>
      <w:pPr>
        <w:spacing w:line="360" w:lineRule="auto"/>
        <w:ind w:left="295" w:hanging="294" w:hangingChars="134"/>
        <w:rPr>
          <w:rFonts w:ascii="宋体" w:hAnsi="宋体" w:cs="宋体"/>
          <w:sz w:val="22"/>
          <w:szCs w:val="22"/>
        </w:rPr>
      </w:pPr>
      <w:r>
        <w:rPr>
          <w:rFonts w:hint="eastAsia" w:ascii="宋体" w:hAnsi="宋体" w:cs="宋体"/>
          <w:sz w:val="22"/>
          <w:szCs w:val="22"/>
        </w:rPr>
        <w:t>1、甲方对合同系统和设备的制造工艺、材料和外购配套件选用的建议并不解除乙方根据合同对其所提供的产品的性能、质量与供货期应履行的义务。</w:t>
      </w:r>
    </w:p>
    <w:p>
      <w:pPr>
        <w:spacing w:line="360" w:lineRule="auto"/>
        <w:ind w:left="295" w:hanging="294" w:hangingChars="134"/>
        <w:rPr>
          <w:rFonts w:ascii="宋体" w:hAnsi="宋体" w:cs="宋体"/>
          <w:sz w:val="22"/>
          <w:szCs w:val="22"/>
        </w:rPr>
      </w:pPr>
      <w:r>
        <w:rPr>
          <w:rFonts w:hint="eastAsia" w:ascii="宋体" w:hAnsi="宋体" w:cs="宋体"/>
          <w:sz w:val="22"/>
          <w:szCs w:val="22"/>
        </w:rPr>
        <w:t>2、在甲方所在地的技术培训的培训教材、设备都由乙方提供，培训时间和地点由双方协商决定。</w:t>
      </w:r>
    </w:p>
    <w:p>
      <w:pPr>
        <w:spacing w:line="360" w:lineRule="auto"/>
        <w:ind w:left="295" w:hanging="294" w:hangingChars="134"/>
        <w:rPr>
          <w:rFonts w:ascii="宋体" w:hAnsi="宋体" w:cs="宋体"/>
          <w:sz w:val="22"/>
          <w:szCs w:val="22"/>
        </w:rPr>
      </w:pPr>
      <w:r>
        <w:rPr>
          <w:rFonts w:hint="eastAsia" w:ascii="宋体" w:hAnsi="宋体" w:cs="宋体"/>
          <w:sz w:val="22"/>
          <w:szCs w:val="22"/>
        </w:rPr>
        <w:t>3、乙方应派合格技术人员到甲方现场对甲方的管理人员、操作人员及维护人员进行技术培训，培训教材、设备由乙方提供，培训时间和地点由双方协商决定，培训已包括在合同范围内。培训结束后，乙方向甲方提供合同施工系统和设备的操作手册（含对应纸质版报告、word格式电子文件）；培训过程甲方无需再向乙方支付任何费用。</w:t>
      </w:r>
    </w:p>
    <w:p>
      <w:pPr>
        <w:pStyle w:val="4"/>
        <w:spacing w:before="0" w:after="0" w:line="360" w:lineRule="auto"/>
        <w:ind w:left="0" w:firstLine="0"/>
        <w:rPr>
          <w:rFonts w:ascii="宋体" w:hAnsi="宋体" w:eastAsia="宋体" w:cs="宋体"/>
          <w:sz w:val="22"/>
          <w:szCs w:val="22"/>
        </w:rPr>
      </w:pPr>
      <w:bookmarkStart w:id="1056" w:name="_Toc110411524"/>
      <w:bookmarkStart w:id="1057" w:name="_Toc17523"/>
      <w:bookmarkStart w:id="1058" w:name="_Toc7287"/>
      <w:bookmarkStart w:id="1059" w:name="_Toc110279022"/>
      <w:bookmarkStart w:id="1060" w:name="_Toc2858_WPSOffice_Level1"/>
      <w:bookmarkStart w:id="1061" w:name="_Toc20735"/>
      <w:r>
        <w:rPr>
          <w:rFonts w:hint="eastAsia" w:ascii="宋体" w:hAnsi="宋体" w:eastAsia="宋体" w:cs="宋体"/>
          <w:sz w:val="22"/>
          <w:szCs w:val="22"/>
        </w:rPr>
        <w:t>十一、调试、试运行和验收</w:t>
      </w:r>
      <w:bookmarkEnd w:id="1050"/>
      <w:bookmarkEnd w:id="1051"/>
      <w:bookmarkEnd w:id="1052"/>
      <w:bookmarkEnd w:id="1053"/>
      <w:bookmarkEnd w:id="1054"/>
      <w:bookmarkEnd w:id="1055"/>
      <w:bookmarkEnd w:id="1056"/>
      <w:bookmarkEnd w:id="1057"/>
      <w:bookmarkEnd w:id="1058"/>
      <w:bookmarkEnd w:id="1059"/>
      <w:bookmarkEnd w:id="1060"/>
      <w:bookmarkEnd w:id="1061"/>
    </w:p>
    <w:p>
      <w:pPr>
        <w:spacing w:line="360" w:lineRule="auto"/>
        <w:ind w:left="332" w:hanging="332" w:hangingChars="151"/>
        <w:rPr>
          <w:rFonts w:ascii="宋体" w:hAnsi="宋体" w:cs="宋体"/>
          <w:sz w:val="22"/>
          <w:szCs w:val="22"/>
        </w:rPr>
      </w:pPr>
      <w:r>
        <w:rPr>
          <w:rFonts w:hint="eastAsia" w:ascii="宋体" w:hAnsi="宋体" w:cs="宋体"/>
          <w:sz w:val="22"/>
          <w:szCs w:val="22"/>
        </w:rPr>
        <w:t>1、乙方按照项目的要求，在规定时间内完成项目内容的设计、研发、安装实施、测试、调试、 验收等工作。</w:t>
      </w:r>
    </w:p>
    <w:p>
      <w:pPr>
        <w:spacing w:line="360" w:lineRule="auto"/>
        <w:ind w:left="260" w:hanging="259" w:hangingChars="118"/>
        <w:rPr>
          <w:rFonts w:ascii="宋体" w:hAnsi="宋体" w:cs="宋体"/>
          <w:sz w:val="22"/>
          <w:szCs w:val="22"/>
        </w:rPr>
      </w:pPr>
      <w:r>
        <w:rPr>
          <w:rFonts w:hint="eastAsia" w:ascii="宋体" w:hAnsi="宋体" w:cs="宋体"/>
          <w:sz w:val="22"/>
          <w:szCs w:val="22"/>
        </w:rPr>
        <w:t>2、项目验收工作按本合同及设计图纸、技术资料及国家有关规范进行。为确保工程质量，可按项目实施内容分类，实行分部验收和总体验收，各部分验收内容均为总体验收的依据。</w:t>
      </w:r>
    </w:p>
    <w:p>
      <w:pPr>
        <w:spacing w:line="360" w:lineRule="auto"/>
        <w:rPr>
          <w:rFonts w:ascii="宋体" w:hAnsi="宋体" w:cs="宋体"/>
          <w:sz w:val="22"/>
          <w:szCs w:val="22"/>
        </w:rPr>
      </w:pPr>
      <w:r>
        <w:rPr>
          <w:rFonts w:hint="eastAsia" w:ascii="宋体" w:hAnsi="宋体" w:cs="宋体"/>
          <w:sz w:val="22"/>
          <w:szCs w:val="22"/>
        </w:rPr>
        <w:t>3、试运行、总体验收</w:t>
      </w:r>
    </w:p>
    <w:p>
      <w:pPr>
        <w:spacing w:line="360" w:lineRule="auto"/>
        <w:ind w:firstLine="431" w:firstLineChars="196"/>
        <w:rPr>
          <w:rFonts w:ascii="宋体" w:hAnsi="宋体" w:cs="宋体"/>
          <w:sz w:val="22"/>
          <w:szCs w:val="22"/>
        </w:rPr>
      </w:pPr>
      <w:r>
        <w:rPr>
          <w:rFonts w:hint="eastAsia" w:ascii="宋体" w:hAnsi="宋体" w:cs="宋体"/>
          <w:sz w:val="22"/>
          <w:szCs w:val="22"/>
        </w:rPr>
        <w:t>甲方根据合同条款和国家相关标准组织总体验收。</w:t>
      </w:r>
    </w:p>
    <w:p>
      <w:pPr>
        <w:pStyle w:val="31"/>
        <w:numPr>
          <w:ilvl w:val="0"/>
          <w:numId w:val="103"/>
        </w:numPr>
        <w:spacing w:after="0" w:line="360" w:lineRule="auto"/>
        <w:ind w:firstLine="0" w:firstLineChars="0"/>
        <w:rPr>
          <w:rFonts w:hAnsi="宋体" w:cs="宋体"/>
          <w:sz w:val="22"/>
          <w:szCs w:val="22"/>
        </w:rPr>
      </w:pPr>
      <w:r>
        <w:rPr>
          <w:rFonts w:hint="eastAsia" w:hAnsi="宋体" w:cs="宋体"/>
          <w:sz w:val="22"/>
          <w:szCs w:val="22"/>
        </w:rPr>
        <w:t xml:space="preserve">文档交付 </w:t>
      </w:r>
    </w:p>
    <w:p>
      <w:pPr>
        <w:pStyle w:val="31"/>
        <w:spacing w:after="0" w:line="360" w:lineRule="auto"/>
        <w:ind w:firstLine="440" w:firstLineChars="200"/>
        <w:rPr>
          <w:rFonts w:hAnsi="宋体" w:cs="宋体"/>
          <w:sz w:val="22"/>
          <w:szCs w:val="22"/>
        </w:rPr>
      </w:pPr>
      <w:r>
        <w:rPr>
          <w:rFonts w:hint="eastAsia" w:hAnsi="宋体" w:cs="宋体"/>
          <w:sz w:val="22"/>
          <w:szCs w:val="22"/>
        </w:rPr>
        <w:t xml:space="preserve">乙方应向甲方提交包括但不限于下列文档（若有）： </w:t>
      </w:r>
    </w:p>
    <w:p>
      <w:pPr>
        <w:pStyle w:val="31"/>
        <w:numPr>
          <w:ilvl w:val="0"/>
          <w:numId w:val="104"/>
        </w:numPr>
        <w:spacing w:after="0" w:line="360" w:lineRule="auto"/>
        <w:ind w:firstLine="440" w:firstLineChars="200"/>
        <w:rPr>
          <w:rFonts w:hAnsi="宋体" w:cs="宋体"/>
          <w:sz w:val="22"/>
          <w:szCs w:val="22"/>
        </w:rPr>
      </w:pPr>
      <w:r>
        <w:rPr>
          <w:rFonts w:hint="eastAsia" w:hAnsi="宋体" w:cs="宋体"/>
          <w:sz w:val="22"/>
          <w:szCs w:val="22"/>
        </w:rPr>
        <w:t xml:space="preserve">需求规格说明书； </w:t>
      </w:r>
    </w:p>
    <w:p>
      <w:pPr>
        <w:pStyle w:val="31"/>
        <w:numPr>
          <w:ilvl w:val="0"/>
          <w:numId w:val="104"/>
        </w:numPr>
        <w:spacing w:after="0" w:line="360" w:lineRule="auto"/>
        <w:ind w:firstLine="440" w:firstLineChars="200"/>
        <w:rPr>
          <w:rFonts w:hAnsi="宋体" w:cs="宋体"/>
          <w:sz w:val="22"/>
          <w:szCs w:val="22"/>
        </w:rPr>
      </w:pPr>
      <w:r>
        <w:rPr>
          <w:rFonts w:hint="eastAsia" w:hAnsi="宋体" w:cs="宋体"/>
          <w:sz w:val="22"/>
          <w:szCs w:val="22"/>
        </w:rPr>
        <w:t xml:space="preserve"> 总体设计说明书；</w:t>
      </w:r>
    </w:p>
    <w:p>
      <w:pPr>
        <w:pStyle w:val="31"/>
        <w:numPr>
          <w:ilvl w:val="0"/>
          <w:numId w:val="104"/>
        </w:numPr>
        <w:spacing w:after="0" w:line="360" w:lineRule="auto"/>
        <w:ind w:firstLine="440" w:firstLineChars="200"/>
        <w:rPr>
          <w:rFonts w:hAnsi="宋体" w:cs="宋体"/>
          <w:sz w:val="22"/>
          <w:szCs w:val="22"/>
        </w:rPr>
      </w:pPr>
      <w:r>
        <w:rPr>
          <w:rFonts w:hint="eastAsia" w:hAnsi="宋体" w:cs="宋体"/>
          <w:sz w:val="22"/>
          <w:szCs w:val="22"/>
        </w:rPr>
        <w:t xml:space="preserve"> 数据及数据库设计要求说明书 </w:t>
      </w:r>
    </w:p>
    <w:p>
      <w:pPr>
        <w:pStyle w:val="31"/>
        <w:numPr>
          <w:ilvl w:val="0"/>
          <w:numId w:val="104"/>
        </w:numPr>
        <w:spacing w:after="0" w:line="360" w:lineRule="auto"/>
        <w:ind w:firstLine="440" w:firstLineChars="200"/>
        <w:rPr>
          <w:rFonts w:hAnsi="宋体" w:cs="宋体"/>
          <w:sz w:val="22"/>
          <w:szCs w:val="22"/>
        </w:rPr>
      </w:pPr>
      <w:r>
        <w:rPr>
          <w:rFonts w:hint="eastAsia" w:hAnsi="宋体" w:cs="宋体"/>
          <w:sz w:val="22"/>
          <w:szCs w:val="22"/>
        </w:rPr>
        <w:t xml:space="preserve"> 详细设计说明书； </w:t>
      </w:r>
    </w:p>
    <w:p>
      <w:pPr>
        <w:pStyle w:val="31"/>
        <w:numPr>
          <w:ilvl w:val="0"/>
          <w:numId w:val="104"/>
        </w:numPr>
        <w:spacing w:after="0" w:line="360" w:lineRule="auto"/>
        <w:ind w:firstLine="440" w:firstLineChars="200"/>
        <w:rPr>
          <w:rFonts w:hAnsi="宋体" w:cs="宋体"/>
          <w:sz w:val="22"/>
          <w:szCs w:val="22"/>
        </w:rPr>
      </w:pPr>
      <w:r>
        <w:rPr>
          <w:rFonts w:hint="eastAsia" w:hAnsi="宋体" w:cs="宋体"/>
          <w:sz w:val="22"/>
          <w:szCs w:val="22"/>
        </w:rPr>
        <w:t xml:space="preserve"> 操作手册； </w:t>
      </w:r>
    </w:p>
    <w:p>
      <w:pPr>
        <w:pStyle w:val="31"/>
        <w:numPr>
          <w:ilvl w:val="0"/>
          <w:numId w:val="104"/>
        </w:numPr>
        <w:spacing w:after="0" w:line="360" w:lineRule="auto"/>
        <w:ind w:firstLine="440" w:firstLineChars="200"/>
        <w:rPr>
          <w:rFonts w:hAnsi="宋体" w:cs="宋体"/>
          <w:sz w:val="22"/>
          <w:szCs w:val="22"/>
        </w:rPr>
      </w:pPr>
      <w:r>
        <w:rPr>
          <w:rFonts w:hint="eastAsia" w:hAnsi="宋体" w:cs="宋体"/>
          <w:sz w:val="22"/>
          <w:szCs w:val="22"/>
        </w:rPr>
        <w:t xml:space="preserve"> 测试计划；  </w:t>
      </w:r>
    </w:p>
    <w:p>
      <w:pPr>
        <w:pStyle w:val="31"/>
        <w:numPr>
          <w:ilvl w:val="0"/>
          <w:numId w:val="104"/>
        </w:numPr>
        <w:spacing w:after="0" w:line="360" w:lineRule="auto"/>
        <w:ind w:firstLine="440" w:firstLineChars="200"/>
        <w:rPr>
          <w:rFonts w:hAnsi="宋体" w:cs="宋体"/>
          <w:sz w:val="22"/>
          <w:szCs w:val="22"/>
        </w:rPr>
      </w:pPr>
      <w:r>
        <w:rPr>
          <w:rFonts w:hint="eastAsia" w:hAnsi="宋体" w:cs="宋体"/>
          <w:sz w:val="22"/>
          <w:szCs w:val="22"/>
        </w:rPr>
        <w:t xml:space="preserve"> 测试报告； </w:t>
      </w:r>
    </w:p>
    <w:p>
      <w:pPr>
        <w:pStyle w:val="31"/>
        <w:numPr>
          <w:ilvl w:val="0"/>
          <w:numId w:val="104"/>
        </w:numPr>
        <w:spacing w:after="0" w:line="360" w:lineRule="auto"/>
        <w:ind w:firstLine="440" w:firstLineChars="200"/>
        <w:rPr>
          <w:rFonts w:hAnsi="宋体" w:cs="宋体"/>
          <w:sz w:val="22"/>
          <w:szCs w:val="22"/>
        </w:rPr>
      </w:pPr>
      <w:r>
        <w:rPr>
          <w:rFonts w:hint="eastAsia" w:hAnsi="宋体" w:cs="宋体"/>
          <w:sz w:val="22"/>
          <w:szCs w:val="22"/>
        </w:rPr>
        <w:t xml:space="preserve"> 用户手册； </w:t>
      </w:r>
    </w:p>
    <w:p>
      <w:pPr>
        <w:pStyle w:val="31"/>
        <w:numPr>
          <w:ilvl w:val="0"/>
          <w:numId w:val="104"/>
        </w:numPr>
        <w:spacing w:after="0" w:line="360" w:lineRule="auto"/>
        <w:ind w:firstLine="440" w:firstLineChars="200"/>
        <w:rPr>
          <w:rFonts w:hAnsi="宋体" w:cs="宋体"/>
          <w:sz w:val="22"/>
          <w:szCs w:val="22"/>
        </w:rPr>
      </w:pPr>
      <w:r>
        <w:rPr>
          <w:rFonts w:hint="eastAsia" w:hAnsi="宋体" w:cs="宋体"/>
          <w:sz w:val="22"/>
          <w:szCs w:val="22"/>
        </w:rPr>
        <w:t xml:space="preserve"> 软件接口规范（软件）； </w:t>
      </w:r>
    </w:p>
    <w:p>
      <w:pPr>
        <w:pStyle w:val="31"/>
        <w:numPr>
          <w:ilvl w:val="0"/>
          <w:numId w:val="104"/>
        </w:numPr>
        <w:spacing w:after="0" w:line="360" w:lineRule="auto"/>
        <w:ind w:firstLine="440" w:firstLineChars="200"/>
        <w:rPr>
          <w:rFonts w:hAnsi="宋体" w:cs="宋体"/>
          <w:sz w:val="22"/>
          <w:szCs w:val="22"/>
        </w:rPr>
      </w:pPr>
      <w:r>
        <w:rPr>
          <w:rFonts w:hint="eastAsia" w:hAnsi="宋体" w:cs="宋体"/>
          <w:sz w:val="22"/>
          <w:szCs w:val="22"/>
        </w:rPr>
        <w:t xml:space="preserve"> 项目计划书； </w:t>
      </w:r>
    </w:p>
    <w:p>
      <w:pPr>
        <w:pStyle w:val="31"/>
        <w:numPr>
          <w:ilvl w:val="0"/>
          <w:numId w:val="104"/>
        </w:numPr>
        <w:spacing w:after="0" w:line="360" w:lineRule="auto"/>
        <w:ind w:firstLine="440" w:firstLineChars="200"/>
        <w:rPr>
          <w:rFonts w:hAnsi="宋体" w:cs="宋体"/>
          <w:sz w:val="22"/>
          <w:szCs w:val="22"/>
        </w:rPr>
      </w:pPr>
      <w:r>
        <w:rPr>
          <w:rFonts w:hint="eastAsia" w:hAnsi="宋体" w:cs="宋体"/>
          <w:sz w:val="22"/>
          <w:szCs w:val="22"/>
        </w:rPr>
        <w:t>用户培训计划；</w:t>
      </w:r>
    </w:p>
    <w:p>
      <w:pPr>
        <w:pStyle w:val="31"/>
        <w:numPr>
          <w:ilvl w:val="0"/>
          <w:numId w:val="104"/>
        </w:numPr>
        <w:spacing w:after="0" w:line="360" w:lineRule="auto"/>
        <w:ind w:firstLine="440" w:firstLineChars="200"/>
        <w:rPr>
          <w:rFonts w:hAnsi="宋体" w:cs="宋体"/>
          <w:sz w:val="22"/>
          <w:szCs w:val="22"/>
        </w:rPr>
      </w:pPr>
      <w:r>
        <w:rPr>
          <w:rFonts w:hint="eastAsia" w:hAnsi="宋体" w:cs="宋体"/>
          <w:sz w:val="22"/>
          <w:szCs w:val="22"/>
        </w:rPr>
        <w:t xml:space="preserve">系统试运行报告； </w:t>
      </w:r>
    </w:p>
    <w:p>
      <w:pPr>
        <w:pStyle w:val="31"/>
        <w:numPr>
          <w:ilvl w:val="0"/>
          <w:numId w:val="104"/>
        </w:numPr>
        <w:spacing w:after="0" w:line="360" w:lineRule="auto"/>
        <w:ind w:firstLine="440" w:firstLineChars="200"/>
        <w:rPr>
          <w:rFonts w:hAnsi="宋体" w:cs="宋体"/>
          <w:sz w:val="22"/>
          <w:szCs w:val="22"/>
        </w:rPr>
      </w:pPr>
      <w:r>
        <w:rPr>
          <w:rFonts w:hint="eastAsia" w:hAnsi="宋体" w:cs="宋体"/>
          <w:sz w:val="22"/>
          <w:szCs w:val="22"/>
        </w:rPr>
        <w:t xml:space="preserve">会议记录； </w:t>
      </w:r>
    </w:p>
    <w:p>
      <w:pPr>
        <w:pStyle w:val="31"/>
        <w:numPr>
          <w:ilvl w:val="0"/>
          <w:numId w:val="104"/>
        </w:numPr>
        <w:spacing w:after="0" w:line="360" w:lineRule="auto"/>
        <w:ind w:firstLine="440" w:firstLineChars="200"/>
        <w:rPr>
          <w:rFonts w:hAnsi="宋体" w:cs="宋体"/>
          <w:sz w:val="22"/>
          <w:szCs w:val="22"/>
        </w:rPr>
      </w:pPr>
      <w:r>
        <w:rPr>
          <w:rFonts w:hint="eastAsia" w:hAnsi="宋体" w:cs="宋体"/>
          <w:sz w:val="22"/>
          <w:szCs w:val="22"/>
        </w:rPr>
        <w:t>项目进度月报。</w:t>
      </w:r>
    </w:p>
    <w:p>
      <w:pPr>
        <w:numPr>
          <w:ilvl w:val="0"/>
          <w:numId w:val="103"/>
        </w:numPr>
        <w:spacing w:line="360" w:lineRule="auto"/>
        <w:rPr>
          <w:rFonts w:ascii="宋体" w:hAnsi="宋体" w:cs="宋体"/>
          <w:sz w:val="22"/>
          <w:szCs w:val="22"/>
        </w:rPr>
      </w:pPr>
      <w:r>
        <w:rPr>
          <w:rFonts w:hint="eastAsia" w:ascii="宋体" w:hAnsi="宋体" w:cs="宋体"/>
          <w:sz w:val="22"/>
          <w:szCs w:val="22"/>
        </w:rPr>
        <w:t>验收签字</w:t>
      </w:r>
    </w:p>
    <w:p>
      <w:pPr>
        <w:spacing w:line="360" w:lineRule="auto"/>
        <w:ind w:firstLine="440" w:firstLineChars="200"/>
        <w:rPr>
          <w:rFonts w:ascii="宋体" w:hAnsi="宋体" w:cs="宋体"/>
          <w:sz w:val="22"/>
          <w:szCs w:val="22"/>
        </w:rPr>
      </w:pPr>
      <w:r>
        <w:rPr>
          <w:rFonts w:hint="eastAsia" w:ascii="宋体" w:hAnsi="宋体" w:cs="宋体"/>
          <w:sz w:val="22"/>
          <w:szCs w:val="22"/>
        </w:rPr>
        <w:t>项目完成的技术成果，达到了本合同所列的技术指标，以甲乙双方签字确认的《项目需求说明书》和《项目技术标准和要求》为验收依据，由甲方联合专家成立验收小组，组织验收并出具项目验收报告：</w:t>
      </w:r>
    </w:p>
    <w:p>
      <w:pPr>
        <w:spacing w:line="360" w:lineRule="auto"/>
        <w:rPr>
          <w:rFonts w:ascii="宋体" w:hAnsi="宋体" w:cs="宋体"/>
          <w:sz w:val="22"/>
          <w:szCs w:val="22"/>
        </w:rPr>
      </w:pPr>
      <w:r>
        <w:rPr>
          <w:rFonts w:hint="eastAsia" w:ascii="宋体" w:hAnsi="宋体" w:cs="宋体"/>
          <w:sz w:val="22"/>
          <w:szCs w:val="22"/>
        </w:rPr>
        <w:t>（1）分部验收合格后，由双方代表在验收报告书上签字；</w:t>
      </w:r>
    </w:p>
    <w:p>
      <w:pPr>
        <w:spacing w:line="360" w:lineRule="auto"/>
        <w:rPr>
          <w:rFonts w:ascii="宋体" w:hAnsi="宋体" w:cs="宋体"/>
          <w:sz w:val="22"/>
          <w:szCs w:val="22"/>
        </w:rPr>
      </w:pPr>
      <w:r>
        <w:rPr>
          <w:rFonts w:hint="eastAsia" w:ascii="宋体" w:hAnsi="宋体" w:cs="宋体"/>
          <w:sz w:val="22"/>
          <w:szCs w:val="22"/>
        </w:rPr>
        <w:t>（2）项目总体验收合格后，双方在验收报告书上签字、盖章、并正式移交。</w:t>
      </w:r>
    </w:p>
    <w:p>
      <w:pPr>
        <w:pStyle w:val="4"/>
        <w:spacing w:before="0" w:after="0" w:line="360" w:lineRule="auto"/>
        <w:ind w:left="0" w:firstLine="0"/>
        <w:rPr>
          <w:rFonts w:ascii="宋体" w:hAnsi="宋体" w:eastAsia="宋体" w:cs="宋体"/>
          <w:sz w:val="22"/>
          <w:szCs w:val="22"/>
        </w:rPr>
      </w:pPr>
      <w:bookmarkStart w:id="1062" w:name="_Toc390937703"/>
      <w:bookmarkStart w:id="1063" w:name="_Toc6061"/>
      <w:bookmarkStart w:id="1064" w:name="_Toc7305_WPSOffice_Level1"/>
      <w:bookmarkStart w:id="1065" w:name="_Toc390938713"/>
      <w:bookmarkStart w:id="1066" w:name="_Toc428871948"/>
      <w:bookmarkStart w:id="1067" w:name="_Toc434218687"/>
      <w:bookmarkStart w:id="1068" w:name="_Toc390937931"/>
      <w:bookmarkStart w:id="1069" w:name="_Toc356480382"/>
      <w:bookmarkStart w:id="1070" w:name="_Toc30630"/>
      <w:bookmarkStart w:id="1071" w:name="_Toc30995"/>
      <w:bookmarkStart w:id="1072" w:name="_Toc110279023"/>
      <w:bookmarkStart w:id="1073" w:name="_Toc110411525"/>
      <w:r>
        <w:rPr>
          <w:rFonts w:hint="eastAsia" w:ascii="宋体" w:hAnsi="宋体" w:eastAsia="宋体" w:cs="宋体"/>
          <w:sz w:val="22"/>
          <w:szCs w:val="22"/>
        </w:rPr>
        <w:t>十二、</w:t>
      </w:r>
      <w:bookmarkEnd w:id="1062"/>
      <w:bookmarkEnd w:id="1063"/>
      <w:bookmarkEnd w:id="1064"/>
      <w:bookmarkEnd w:id="1065"/>
      <w:bookmarkEnd w:id="1066"/>
      <w:bookmarkEnd w:id="1067"/>
      <w:bookmarkEnd w:id="1068"/>
      <w:bookmarkEnd w:id="1069"/>
      <w:bookmarkStart w:id="1074" w:name="_Toc390937932"/>
      <w:bookmarkStart w:id="1075" w:name="_Toc390938714"/>
      <w:bookmarkStart w:id="1076" w:name="_Toc390937704"/>
      <w:bookmarkStart w:id="1077" w:name="_Toc356480383"/>
      <w:bookmarkStart w:id="1078" w:name="_Toc428871949"/>
      <w:bookmarkStart w:id="1079" w:name="_Toc20694_WPSOffice_Level1"/>
      <w:bookmarkStart w:id="1080" w:name="_Toc1719"/>
      <w:bookmarkStart w:id="1081" w:name="_Toc434218688"/>
      <w:r>
        <w:rPr>
          <w:rFonts w:hint="eastAsia" w:ascii="宋体" w:hAnsi="宋体" w:eastAsia="宋体" w:cs="宋体"/>
          <w:sz w:val="22"/>
          <w:szCs w:val="22"/>
        </w:rPr>
        <w:t>售后服务</w:t>
      </w:r>
      <w:bookmarkEnd w:id="1070"/>
      <w:bookmarkEnd w:id="1071"/>
      <w:bookmarkEnd w:id="1072"/>
      <w:bookmarkEnd w:id="1073"/>
      <w:bookmarkEnd w:id="1074"/>
      <w:bookmarkEnd w:id="1075"/>
      <w:bookmarkEnd w:id="1076"/>
      <w:bookmarkEnd w:id="1077"/>
      <w:bookmarkEnd w:id="1078"/>
      <w:bookmarkEnd w:id="1079"/>
      <w:bookmarkEnd w:id="1080"/>
      <w:bookmarkEnd w:id="1081"/>
    </w:p>
    <w:p>
      <w:pPr>
        <w:spacing w:line="360" w:lineRule="auto"/>
        <w:ind w:left="359" w:hanging="358" w:hangingChars="163"/>
        <w:rPr>
          <w:rFonts w:ascii="宋体" w:hAnsi="宋体" w:cs="宋体"/>
          <w:sz w:val="22"/>
          <w:szCs w:val="22"/>
        </w:rPr>
      </w:pPr>
      <w:r>
        <w:rPr>
          <w:rFonts w:hint="eastAsia" w:ascii="宋体" w:hAnsi="宋体" w:cs="宋体"/>
          <w:sz w:val="22"/>
          <w:szCs w:val="22"/>
        </w:rPr>
        <w:t>1、为了使甲方操作人员能掌握合同系统和设备日常操作、维护等，乙方在实施过程中培训甲方指定的有资格的操作人员，培训期至本工程项目验收合格之日后的6个月终止。乙方无条件提供长期技术支持。</w:t>
      </w:r>
    </w:p>
    <w:p>
      <w:pPr>
        <w:spacing w:line="360" w:lineRule="auto"/>
        <w:ind w:left="359" w:hanging="358" w:hangingChars="163"/>
        <w:rPr>
          <w:rFonts w:ascii="宋体" w:hAnsi="宋体" w:cs="宋体"/>
          <w:b/>
          <w:sz w:val="22"/>
          <w:szCs w:val="22"/>
        </w:rPr>
      </w:pPr>
      <w:r>
        <w:rPr>
          <w:rFonts w:hint="eastAsia" w:ascii="宋体" w:hAnsi="宋体" w:cs="宋体"/>
          <w:sz w:val="22"/>
          <w:szCs w:val="22"/>
        </w:rPr>
        <w:t>2、运行维护期内合同系统和设备发生故障时，乙方派驻不少于</w:t>
      </w:r>
      <w:r>
        <w:rPr>
          <w:rFonts w:hint="eastAsia" w:ascii="宋体" w:hAnsi="宋体" w:cs="宋体"/>
          <w:sz w:val="22"/>
          <w:szCs w:val="22"/>
          <w:lang w:eastAsia="zh-CN"/>
        </w:rPr>
        <w:t>2人</w:t>
      </w:r>
      <w:r>
        <w:rPr>
          <w:rFonts w:hint="eastAsia" w:ascii="宋体" w:hAnsi="宋体" w:cs="宋体"/>
          <w:sz w:val="22"/>
          <w:szCs w:val="22"/>
        </w:rPr>
        <w:t>驻场运维小组，全权负责系统运维和功能优化，甲方也可派驻相应团队参加一起负责项目运维，费用由乙方承担。</w:t>
      </w:r>
    </w:p>
    <w:p>
      <w:pPr>
        <w:spacing w:line="360" w:lineRule="auto"/>
        <w:ind w:left="359" w:hanging="359" w:firstLineChars="0"/>
        <w:rPr>
          <w:rFonts w:hint="eastAsia" w:ascii="宋体" w:hAnsi="宋体" w:cs="宋体"/>
          <w:sz w:val="22"/>
          <w:szCs w:val="22"/>
        </w:rPr>
      </w:pPr>
      <w:r>
        <w:rPr>
          <w:rFonts w:hint="eastAsia" w:ascii="宋体" w:hAnsi="宋体" w:cs="宋体"/>
          <w:sz w:val="22"/>
          <w:szCs w:val="22"/>
        </w:rPr>
        <w:t>3、运行维护期满后，如系统出现由于设计或制造质量、安装等原因而引起故障，乙方应协助甲方妥善解决。</w:t>
      </w:r>
    </w:p>
    <w:p>
      <w:pPr>
        <w:spacing w:line="360" w:lineRule="auto"/>
        <w:ind w:left="359" w:hanging="359" w:firstLineChars="0"/>
        <w:rPr>
          <w:rFonts w:ascii="宋体" w:hAnsi="宋体" w:cs="宋体"/>
          <w:b w:val="0"/>
          <w:kern w:val="0"/>
          <w:sz w:val="22"/>
          <w:szCs w:val="22"/>
        </w:rPr>
      </w:pPr>
      <w:r>
        <w:rPr>
          <w:rFonts w:hint="eastAsia" w:ascii="宋体" w:hAnsi="宋体" w:cs="宋体"/>
          <w:sz w:val="22"/>
          <w:szCs w:val="22"/>
        </w:rPr>
        <w:t>4、</w:t>
      </w:r>
      <w:r>
        <w:rPr>
          <w:rFonts w:hint="eastAsia" w:ascii="宋体" w:hAnsi="宋体" w:cs="宋体"/>
          <w:kern w:val="0"/>
          <w:sz w:val="22"/>
          <w:szCs w:val="22"/>
        </w:rPr>
        <w:t>如乙方交付的系统有明显瑕疵或是隐含缺陷显现，给甲方造成损失的，不论是否在</w:t>
      </w:r>
      <w:r>
        <w:rPr>
          <w:rFonts w:hint="eastAsia" w:ascii="宋体" w:hAnsi="宋体" w:cs="宋体"/>
          <w:sz w:val="22"/>
          <w:szCs w:val="22"/>
        </w:rPr>
        <w:t>运行维护期</w:t>
      </w:r>
      <w:r>
        <w:rPr>
          <w:rFonts w:hint="eastAsia" w:ascii="宋体" w:hAnsi="宋体" w:cs="宋体"/>
          <w:kern w:val="0"/>
          <w:sz w:val="22"/>
          <w:szCs w:val="22"/>
        </w:rPr>
        <w:t>，乙方都有义务及时排除障碍，并承担相应的违约责任，乙方除按合同金额的20%向甲方支付违约金外，还应对甲方的实际损失进行赔偿。</w:t>
      </w:r>
    </w:p>
    <w:p>
      <w:pPr>
        <w:spacing w:line="360" w:lineRule="auto"/>
        <w:ind w:left="359" w:hanging="358" w:hangingChars="163"/>
        <w:rPr>
          <w:rFonts w:ascii="宋体" w:hAnsi="宋体" w:cs="宋体"/>
          <w:sz w:val="22"/>
          <w:szCs w:val="22"/>
        </w:rPr>
      </w:pPr>
      <w:r>
        <w:rPr>
          <w:rFonts w:hint="eastAsia" w:ascii="宋体" w:hAnsi="宋体" w:cs="宋体"/>
          <w:sz w:val="22"/>
          <w:szCs w:val="22"/>
        </w:rPr>
        <w:t>5、甲方在系统的使用维修过程中如遇到困难，经向乙方提出后，乙方应提供相应的技术协助和支持。</w:t>
      </w:r>
    </w:p>
    <w:p>
      <w:pPr>
        <w:pStyle w:val="4"/>
        <w:spacing w:before="0" w:after="0" w:line="360" w:lineRule="auto"/>
        <w:ind w:left="0" w:firstLine="0"/>
        <w:rPr>
          <w:rFonts w:ascii="宋体" w:hAnsi="宋体" w:eastAsia="宋体" w:cs="宋体"/>
          <w:sz w:val="22"/>
          <w:szCs w:val="22"/>
        </w:rPr>
      </w:pPr>
      <w:bookmarkStart w:id="1082" w:name="_Toc110411526"/>
      <w:bookmarkStart w:id="1083" w:name="_Toc434218686"/>
      <w:bookmarkStart w:id="1084" w:name="_Toc1480"/>
      <w:bookmarkStart w:id="1085" w:name="_Toc390937929"/>
      <w:bookmarkStart w:id="1086" w:name="_Toc22883"/>
      <w:bookmarkStart w:id="1087" w:name="_Toc428871947"/>
      <w:bookmarkStart w:id="1088" w:name="_Toc110279024"/>
      <w:bookmarkStart w:id="1089" w:name="_Toc24520"/>
      <w:bookmarkStart w:id="1090" w:name="_Toc24287_WPSOffice_Level1"/>
      <w:bookmarkStart w:id="1091" w:name="_Toc390938711"/>
      <w:bookmarkStart w:id="1092" w:name="_Toc356480380"/>
      <w:bookmarkStart w:id="1093" w:name="_Toc390937701"/>
      <w:bookmarkStart w:id="1094" w:name="_Toc428871950"/>
      <w:bookmarkStart w:id="1095" w:name="_Toc287783547"/>
      <w:bookmarkStart w:id="1096" w:name="_Toc434218689"/>
      <w:bookmarkStart w:id="1097" w:name="_Toc287949066"/>
      <w:r>
        <w:rPr>
          <w:rFonts w:hint="eastAsia" w:ascii="宋体" w:hAnsi="宋体" w:eastAsia="宋体" w:cs="宋体"/>
          <w:sz w:val="22"/>
          <w:szCs w:val="22"/>
        </w:rPr>
        <w:t>十三、转让</w:t>
      </w:r>
      <w:bookmarkEnd w:id="1082"/>
      <w:bookmarkEnd w:id="1083"/>
      <w:bookmarkEnd w:id="1084"/>
      <w:bookmarkEnd w:id="1085"/>
      <w:bookmarkEnd w:id="1086"/>
      <w:bookmarkEnd w:id="1087"/>
      <w:bookmarkEnd w:id="1088"/>
      <w:bookmarkEnd w:id="1089"/>
      <w:bookmarkEnd w:id="1090"/>
      <w:bookmarkEnd w:id="1091"/>
      <w:bookmarkEnd w:id="1092"/>
      <w:bookmarkEnd w:id="1093"/>
    </w:p>
    <w:p>
      <w:pPr>
        <w:tabs>
          <w:tab w:val="left" w:pos="7380"/>
        </w:tabs>
        <w:spacing w:line="360" w:lineRule="auto"/>
        <w:ind w:firstLine="437" w:firstLineChars="199"/>
        <w:rPr>
          <w:rFonts w:ascii="宋体" w:hAnsi="宋体" w:cs="宋体"/>
          <w:sz w:val="22"/>
          <w:szCs w:val="22"/>
        </w:rPr>
      </w:pPr>
      <w:r>
        <w:rPr>
          <w:rFonts w:hint="eastAsia" w:ascii="宋体" w:hAnsi="宋体" w:cs="宋体"/>
          <w:sz w:val="22"/>
          <w:szCs w:val="22"/>
        </w:rPr>
        <w:t>乙方不得以任何理由转让其应履行的合同义务。</w:t>
      </w:r>
    </w:p>
    <w:p>
      <w:pPr>
        <w:pStyle w:val="4"/>
        <w:spacing w:before="0" w:after="0" w:line="360" w:lineRule="auto"/>
        <w:ind w:left="0" w:firstLine="0"/>
        <w:rPr>
          <w:rFonts w:ascii="宋体" w:hAnsi="宋体" w:eastAsia="宋体" w:cs="宋体"/>
          <w:sz w:val="22"/>
          <w:szCs w:val="22"/>
        </w:rPr>
      </w:pPr>
      <w:bookmarkStart w:id="1098" w:name="_Toc110411527"/>
      <w:bookmarkStart w:id="1099" w:name="_Toc21428"/>
      <w:bookmarkStart w:id="1100" w:name="_Toc18281_WPSOffice_Level1"/>
      <w:bookmarkStart w:id="1101" w:name="_Toc110279025"/>
      <w:bookmarkStart w:id="1102" w:name="_Toc13599"/>
      <w:bookmarkStart w:id="1103" w:name="_Toc25285"/>
      <w:r>
        <w:rPr>
          <w:rFonts w:hint="eastAsia" w:ascii="宋体" w:hAnsi="宋体" w:eastAsia="宋体" w:cs="宋体"/>
          <w:sz w:val="22"/>
          <w:szCs w:val="22"/>
        </w:rPr>
        <w:t>十四、变更</w:t>
      </w:r>
      <w:bookmarkEnd w:id="1098"/>
      <w:bookmarkEnd w:id="1099"/>
      <w:bookmarkEnd w:id="1100"/>
      <w:bookmarkEnd w:id="1101"/>
      <w:bookmarkEnd w:id="1102"/>
      <w:bookmarkEnd w:id="1103"/>
    </w:p>
    <w:p>
      <w:pPr>
        <w:spacing w:line="360" w:lineRule="auto"/>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eastAsia="zh-TW"/>
        </w:rPr>
        <w:t>合同履行中甲方要求变更质量标准及发生其他实质性变更，由双方协商解决。</w:t>
      </w:r>
    </w:p>
    <w:p>
      <w:pPr>
        <w:spacing w:line="360" w:lineRule="auto"/>
        <w:rPr>
          <w:rFonts w:ascii="宋体" w:hAnsi="宋体" w:cs="宋体"/>
          <w:sz w:val="22"/>
          <w:szCs w:val="22"/>
        </w:rPr>
      </w:pPr>
      <w:r>
        <w:rPr>
          <w:rFonts w:hint="eastAsia" w:ascii="宋体" w:hAnsi="宋体" w:cs="宋体"/>
          <w:sz w:val="22"/>
          <w:szCs w:val="22"/>
        </w:rPr>
        <w:t>2、</w:t>
      </w:r>
      <w:r>
        <w:rPr>
          <w:rFonts w:hint="eastAsia" w:ascii="宋体" w:hAnsi="宋体" w:cs="宋体"/>
          <w:sz w:val="22"/>
          <w:szCs w:val="22"/>
          <w:lang w:eastAsia="zh-TW"/>
        </w:rPr>
        <w:t>因乙方自身原因导致的变更，乙方无权要求追加合同价款。</w:t>
      </w:r>
    </w:p>
    <w:bookmarkEnd w:id="1094"/>
    <w:bookmarkEnd w:id="1095"/>
    <w:bookmarkEnd w:id="1096"/>
    <w:bookmarkEnd w:id="1097"/>
    <w:p>
      <w:pPr>
        <w:pStyle w:val="4"/>
        <w:spacing w:before="0" w:after="0" w:line="360" w:lineRule="auto"/>
        <w:ind w:left="0" w:firstLine="0"/>
        <w:rPr>
          <w:rFonts w:ascii="宋体" w:hAnsi="宋体" w:eastAsia="宋体" w:cs="宋体"/>
          <w:sz w:val="22"/>
          <w:szCs w:val="22"/>
        </w:rPr>
      </w:pPr>
      <w:bookmarkStart w:id="1104" w:name="_Toc356480384"/>
      <w:bookmarkStart w:id="1105" w:name="_Toc428871952"/>
      <w:bookmarkStart w:id="1106" w:name="_Toc390937705"/>
      <w:bookmarkStart w:id="1107" w:name="_Toc390937933"/>
      <w:bookmarkStart w:id="1108" w:name="_Toc390938715"/>
      <w:bookmarkStart w:id="1109" w:name="_Toc434218691"/>
      <w:bookmarkStart w:id="1110" w:name="_Toc110279026"/>
      <w:bookmarkStart w:id="1111" w:name="_Toc24960"/>
      <w:bookmarkStart w:id="1112" w:name="_Toc110411528"/>
      <w:bookmarkStart w:id="1113" w:name="_Toc23434_WPSOffice_Level1"/>
      <w:bookmarkStart w:id="1114" w:name="_Toc25991"/>
      <w:bookmarkStart w:id="1115" w:name="_Toc26410"/>
      <w:r>
        <w:rPr>
          <w:rFonts w:hint="eastAsia" w:ascii="宋体" w:hAnsi="宋体" w:eastAsia="宋体" w:cs="宋体"/>
          <w:sz w:val="22"/>
          <w:szCs w:val="22"/>
        </w:rPr>
        <w:t>十五、</w:t>
      </w:r>
      <w:bookmarkEnd w:id="1104"/>
      <w:bookmarkEnd w:id="1105"/>
      <w:bookmarkEnd w:id="1106"/>
      <w:bookmarkEnd w:id="1107"/>
      <w:bookmarkEnd w:id="1108"/>
      <w:bookmarkEnd w:id="1109"/>
      <w:r>
        <w:rPr>
          <w:rFonts w:hint="eastAsia" w:ascii="宋体" w:hAnsi="宋体" w:eastAsia="宋体" w:cs="宋体"/>
          <w:sz w:val="22"/>
          <w:szCs w:val="22"/>
        </w:rPr>
        <w:t>知识产权</w:t>
      </w:r>
      <w:bookmarkEnd w:id="1110"/>
      <w:bookmarkEnd w:id="1111"/>
      <w:bookmarkEnd w:id="1112"/>
      <w:bookmarkEnd w:id="1113"/>
      <w:bookmarkEnd w:id="1114"/>
      <w:bookmarkEnd w:id="1115"/>
    </w:p>
    <w:p>
      <w:pPr>
        <w:spacing w:line="360" w:lineRule="auto"/>
        <w:ind w:left="345" w:hanging="345" w:hangingChars="157"/>
        <w:rPr>
          <w:rFonts w:ascii="宋体" w:hAnsi="宋体" w:cs="宋体"/>
          <w:sz w:val="22"/>
          <w:szCs w:val="22"/>
        </w:rPr>
      </w:pPr>
      <w:r>
        <w:rPr>
          <w:rFonts w:hint="eastAsia" w:ascii="宋体" w:hAnsi="宋体" w:cs="宋体"/>
          <w:sz w:val="22"/>
          <w:szCs w:val="22"/>
        </w:rPr>
        <w:t>1、乙方应保证：甲方在中华人民共和国使用本合同项目系统的任何一部分时，免受第三方提出的侵犯其专利权、商标权或其它知识产权的起诉。乙方应对提供系统所涉及的专利承担责任，并负责保护甲方的利益不受任何损害。一切由于知识产权引起的法律纠纷、诉讼、裁决等所有费用及责任均由乙方承担。</w:t>
      </w:r>
    </w:p>
    <w:p>
      <w:pPr>
        <w:spacing w:line="360" w:lineRule="auto"/>
        <w:ind w:left="345" w:hanging="345" w:hangingChars="157"/>
        <w:rPr>
          <w:rFonts w:ascii="宋体" w:hAnsi="宋体" w:cs="宋体"/>
          <w:sz w:val="22"/>
          <w:szCs w:val="22"/>
        </w:rPr>
      </w:pPr>
      <w:r>
        <w:rPr>
          <w:rFonts w:hint="eastAsia" w:ascii="宋体" w:hAnsi="宋体" w:cs="宋体"/>
          <w:sz w:val="22"/>
          <w:szCs w:val="22"/>
        </w:rPr>
        <w:t>2、乙方为执行本合同而提供的技术资料、软件的二次开发知识产权归甲方所有。</w:t>
      </w:r>
    </w:p>
    <w:p>
      <w:pPr>
        <w:spacing w:line="360" w:lineRule="auto"/>
        <w:ind w:left="345" w:hanging="345" w:hangingChars="157"/>
        <w:rPr>
          <w:rFonts w:ascii="宋体" w:hAnsi="宋体" w:cs="宋体"/>
          <w:sz w:val="22"/>
          <w:szCs w:val="22"/>
        </w:rPr>
      </w:pPr>
      <w:r>
        <w:rPr>
          <w:rFonts w:hint="eastAsia" w:ascii="宋体" w:hAnsi="宋体" w:cs="宋体"/>
          <w:sz w:val="22"/>
          <w:szCs w:val="22"/>
        </w:rPr>
        <w:t>3、乙方所供本合同项目系统必须权属清楚，不得侵害他人的知识产权，否则构成对甲方违约，乙方应向甲方支付相应合同总价2%的违约金，并承担由此对甲方造成的经济损失和法律责任。</w:t>
      </w:r>
    </w:p>
    <w:p>
      <w:pPr>
        <w:spacing w:line="360" w:lineRule="auto"/>
        <w:ind w:left="345" w:hanging="345" w:hangingChars="157"/>
        <w:rPr>
          <w:rFonts w:ascii="宋体" w:hAnsi="宋体" w:cs="宋体"/>
          <w:sz w:val="22"/>
          <w:szCs w:val="22"/>
        </w:rPr>
      </w:pPr>
      <w:r>
        <w:rPr>
          <w:rFonts w:hint="eastAsia" w:ascii="宋体" w:hAnsi="宋体" w:cs="宋体"/>
          <w:sz w:val="22"/>
          <w:szCs w:val="22"/>
        </w:rPr>
        <w:t xml:space="preserve">4、本合同项目实施过程中所产生的研究成果及其技术文档等所有权由甲方享有，未经甲方许可，乙方不得将项目研究成果及其技术文档等材料提供给第三方。如果乙方违反规定将项目研究成果及其技术文档擅自提供给第三方的，应当按照本合同金额的5%向另一方支付违约金； </w:t>
      </w:r>
    </w:p>
    <w:p>
      <w:pPr>
        <w:spacing w:line="360" w:lineRule="auto"/>
        <w:ind w:left="345" w:hanging="345" w:hangingChars="157"/>
        <w:rPr>
          <w:rFonts w:ascii="宋体" w:hAnsi="宋体" w:cs="宋体"/>
          <w:sz w:val="22"/>
          <w:szCs w:val="22"/>
        </w:rPr>
      </w:pPr>
      <w:r>
        <w:rPr>
          <w:rFonts w:hint="eastAsia" w:ascii="宋体" w:hAnsi="宋体" w:cs="宋体"/>
          <w:sz w:val="22"/>
          <w:szCs w:val="22"/>
        </w:rPr>
        <w:t>5、乙方需对所有成果、产品的知识产权负有永久瑕疵担保责任，因使用未被授权使用的技术、组件、系统软件、通用软件等知识产权问题引起的纠纷所产生的所有责任及费用由乙方自行承担。</w:t>
      </w:r>
    </w:p>
    <w:p>
      <w:pPr>
        <w:spacing w:line="360" w:lineRule="auto"/>
        <w:ind w:left="345" w:hanging="345" w:hangingChars="157"/>
        <w:rPr>
          <w:rFonts w:ascii="宋体" w:hAnsi="宋体" w:cs="宋体"/>
          <w:sz w:val="22"/>
          <w:szCs w:val="22"/>
        </w:rPr>
      </w:pPr>
      <w:r>
        <w:rPr>
          <w:rFonts w:hint="eastAsia" w:ascii="宋体" w:hAnsi="宋体" w:cs="宋体"/>
          <w:sz w:val="22"/>
          <w:szCs w:val="22"/>
        </w:rPr>
        <w:t>6、乙方需提供项目内所涉及软件系统和第三方软件系统授权使用书。</w:t>
      </w:r>
    </w:p>
    <w:p>
      <w:pPr>
        <w:spacing w:line="360" w:lineRule="auto"/>
        <w:ind w:left="345" w:hanging="345" w:hangingChars="157"/>
        <w:rPr>
          <w:rFonts w:ascii="宋体" w:hAnsi="宋体" w:cs="宋体"/>
          <w:sz w:val="22"/>
          <w:szCs w:val="22"/>
        </w:rPr>
      </w:pPr>
      <w:r>
        <w:rPr>
          <w:rFonts w:hint="eastAsia" w:ascii="宋体" w:hAnsi="宋体" w:cs="宋体"/>
          <w:sz w:val="22"/>
          <w:szCs w:val="22"/>
        </w:rPr>
        <w:t>7、项目内涉及的主要系统需提供标准的接口，乙方可通过提供的接口内容实现智能化集成。</w:t>
      </w:r>
    </w:p>
    <w:p>
      <w:pPr>
        <w:pStyle w:val="4"/>
        <w:numPr>
          <w:ilvl w:val="255"/>
          <w:numId w:val="0"/>
        </w:numPr>
        <w:spacing w:before="0" w:after="0" w:line="360" w:lineRule="auto"/>
        <w:rPr>
          <w:rFonts w:ascii="宋体" w:hAnsi="宋体" w:eastAsia="宋体" w:cs="宋体"/>
          <w:sz w:val="22"/>
          <w:szCs w:val="22"/>
        </w:rPr>
      </w:pPr>
      <w:bookmarkStart w:id="1116" w:name="_Toc434218692"/>
      <w:bookmarkStart w:id="1117" w:name="_Toc428871953"/>
      <w:bookmarkStart w:id="1118" w:name="_Toc356480385"/>
      <w:bookmarkStart w:id="1119" w:name="_Toc3977"/>
      <w:bookmarkStart w:id="1120" w:name="_Toc24729"/>
      <w:bookmarkStart w:id="1121" w:name="_Toc390937934"/>
      <w:bookmarkStart w:id="1122" w:name="_Toc110279027"/>
      <w:bookmarkStart w:id="1123" w:name="_Toc26234"/>
      <w:bookmarkStart w:id="1124" w:name="_Toc25818_WPSOffice_Level1"/>
      <w:bookmarkStart w:id="1125" w:name="_Toc390937706"/>
      <w:bookmarkStart w:id="1126" w:name="_Toc390938716"/>
      <w:bookmarkStart w:id="1127" w:name="_Toc110411529"/>
      <w:r>
        <w:rPr>
          <w:rFonts w:hint="eastAsia" w:ascii="宋体" w:hAnsi="宋体" w:eastAsia="宋体" w:cs="宋体"/>
          <w:sz w:val="22"/>
          <w:szCs w:val="22"/>
        </w:rPr>
        <w:t>十六、违约责任</w:t>
      </w:r>
      <w:bookmarkEnd w:id="1116"/>
      <w:bookmarkEnd w:id="1117"/>
      <w:bookmarkEnd w:id="1118"/>
      <w:bookmarkEnd w:id="1119"/>
      <w:bookmarkEnd w:id="1120"/>
      <w:bookmarkEnd w:id="1121"/>
      <w:bookmarkEnd w:id="1122"/>
      <w:bookmarkEnd w:id="1123"/>
      <w:bookmarkEnd w:id="1124"/>
      <w:bookmarkEnd w:id="1125"/>
      <w:bookmarkEnd w:id="1126"/>
      <w:bookmarkEnd w:id="1127"/>
    </w:p>
    <w:p>
      <w:pPr>
        <w:numPr>
          <w:ilvl w:val="0"/>
          <w:numId w:val="105"/>
        </w:numPr>
        <w:spacing w:line="360" w:lineRule="auto"/>
        <w:ind w:left="332" w:hanging="332" w:hangingChars="151"/>
        <w:rPr>
          <w:rFonts w:hint="eastAsia" w:ascii="宋体" w:hAnsi="宋体" w:cs="宋体"/>
          <w:sz w:val="22"/>
          <w:szCs w:val="22"/>
          <w:lang w:eastAsia="zh-TW"/>
        </w:rPr>
      </w:pPr>
      <w:r>
        <w:rPr>
          <w:rFonts w:hint="eastAsia" w:ascii="宋体" w:hAnsi="宋体" w:cs="宋体"/>
          <w:sz w:val="22"/>
          <w:szCs w:val="22"/>
          <w:lang w:eastAsia="zh-TW"/>
        </w:rPr>
        <w:t>乙方未能按规定的时间</w:t>
      </w:r>
      <w:r>
        <w:rPr>
          <w:rFonts w:hint="eastAsia" w:ascii="宋体" w:hAnsi="宋体" w:cs="宋体"/>
          <w:sz w:val="22"/>
          <w:szCs w:val="22"/>
        </w:rPr>
        <w:t>完成项目交付</w:t>
      </w:r>
      <w:r>
        <w:rPr>
          <w:rFonts w:hint="eastAsia" w:ascii="宋体" w:hAnsi="宋体" w:cs="宋体"/>
          <w:sz w:val="22"/>
          <w:szCs w:val="22"/>
          <w:lang w:eastAsia="zh-TW"/>
        </w:rPr>
        <w:t>，乙方须向甲方支付</w:t>
      </w:r>
      <w:r>
        <w:rPr>
          <w:rFonts w:hint="eastAsia" w:ascii="宋体" w:hAnsi="宋体" w:cs="宋体"/>
          <w:sz w:val="22"/>
          <w:szCs w:val="22"/>
        </w:rPr>
        <w:t>违约金</w:t>
      </w:r>
      <w:r>
        <w:rPr>
          <w:rFonts w:hint="eastAsia" w:ascii="宋体" w:hAnsi="宋体" w:cs="宋体"/>
          <w:sz w:val="22"/>
          <w:szCs w:val="22"/>
          <w:lang w:eastAsia="zh-TW"/>
        </w:rPr>
        <w:t>（如因甲方原因和不可抗力因素除外）：甲方将给予乙方</w:t>
      </w:r>
      <w:r>
        <w:rPr>
          <w:rFonts w:hint="eastAsia" w:ascii="宋体" w:hAnsi="宋体" w:cs="宋体"/>
          <w:sz w:val="22"/>
          <w:szCs w:val="22"/>
        </w:rPr>
        <w:t>1</w:t>
      </w:r>
      <w:r>
        <w:rPr>
          <w:rFonts w:hint="eastAsia" w:ascii="宋体" w:hAnsi="宋体" w:cs="宋体"/>
          <w:sz w:val="22"/>
          <w:szCs w:val="22"/>
          <w:lang w:eastAsia="zh-TW"/>
        </w:rPr>
        <w:t>月的宽限期，宽限期过后之日起，每超过</w:t>
      </w:r>
      <w:r>
        <w:rPr>
          <w:rFonts w:hint="eastAsia" w:ascii="宋体" w:hAnsi="宋体" w:cs="宋体"/>
          <w:sz w:val="22"/>
          <w:szCs w:val="22"/>
        </w:rPr>
        <w:t>1</w:t>
      </w:r>
      <w:r>
        <w:rPr>
          <w:rFonts w:hint="eastAsia" w:ascii="宋体" w:hAnsi="宋体" w:cs="宋体"/>
          <w:sz w:val="22"/>
          <w:szCs w:val="22"/>
          <w:lang w:eastAsia="zh-TW"/>
        </w:rPr>
        <w:t xml:space="preserve">周，甲方向乙方追索合同金额 </w:t>
      </w:r>
      <w:r>
        <w:rPr>
          <w:rFonts w:hint="eastAsia" w:ascii="宋体" w:hAnsi="宋体" w:cs="宋体"/>
          <w:sz w:val="22"/>
          <w:szCs w:val="22"/>
        </w:rPr>
        <w:t>0.5</w:t>
      </w:r>
      <w:r>
        <w:rPr>
          <w:rFonts w:hint="eastAsia" w:ascii="宋体" w:hAnsi="宋体" w:cs="宋体"/>
          <w:sz w:val="22"/>
          <w:szCs w:val="22"/>
          <w:lang w:eastAsia="zh-TW"/>
        </w:rPr>
        <w:t>%的违约金。违约金在进度款中扣除，如延期超过30天，甲方有权解除合同，除前款约定的违约金外，可要求乙方支付合同总价的20%作为对甲方的损失赔偿。</w:t>
      </w:r>
    </w:p>
    <w:p>
      <w:pPr>
        <w:pStyle w:val="2"/>
        <w:numPr>
          <w:ilvl w:val="0"/>
          <w:numId w:val="105"/>
        </w:numPr>
        <w:spacing w:line="360" w:lineRule="auto"/>
        <w:ind w:left="332" w:hanging="333" w:hangingChars="151"/>
        <w:rPr>
          <w:rFonts w:ascii="宋体" w:hAnsi="宋体" w:cs="宋体"/>
          <w:sz w:val="22"/>
          <w:szCs w:val="22"/>
          <w:lang w:eastAsia="zh-TW"/>
        </w:rPr>
      </w:pPr>
    </w:p>
    <w:p>
      <w:pPr>
        <w:numPr>
          <w:ilvl w:val="0"/>
          <w:numId w:val="105"/>
        </w:numPr>
        <w:spacing w:line="360" w:lineRule="auto"/>
        <w:ind w:left="332" w:hanging="332" w:hangingChars="151"/>
        <w:rPr>
          <w:rFonts w:ascii="宋体" w:hAnsi="宋体" w:cs="宋体"/>
          <w:sz w:val="22"/>
          <w:szCs w:val="22"/>
        </w:rPr>
      </w:pPr>
      <w:r>
        <w:rPr>
          <w:rFonts w:hint="eastAsia" w:ascii="宋体" w:hAnsi="宋体" w:cs="宋体"/>
          <w:sz w:val="22"/>
          <w:szCs w:val="22"/>
          <w:lang w:eastAsia="zh-TW"/>
        </w:rPr>
        <w:t>乙方</w:t>
      </w:r>
      <w:r>
        <w:rPr>
          <w:rFonts w:hint="eastAsia" w:ascii="宋体" w:hAnsi="宋体" w:cs="宋体"/>
          <w:sz w:val="22"/>
          <w:szCs w:val="22"/>
        </w:rPr>
        <w:t>实施的项目内容</w:t>
      </w:r>
      <w:r>
        <w:rPr>
          <w:rFonts w:hint="eastAsia" w:ascii="宋体" w:hAnsi="宋体" w:cs="宋体"/>
          <w:sz w:val="22"/>
          <w:szCs w:val="22"/>
          <w:lang w:eastAsia="zh-TW"/>
        </w:rPr>
        <w:t>未能通过验收，甲方将给予</w:t>
      </w:r>
      <w:r>
        <w:rPr>
          <w:rFonts w:hint="eastAsia" w:ascii="宋体" w:hAnsi="宋体" w:cs="宋体"/>
          <w:sz w:val="22"/>
          <w:szCs w:val="22"/>
        </w:rPr>
        <w:t>3</w:t>
      </w:r>
      <w:r>
        <w:rPr>
          <w:rFonts w:hint="eastAsia" w:ascii="宋体" w:hAnsi="宋体" w:cs="宋体"/>
          <w:sz w:val="22"/>
          <w:szCs w:val="22"/>
          <w:lang w:eastAsia="zh-TW"/>
        </w:rPr>
        <w:t>周时间由乙方进行修改。3 周后仍无法通过验收，甲方有权向乙方追索合同金额</w:t>
      </w:r>
      <w:r>
        <w:rPr>
          <w:rFonts w:hint="eastAsia" w:ascii="宋体" w:hAnsi="宋体" w:cs="宋体"/>
          <w:sz w:val="22"/>
          <w:szCs w:val="22"/>
        </w:rPr>
        <w:t>0.5</w:t>
      </w:r>
      <w:r>
        <w:rPr>
          <w:rFonts w:hint="eastAsia" w:ascii="宋体" w:hAnsi="宋体" w:cs="宋体"/>
          <w:sz w:val="22"/>
          <w:szCs w:val="22"/>
          <w:lang w:eastAsia="zh-TW"/>
        </w:rPr>
        <w:t xml:space="preserve">%的违约金以及因此而导致的一切损失。 </w:t>
      </w:r>
    </w:p>
    <w:p>
      <w:pPr>
        <w:numPr>
          <w:ilvl w:val="0"/>
          <w:numId w:val="105"/>
        </w:numPr>
        <w:spacing w:line="360" w:lineRule="auto"/>
        <w:ind w:left="332" w:hanging="332" w:hangingChars="151"/>
        <w:rPr>
          <w:rFonts w:ascii="宋体" w:hAnsi="宋体" w:cs="宋体"/>
          <w:sz w:val="22"/>
          <w:szCs w:val="22"/>
          <w:lang w:eastAsia="zh-TW"/>
        </w:rPr>
      </w:pPr>
      <w:r>
        <w:rPr>
          <w:rFonts w:hint="eastAsia" w:ascii="宋体" w:hAnsi="宋体" w:cs="宋体"/>
          <w:sz w:val="22"/>
          <w:szCs w:val="22"/>
          <w:lang w:eastAsia="zh-TW"/>
        </w:rPr>
        <w:t>因甲方原因造成合同终止，前期甲方已支付给乙方的款项，乙方可不退还甲方； 若因乙方原因造成合同终止，乙方需将前期甲方已支付给乙方的款项退还甲方。因</w:t>
      </w:r>
      <w:r>
        <w:rPr>
          <w:rFonts w:hint="eastAsia" w:ascii="宋体" w:hAnsi="宋体" w:cs="宋体"/>
          <w:sz w:val="22"/>
          <w:szCs w:val="22"/>
        </w:rPr>
        <w:t>双方</w:t>
      </w:r>
      <w:r>
        <w:rPr>
          <w:rFonts w:hint="eastAsia" w:ascii="宋体" w:hAnsi="宋体" w:cs="宋体"/>
          <w:sz w:val="22"/>
          <w:szCs w:val="22"/>
          <w:lang w:eastAsia="zh-TW"/>
        </w:rPr>
        <w:t>原因导致变更、中止或者终止本合同的，</w:t>
      </w:r>
      <w:r>
        <w:rPr>
          <w:rFonts w:hint="eastAsia" w:ascii="宋体" w:hAnsi="宋体" w:cs="宋体"/>
          <w:sz w:val="22"/>
          <w:szCs w:val="22"/>
        </w:rPr>
        <w:t>违约方</w:t>
      </w:r>
      <w:r>
        <w:rPr>
          <w:rFonts w:hint="eastAsia" w:ascii="宋体" w:hAnsi="宋体" w:cs="宋体"/>
          <w:sz w:val="22"/>
          <w:szCs w:val="22"/>
          <w:lang w:eastAsia="zh-TW"/>
        </w:rPr>
        <w:t>应当对</w:t>
      </w:r>
      <w:r>
        <w:rPr>
          <w:rFonts w:hint="eastAsia" w:ascii="宋体" w:hAnsi="宋体" w:cs="宋体"/>
          <w:sz w:val="22"/>
          <w:szCs w:val="22"/>
        </w:rPr>
        <w:t>守约方</w:t>
      </w:r>
      <w:r>
        <w:rPr>
          <w:rFonts w:hint="eastAsia" w:ascii="宋体" w:hAnsi="宋体" w:cs="宋体"/>
          <w:sz w:val="22"/>
          <w:szCs w:val="22"/>
          <w:lang w:eastAsia="zh-TW"/>
        </w:rPr>
        <w:t xml:space="preserve">受到的损失予以赔偿或补偿。 </w:t>
      </w:r>
    </w:p>
    <w:p>
      <w:pPr>
        <w:numPr>
          <w:ilvl w:val="0"/>
          <w:numId w:val="105"/>
        </w:numPr>
        <w:spacing w:line="360" w:lineRule="auto"/>
        <w:ind w:left="332" w:hanging="332" w:hangingChars="151"/>
        <w:rPr>
          <w:rFonts w:ascii="宋体" w:hAnsi="宋体" w:cs="宋体"/>
          <w:b/>
          <w:sz w:val="22"/>
          <w:szCs w:val="22"/>
        </w:rPr>
      </w:pPr>
      <w:r>
        <w:rPr>
          <w:rFonts w:hint="eastAsia" w:ascii="宋体" w:hAnsi="宋体" w:cs="宋体"/>
          <w:sz w:val="22"/>
          <w:szCs w:val="22"/>
        </w:rPr>
        <w:t>合同一经生效，即具有法律效力，任何一方不履行或不完全履行合同，违约方应承担相应的经济和法律责任。</w:t>
      </w:r>
    </w:p>
    <w:p>
      <w:pPr>
        <w:numPr>
          <w:ilvl w:val="0"/>
          <w:numId w:val="105"/>
        </w:numPr>
        <w:spacing w:line="360" w:lineRule="auto"/>
        <w:ind w:left="332" w:hanging="332" w:hangingChars="151"/>
        <w:rPr>
          <w:rFonts w:ascii="宋体" w:hAnsi="宋体" w:cs="宋体"/>
          <w:sz w:val="22"/>
          <w:szCs w:val="22"/>
        </w:rPr>
      </w:pPr>
      <w:r>
        <w:rPr>
          <w:rFonts w:hint="eastAsia" w:ascii="宋体" w:hAnsi="宋体" w:cs="宋体"/>
          <w:sz w:val="22"/>
          <w:szCs w:val="22"/>
        </w:rPr>
        <w:t>乙方拖延项目交付（除自然灾害等人力不可抗拒的原因外），乙方应付给甲方每星期按合同总价0.5%的罚款，不足一星期的按一星期计。因甲方原因造成乙方延期交货，双方协商后可将项目交付期作相应调整。</w:t>
      </w:r>
    </w:p>
    <w:p>
      <w:pPr>
        <w:spacing w:line="360" w:lineRule="auto"/>
        <w:ind w:left="389" w:hanging="389" w:hangingChars="177"/>
        <w:rPr>
          <w:rFonts w:ascii="宋体" w:hAnsi="宋体" w:cs="宋体"/>
          <w:sz w:val="22"/>
          <w:szCs w:val="22"/>
        </w:rPr>
      </w:pPr>
      <w:r>
        <w:rPr>
          <w:rFonts w:hint="eastAsia" w:ascii="宋体" w:hAnsi="宋体" w:cs="宋体"/>
          <w:sz w:val="22"/>
          <w:szCs w:val="22"/>
        </w:rPr>
        <w:t>6、投入本项目团队成员，如更换须经甲方书面同意，如乙方擅自更换一个本项目团队成员，</w:t>
      </w:r>
      <w:r>
        <w:rPr>
          <w:rFonts w:hint="eastAsia" w:ascii="宋体" w:hAnsi="宋体" w:cs="宋体"/>
          <w:sz w:val="22"/>
          <w:szCs w:val="22"/>
          <w:lang w:eastAsia="zh-TW"/>
        </w:rPr>
        <w:t>甲方</w:t>
      </w:r>
      <w:r>
        <w:rPr>
          <w:rFonts w:hint="eastAsia" w:ascii="宋体" w:hAnsi="宋体" w:cs="宋体"/>
          <w:sz w:val="22"/>
          <w:szCs w:val="22"/>
        </w:rPr>
        <w:t>有权</w:t>
      </w:r>
      <w:r>
        <w:rPr>
          <w:rFonts w:hint="eastAsia" w:ascii="宋体" w:hAnsi="宋体" w:cs="宋体"/>
          <w:sz w:val="22"/>
          <w:szCs w:val="22"/>
          <w:lang w:eastAsia="zh-TW"/>
        </w:rPr>
        <w:t xml:space="preserve">向乙方追索合同金额 </w:t>
      </w:r>
      <w:r>
        <w:rPr>
          <w:rFonts w:hint="eastAsia" w:ascii="宋体" w:hAnsi="宋体" w:cs="宋体"/>
          <w:sz w:val="22"/>
          <w:szCs w:val="22"/>
        </w:rPr>
        <w:t>0.5</w:t>
      </w:r>
      <w:r>
        <w:rPr>
          <w:rFonts w:hint="eastAsia" w:ascii="宋体" w:hAnsi="宋体" w:cs="宋体"/>
          <w:sz w:val="22"/>
          <w:szCs w:val="22"/>
          <w:lang w:eastAsia="zh-TW"/>
        </w:rPr>
        <w:t>%的违约金</w:t>
      </w:r>
      <w:r>
        <w:rPr>
          <w:rFonts w:hint="eastAsia" w:ascii="宋体" w:hAnsi="宋体" w:cs="宋体"/>
          <w:sz w:val="22"/>
          <w:szCs w:val="22"/>
        </w:rPr>
        <w:t>。</w:t>
      </w:r>
    </w:p>
    <w:p>
      <w:pPr>
        <w:spacing w:line="360" w:lineRule="auto"/>
        <w:ind w:firstLine="440"/>
        <w:rPr>
          <w:rFonts w:hint="eastAsia" w:ascii="宋体" w:hAnsi="宋体" w:cs="宋体"/>
          <w:sz w:val="22"/>
          <w:szCs w:val="22"/>
          <w:lang w:eastAsia="zh-TW"/>
        </w:rPr>
      </w:pPr>
      <w:r>
        <w:rPr>
          <w:rFonts w:hint="eastAsia" w:ascii="宋体" w:hAnsi="宋体" w:cs="宋体"/>
          <w:sz w:val="22"/>
          <w:szCs w:val="22"/>
          <w:lang w:eastAsia="zh-TW"/>
        </w:rPr>
        <w:t>7、乙方违反合同规定转包或违法分包项目的，甲方有权解除合同，乙方应按合同金额的20%向甲方支付违约金。</w:t>
      </w:r>
    </w:p>
    <w:p>
      <w:pPr>
        <w:pStyle w:val="91"/>
        <w:spacing w:before="0" w:beforeAutospacing="0" w:after="0" w:line="360" w:lineRule="auto"/>
        <w:ind w:left="220" w:leftChars="105" w:firstLine="220" w:firstLineChars="100"/>
        <w:rPr>
          <w:rFonts w:ascii="宋体" w:hAnsi="宋体" w:cs="宋体"/>
          <w:sz w:val="22"/>
          <w:szCs w:val="22"/>
          <w:lang w:eastAsia="zh-TW"/>
        </w:rPr>
      </w:pPr>
      <w:r>
        <w:rPr>
          <w:rFonts w:hint="eastAsia" w:ascii="宋体" w:hAnsi="宋体" w:cs="宋体"/>
          <w:sz w:val="22"/>
          <w:szCs w:val="22"/>
          <w:lang w:eastAsia="zh-TW"/>
        </w:rPr>
        <w:t>8、违约方违反协议约定并承担相应责任后，仍然有义务继续履行本协议的相关条款。</w:t>
      </w:r>
    </w:p>
    <w:p>
      <w:pPr>
        <w:pStyle w:val="4"/>
        <w:numPr>
          <w:ilvl w:val="255"/>
          <w:numId w:val="0"/>
        </w:numPr>
        <w:spacing w:before="0" w:after="0" w:line="360" w:lineRule="auto"/>
        <w:ind w:left="332" w:hanging="333" w:hangingChars="151"/>
        <w:rPr>
          <w:rFonts w:hint="eastAsia" w:ascii="宋体" w:hAnsi="宋体" w:eastAsia="宋体" w:cs="宋体"/>
          <w:sz w:val="22"/>
          <w:szCs w:val="22"/>
        </w:rPr>
      </w:pPr>
      <w:bookmarkStart w:id="1128" w:name="_Toc11008_WPSOffice_Level1"/>
      <w:bookmarkStart w:id="1129" w:name="_Toc390938717"/>
      <w:bookmarkStart w:id="1130" w:name="_Toc390937935"/>
      <w:bookmarkStart w:id="1131" w:name="_Toc428871954"/>
      <w:bookmarkStart w:id="1132" w:name="_Toc110411530"/>
      <w:bookmarkStart w:id="1133" w:name="_Toc356480386"/>
      <w:bookmarkStart w:id="1134" w:name="_Toc7897"/>
      <w:bookmarkStart w:id="1135" w:name="_Toc110279028"/>
      <w:bookmarkStart w:id="1136" w:name="_Toc712"/>
      <w:bookmarkStart w:id="1137" w:name="_Toc434218693"/>
      <w:bookmarkStart w:id="1138" w:name="_Toc19874"/>
      <w:bookmarkStart w:id="1139" w:name="_Toc390937707"/>
      <w:r>
        <w:rPr>
          <w:rFonts w:hint="eastAsia" w:ascii="宋体" w:hAnsi="宋体" w:eastAsia="宋体" w:cs="宋体"/>
          <w:sz w:val="22"/>
          <w:szCs w:val="22"/>
        </w:rPr>
        <w:t>十七、保密约定</w:t>
      </w:r>
    </w:p>
    <w:p>
      <w:pPr>
        <w:numPr>
          <w:ilvl w:val="0"/>
          <w:numId w:val="0"/>
        </w:numPr>
        <w:spacing w:line="360" w:lineRule="auto"/>
        <w:ind w:left="332" w:hanging="332" w:firstLineChars="0"/>
        <w:rPr>
          <w:rFonts w:hint="eastAsia" w:ascii="宋体" w:hAnsi="宋体" w:cs="宋体"/>
          <w:sz w:val="22"/>
          <w:szCs w:val="22"/>
        </w:rPr>
      </w:pPr>
      <w:r>
        <w:rPr>
          <w:rFonts w:hint="eastAsia" w:ascii="宋体" w:hAnsi="宋体" w:cs="宋体"/>
          <w:sz w:val="22"/>
          <w:szCs w:val="22"/>
        </w:rPr>
        <w:t>1. 获取对方商业秘密的一方仅可将该商业秘密用于履行其在本合同项下的义务，且只能由相关的工程技术人员使用。获取对方商业秘密的一方应当采取适当有效的方式保护所获取的商业秘密，不得未经授权使用、传播或公开商业秘密。除非有对方的书面许可，或该信息已被拥有方认为不再是商业秘密，或已在社会上公开，该商业秘密应当永久性不得对外披露。</w:t>
      </w:r>
    </w:p>
    <w:p>
      <w:pPr>
        <w:spacing w:before="0" w:after="0" w:line="360" w:lineRule="auto"/>
        <w:ind w:left="332" w:hanging="332"/>
        <w:rPr>
          <w:rFonts w:hint="eastAsia" w:ascii="宋体" w:hAnsi="宋体" w:cs="宋体"/>
          <w:sz w:val="22"/>
          <w:szCs w:val="22"/>
        </w:rPr>
      </w:pPr>
      <w:r>
        <w:rPr>
          <w:rFonts w:hint="eastAsia" w:ascii="宋体" w:hAnsi="宋体" w:cs="宋体"/>
          <w:sz w:val="22"/>
          <w:szCs w:val="22"/>
        </w:rPr>
        <w:t>2.一方违反本条约定的，应承担违约责任，赔偿对方因此造成的一切损失。</w:t>
      </w:r>
    </w:p>
    <w:p>
      <w:pPr>
        <w:pStyle w:val="4"/>
        <w:spacing w:before="0" w:after="0" w:line="360" w:lineRule="auto"/>
        <w:ind w:left="0" w:firstLine="0"/>
        <w:rPr>
          <w:rFonts w:ascii="宋体" w:hAnsi="宋体" w:eastAsia="宋体" w:cs="宋体"/>
          <w:sz w:val="22"/>
          <w:szCs w:val="22"/>
        </w:rPr>
      </w:pPr>
      <w:r>
        <w:rPr>
          <w:rFonts w:hint="eastAsia" w:ascii="宋体" w:hAnsi="宋体" w:eastAsia="宋体" w:cs="宋体"/>
          <w:sz w:val="22"/>
          <w:szCs w:val="22"/>
        </w:rPr>
        <w:t>十八、争议解决</w:t>
      </w:r>
      <w:bookmarkEnd w:id="1128"/>
      <w:bookmarkEnd w:id="1129"/>
      <w:bookmarkEnd w:id="1130"/>
      <w:bookmarkEnd w:id="1131"/>
      <w:bookmarkEnd w:id="1132"/>
      <w:bookmarkEnd w:id="1133"/>
      <w:bookmarkEnd w:id="1134"/>
      <w:bookmarkEnd w:id="1135"/>
      <w:bookmarkEnd w:id="1136"/>
      <w:bookmarkEnd w:id="1137"/>
      <w:bookmarkEnd w:id="1138"/>
      <w:bookmarkEnd w:id="1139"/>
    </w:p>
    <w:p>
      <w:pPr>
        <w:spacing w:line="360" w:lineRule="auto"/>
        <w:ind w:firstLine="442" w:firstLineChars="200"/>
        <w:rPr>
          <w:rFonts w:ascii="宋体" w:hAnsi="宋体" w:cs="宋体"/>
          <w:b/>
          <w:bCs/>
          <w:sz w:val="22"/>
          <w:szCs w:val="22"/>
        </w:rPr>
      </w:pPr>
      <w:bookmarkStart w:id="1140" w:name="_Toc428871955"/>
      <w:bookmarkStart w:id="1141" w:name="_Toc390937708"/>
      <w:bookmarkStart w:id="1142" w:name="_Toc18715"/>
      <w:bookmarkStart w:id="1143" w:name="_Toc390938718"/>
      <w:bookmarkStart w:id="1144" w:name="_Toc110279029"/>
      <w:bookmarkStart w:id="1145" w:name="_Toc356480387"/>
      <w:bookmarkStart w:id="1146" w:name="_Toc22715_WPSOffice_Level1"/>
      <w:bookmarkStart w:id="1147" w:name="_Toc434218694"/>
      <w:bookmarkStart w:id="1148" w:name="_Toc390937936"/>
      <w:r>
        <w:rPr>
          <w:rFonts w:hint="eastAsia" w:ascii="宋体" w:hAnsi="宋体" w:cs="宋体"/>
          <w:b/>
          <w:bCs/>
          <w:sz w:val="22"/>
          <w:szCs w:val="22"/>
        </w:rPr>
        <w:t>本合同在履行中发生争议，双方应协商解决，协商不能解决时，提交东莞市第一人民法院裁决。</w:t>
      </w:r>
    </w:p>
    <w:p>
      <w:pPr>
        <w:spacing w:line="360" w:lineRule="auto"/>
        <w:rPr>
          <w:rFonts w:ascii="宋体" w:hAnsi="宋体" w:cs="宋体"/>
          <w:b/>
          <w:bCs/>
          <w:sz w:val="22"/>
          <w:szCs w:val="22"/>
        </w:rPr>
      </w:pPr>
      <w:r>
        <w:rPr>
          <w:rFonts w:hint="eastAsia" w:ascii="宋体" w:hAnsi="宋体" w:cs="宋体"/>
          <w:b/>
          <w:bCs/>
          <w:sz w:val="22"/>
          <w:szCs w:val="22"/>
        </w:rPr>
        <w:t>十九、其他</w:t>
      </w:r>
      <w:bookmarkEnd w:id="1140"/>
      <w:bookmarkEnd w:id="1141"/>
      <w:bookmarkEnd w:id="1142"/>
      <w:bookmarkEnd w:id="1143"/>
      <w:bookmarkEnd w:id="1144"/>
      <w:bookmarkEnd w:id="1145"/>
      <w:bookmarkEnd w:id="1146"/>
      <w:bookmarkEnd w:id="1147"/>
      <w:bookmarkEnd w:id="1148"/>
    </w:p>
    <w:p>
      <w:pPr>
        <w:spacing w:line="360" w:lineRule="auto"/>
        <w:ind w:left="332" w:hanging="332" w:hangingChars="151"/>
        <w:rPr>
          <w:rFonts w:ascii="宋体" w:hAnsi="宋体" w:cs="宋体"/>
          <w:sz w:val="22"/>
          <w:szCs w:val="22"/>
        </w:rPr>
      </w:pPr>
      <w:r>
        <w:rPr>
          <w:rFonts w:hint="eastAsia" w:ascii="宋体" w:hAnsi="宋体" w:cs="宋体"/>
          <w:sz w:val="22"/>
          <w:szCs w:val="22"/>
        </w:rPr>
        <w:t>1、乙方须承担满足本项目验收的一切内容，费用已在合同总价中综合考虑。</w:t>
      </w:r>
    </w:p>
    <w:p>
      <w:pPr>
        <w:spacing w:line="360" w:lineRule="auto"/>
        <w:ind w:left="332" w:hanging="332" w:hangingChars="151"/>
        <w:rPr>
          <w:rFonts w:ascii="宋体" w:hAnsi="宋体" w:cs="宋体"/>
          <w:sz w:val="22"/>
          <w:szCs w:val="22"/>
        </w:rPr>
      </w:pPr>
      <w:r>
        <w:rPr>
          <w:rFonts w:hint="eastAsia" w:ascii="宋体" w:hAnsi="宋体" w:cs="宋体"/>
          <w:sz w:val="22"/>
          <w:szCs w:val="22"/>
        </w:rPr>
        <w:t>2、项目实施过程中，项目进场实施经甲方审批后方可实施。</w:t>
      </w:r>
    </w:p>
    <w:p>
      <w:pPr>
        <w:spacing w:line="360" w:lineRule="auto"/>
        <w:ind w:left="332" w:hanging="332" w:hangingChars="151"/>
        <w:rPr>
          <w:rFonts w:ascii="宋体" w:hAnsi="宋体" w:cs="宋体"/>
          <w:sz w:val="22"/>
          <w:szCs w:val="22"/>
        </w:rPr>
      </w:pPr>
      <w:r>
        <w:rPr>
          <w:rFonts w:hint="eastAsia" w:ascii="宋体" w:hAnsi="宋体" w:cs="宋体"/>
          <w:sz w:val="22"/>
          <w:szCs w:val="22"/>
        </w:rPr>
        <w:t>3、本合同未尽事宜，由双方协商签订补充协议进行约定。补充协议应以书面形式作成，经双方法定代表人或授权代表签字、盖章后与本合同具有同等法律效力。</w:t>
      </w:r>
    </w:p>
    <w:p>
      <w:pPr>
        <w:spacing w:line="360" w:lineRule="auto"/>
        <w:ind w:left="332" w:hanging="332" w:hangingChars="151"/>
        <w:rPr>
          <w:rFonts w:ascii="宋体" w:hAnsi="宋体" w:cs="宋体"/>
          <w:sz w:val="22"/>
          <w:szCs w:val="22"/>
        </w:rPr>
      </w:pPr>
      <w:r>
        <w:rPr>
          <w:rFonts w:hint="eastAsia" w:ascii="宋体" w:hAnsi="宋体" w:cs="宋体"/>
          <w:sz w:val="22"/>
          <w:szCs w:val="22"/>
        </w:rPr>
        <w:t>4、甲乙双方因履行本合同或与本合同有关的一切文件及通知都必须按照本合同中的地址，以书面形式或双方确认电子邮件进行，采用信函形式的应使用中国邮政EMS快件送达。如使用电子邮件或传真方式通知，通知送达日期即为发送方显示发送成功日期；如使用中国EMS快件专递通知，通知送达日期即为邮件寄出日期的次日。</w:t>
      </w:r>
    </w:p>
    <w:p>
      <w:pPr>
        <w:spacing w:line="360" w:lineRule="auto"/>
        <w:ind w:left="332" w:hanging="332" w:hangingChars="151"/>
        <w:rPr>
          <w:rFonts w:ascii="宋体" w:hAnsi="宋体" w:cs="宋体"/>
          <w:sz w:val="22"/>
          <w:szCs w:val="22"/>
        </w:rPr>
      </w:pPr>
      <w:r>
        <w:rPr>
          <w:rFonts w:hint="eastAsia" w:ascii="宋体" w:hAnsi="宋体" w:cs="宋体"/>
          <w:sz w:val="22"/>
          <w:szCs w:val="22"/>
        </w:rPr>
        <w:t>5、本合同所有附件、招标文件、投标文件、中标通知书通知书均为合同的有效组成部分，与本合同具有同等法律效力</w:t>
      </w:r>
    </w:p>
    <w:p>
      <w:pPr>
        <w:spacing w:line="360" w:lineRule="auto"/>
        <w:ind w:left="332" w:hanging="332" w:hangingChars="151"/>
        <w:rPr>
          <w:rFonts w:ascii="宋体" w:hAnsi="宋体" w:cs="宋体"/>
          <w:sz w:val="22"/>
          <w:szCs w:val="22"/>
        </w:rPr>
      </w:pPr>
      <w:r>
        <w:rPr>
          <w:rFonts w:hint="eastAsia" w:ascii="宋体" w:hAnsi="宋体" w:cs="宋体"/>
          <w:sz w:val="22"/>
          <w:szCs w:val="22"/>
        </w:rPr>
        <w:t>6、本合同一式陆份，具有同等效力，甲、乙双方各执叁份。合同自双方法定代表人或授权代表人签字盖章之日起生效。</w:t>
      </w:r>
    </w:p>
    <w:bookmarkEnd w:id="996"/>
    <w:bookmarkEnd w:id="997"/>
    <w:p>
      <w:pPr>
        <w:tabs>
          <w:tab w:val="left" w:pos="2640"/>
          <w:tab w:val="left" w:pos="4400"/>
          <w:tab w:val="left" w:pos="7240"/>
          <w:tab w:val="left" w:pos="7680"/>
        </w:tabs>
        <w:autoSpaceDE w:val="0"/>
        <w:autoSpaceDN w:val="0"/>
        <w:adjustRightInd w:val="0"/>
        <w:spacing w:line="360" w:lineRule="auto"/>
        <w:ind w:left="120" w:right="-223" w:hanging="1"/>
        <w:jc w:val="left"/>
        <w:rPr>
          <w:rFonts w:ascii="宋体" w:hAnsi="宋体" w:cs="宋体"/>
          <w:kern w:val="0"/>
          <w:sz w:val="22"/>
          <w:szCs w:val="22"/>
        </w:rPr>
      </w:pPr>
    </w:p>
    <w:p>
      <w:pPr>
        <w:pStyle w:val="31"/>
        <w:spacing w:after="0" w:line="360" w:lineRule="auto"/>
        <w:ind w:firstLine="220"/>
        <w:rPr>
          <w:rFonts w:hAnsi="宋体" w:cs="宋体"/>
          <w:sz w:val="22"/>
          <w:szCs w:val="22"/>
        </w:rPr>
      </w:pPr>
    </w:p>
    <w:p>
      <w:pPr>
        <w:tabs>
          <w:tab w:val="left" w:pos="2640"/>
          <w:tab w:val="left" w:pos="4400"/>
          <w:tab w:val="left" w:pos="7240"/>
          <w:tab w:val="left" w:pos="7680"/>
        </w:tabs>
        <w:autoSpaceDE w:val="0"/>
        <w:autoSpaceDN w:val="0"/>
        <w:adjustRightInd w:val="0"/>
        <w:spacing w:line="360" w:lineRule="auto"/>
        <w:ind w:left="120" w:right="-223" w:hanging="1"/>
        <w:jc w:val="left"/>
        <w:rPr>
          <w:rFonts w:ascii="宋体" w:hAnsi="宋体" w:cs="宋体"/>
          <w:kern w:val="0"/>
          <w:sz w:val="22"/>
          <w:szCs w:val="22"/>
        </w:rPr>
      </w:pPr>
      <w:r>
        <w:rPr>
          <w:rFonts w:hint="eastAsia" w:ascii="宋体" w:hAnsi="宋体" w:cs="宋体"/>
          <w:kern w:val="0"/>
          <w:sz w:val="22"/>
          <w:szCs w:val="22"/>
        </w:rPr>
        <w:t>甲方：</w:t>
      </w:r>
      <w:r>
        <w:rPr>
          <w:rFonts w:hint="eastAsia" w:ascii="宋体" w:hAnsi="宋体" w:cs="宋体"/>
          <w:b/>
          <w:bCs/>
          <w:sz w:val="22"/>
          <w:szCs w:val="22"/>
        </w:rPr>
        <w:t>东莞市数据互联有限公司</w:t>
      </w:r>
      <w:r>
        <w:rPr>
          <w:rFonts w:hint="eastAsia" w:ascii="宋体" w:hAnsi="宋体" w:cs="宋体"/>
          <w:kern w:val="0"/>
          <w:sz w:val="22"/>
          <w:szCs w:val="22"/>
        </w:rPr>
        <w:t xml:space="preserve">          </w:t>
      </w:r>
      <w:r>
        <w:rPr>
          <w:rFonts w:hint="eastAsia" w:ascii="宋体" w:hAnsi="宋体" w:cs="宋体"/>
          <w:spacing w:val="-1"/>
          <w:kern w:val="0"/>
          <w:sz w:val="22"/>
          <w:szCs w:val="22"/>
        </w:rPr>
        <w:t>乙方</w:t>
      </w:r>
      <w:r>
        <w:rPr>
          <w:rFonts w:hint="eastAsia" w:ascii="宋体" w:hAnsi="宋体" w:cs="宋体"/>
          <w:kern w:val="0"/>
          <w:sz w:val="22"/>
          <w:szCs w:val="22"/>
        </w:rPr>
        <w:t>：</w:t>
      </w:r>
    </w:p>
    <w:p>
      <w:pPr>
        <w:tabs>
          <w:tab w:val="left" w:pos="2640"/>
          <w:tab w:val="left" w:pos="4400"/>
          <w:tab w:val="left" w:pos="7240"/>
          <w:tab w:val="left" w:pos="7680"/>
        </w:tabs>
        <w:autoSpaceDE w:val="0"/>
        <w:autoSpaceDN w:val="0"/>
        <w:adjustRightInd w:val="0"/>
        <w:spacing w:line="360" w:lineRule="auto"/>
        <w:ind w:left="120" w:right="-223" w:firstLine="1320" w:firstLineChars="600"/>
        <w:jc w:val="left"/>
        <w:rPr>
          <w:rFonts w:ascii="宋体" w:hAnsi="宋体" w:cs="宋体"/>
          <w:kern w:val="0"/>
          <w:sz w:val="22"/>
          <w:szCs w:val="22"/>
        </w:rPr>
      </w:pPr>
      <w:r>
        <w:rPr>
          <w:rFonts w:hint="eastAsia" w:ascii="宋体" w:hAnsi="宋体" w:cs="宋体"/>
          <w:kern w:val="0"/>
          <w:sz w:val="22"/>
          <w:szCs w:val="22"/>
        </w:rPr>
        <w:t>（盖单</w:t>
      </w:r>
      <w:r>
        <w:rPr>
          <w:rFonts w:hint="eastAsia" w:ascii="宋体" w:hAnsi="宋体" w:cs="宋体"/>
          <w:spacing w:val="-1"/>
          <w:kern w:val="0"/>
          <w:sz w:val="22"/>
          <w:szCs w:val="22"/>
        </w:rPr>
        <w:t>位</w:t>
      </w:r>
      <w:r>
        <w:rPr>
          <w:rFonts w:hint="eastAsia" w:ascii="宋体" w:hAnsi="宋体" w:cs="宋体"/>
          <w:kern w:val="0"/>
          <w:sz w:val="22"/>
          <w:szCs w:val="22"/>
        </w:rPr>
        <w:t>章）                    （盖单位</w:t>
      </w:r>
      <w:r>
        <w:rPr>
          <w:rFonts w:hint="eastAsia" w:ascii="宋体" w:hAnsi="宋体" w:cs="宋体"/>
          <w:spacing w:val="1"/>
          <w:kern w:val="0"/>
          <w:sz w:val="22"/>
          <w:szCs w:val="22"/>
        </w:rPr>
        <w:t>章</w:t>
      </w:r>
      <w:r>
        <w:rPr>
          <w:rFonts w:hint="eastAsia" w:ascii="宋体" w:hAnsi="宋体" w:cs="宋体"/>
          <w:kern w:val="0"/>
          <w:sz w:val="22"/>
          <w:szCs w:val="22"/>
        </w:rPr>
        <w:t>）</w:t>
      </w:r>
    </w:p>
    <w:p>
      <w:pPr>
        <w:tabs>
          <w:tab w:val="left" w:pos="2640"/>
          <w:tab w:val="left" w:pos="4400"/>
          <w:tab w:val="left" w:pos="7240"/>
          <w:tab w:val="left" w:pos="7680"/>
        </w:tabs>
        <w:autoSpaceDE w:val="0"/>
        <w:autoSpaceDN w:val="0"/>
        <w:adjustRightInd w:val="0"/>
        <w:spacing w:line="360" w:lineRule="auto"/>
        <w:ind w:left="120" w:right="-223" w:hanging="1"/>
        <w:jc w:val="left"/>
        <w:rPr>
          <w:rFonts w:ascii="宋体" w:hAnsi="宋体" w:cs="宋体"/>
          <w:kern w:val="0"/>
          <w:sz w:val="22"/>
          <w:szCs w:val="22"/>
        </w:rPr>
      </w:pPr>
      <w:r>
        <w:rPr>
          <w:rFonts w:hint="eastAsia" w:ascii="宋体" w:hAnsi="宋体" w:cs="宋体"/>
          <w:kern w:val="0"/>
          <w:sz w:val="22"/>
          <w:szCs w:val="22"/>
        </w:rPr>
        <w:t xml:space="preserve">法定代表人：                               </w:t>
      </w:r>
      <w:r>
        <w:rPr>
          <w:rFonts w:hint="eastAsia" w:ascii="宋体" w:hAnsi="宋体" w:cs="宋体"/>
          <w:spacing w:val="-1"/>
          <w:kern w:val="0"/>
          <w:sz w:val="22"/>
          <w:szCs w:val="22"/>
        </w:rPr>
        <w:t>法</w:t>
      </w:r>
      <w:r>
        <w:rPr>
          <w:rFonts w:hint="eastAsia" w:ascii="宋体" w:hAnsi="宋体" w:cs="宋体"/>
          <w:kern w:val="0"/>
          <w:sz w:val="22"/>
          <w:szCs w:val="22"/>
        </w:rPr>
        <w:t xml:space="preserve">定代表人： </w:t>
      </w:r>
    </w:p>
    <w:p>
      <w:pPr>
        <w:tabs>
          <w:tab w:val="left" w:pos="3600"/>
          <w:tab w:val="left" w:pos="5115"/>
          <w:tab w:val="left" w:pos="8400"/>
          <w:tab w:val="left" w:pos="8445"/>
        </w:tabs>
        <w:autoSpaceDE w:val="0"/>
        <w:autoSpaceDN w:val="0"/>
        <w:adjustRightInd w:val="0"/>
        <w:spacing w:line="360" w:lineRule="auto"/>
        <w:ind w:left="120" w:right="-223" w:hanging="1"/>
        <w:jc w:val="left"/>
        <w:rPr>
          <w:rFonts w:ascii="宋体" w:hAnsi="宋体" w:cs="宋体"/>
          <w:kern w:val="0"/>
          <w:sz w:val="22"/>
          <w:szCs w:val="22"/>
        </w:rPr>
      </w:pPr>
      <w:r>
        <w:rPr>
          <w:rFonts w:hint="eastAsia" w:ascii="宋体" w:hAnsi="宋体" w:cs="宋体"/>
          <w:kern w:val="0"/>
          <w:sz w:val="22"/>
          <w:szCs w:val="22"/>
        </w:rPr>
        <w:t>或其委托代理人</w:t>
      </w:r>
      <w:r>
        <w:rPr>
          <w:rFonts w:hint="eastAsia" w:ascii="宋体" w:hAnsi="宋体" w:cs="宋体"/>
          <w:spacing w:val="-40"/>
          <w:kern w:val="0"/>
          <w:sz w:val="22"/>
          <w:szCs w:val="22"/>
        </w:rPr>
        <w:t>：</w:t>
      </w:r>
      <w:r>
        <w:rPr>
          <w:rFonts w:hint="eastAsia" w:ascii="宋体" w:hAnsi="宋体" w:cs="宋体"/>
          <w:spacing w:val="-1"/>
          <w:kern w:val="0"/>
          <w:sz w:val="22"/>
          <w:szCs w:val="22"/>
        </w:rPr>
        <w:t>（</w:t>
      </w:r>
      <w:r>
        <w:rPr>
          <w:rFonts w:hint="eastAsia" w:ascii="宋体" w:hAnsi="宋体" w:cs="宋体"/>
          <w:kern w:val="0"/>
          <w:sz w:val="22"/>
          <w:szCs w:val="22"/>
        </w:rPr>
        <w:t>签字）</w:t>
      </w:r>
      <w:r>
        <w:rPr>
          <w:rFonts w:hint="eastAsia" w:ascii="宋体" w:hAnsi="宋体" w:cs="宋体"/>
          <w:kern w:val="0"/>
          <w:sz w:val="22"/>
          <w:szCs w:val="22"/>
        </w:rPr>
        <w:tab/>
      </w:r>
      <w:r>
        <w:rPr>
          <w:rFonts w:hint="eastAsia" w:ascii="宋体" w:hAnsi="宋体" w:cs="宋体"/>
          <w:kern w:val="0"/>
          <w:sz w:val="22"/>
          <w:szCs w:val="22"/>
        </w:rPr>
        <w:t xml:space="preserve">              或其委托代理人</w:t>
      </w:r>
      <w:r>
        <w:rPr>
          <w:rFonts w:hint="eastAsia" w:ascii="宋体" w:hAnsi="宋体" w:cs="宋体"/>
          <w:spacing w:val="-40"/>
          <w:kern w:val="0"/>
          <w:sz w:val="22"/>
          <w:szCs w:val="22"/>
        </w:rPr>
        <w:t>：</w:t>
      </w:r>
      <w:r>
        <w:rPr>
          <w:rFonts w:hint="eastAsia" w:ascii="宋体" w:hAnsi="宋体" w:cs="宋体"/>
          <w:spacing w:val="-1"/>
          <w:kern w:val="0"/>
          <w:sz w:val="22"/>
          <w:szCs w:val="22"/>
        </w:rPr>
        <w:t>（</w:t>
      </w:r>
      <w:r>
        <w:rPr>
          <w:rFonts w:hint="eastAsia" w:ascii="宋体" w:hAnsi="宋体" w:cs="宋体"/>
          <w:kern w:val="0"/>
          <w:sz w:val="22"/>
          <w:szCs w:val="22"/>
        </w:rPr>
        <w:t>签字）</w:t>
      </w:r>
    </w:p>
    <w:p>
      <w:pPr>
        <w:adjustRightInd w:val="0"/>
        <w:snapToGrid w:val="0"/>
        <w:spacing w:line="360" w:lineRule="auto"/>
        <w:ind w:right="-1"/>
        <w:jc w:val="left"/>
        <w:rPr>
          <w:rFonts w:ascii="宋体" w:hAnsi="宋体" w:cs="宋体"/>
          <w:sz w:val="22"/>
          <w:szCs w:val="22"/>
        </w:rPr>
      </w:pPr>
      <w:r>
        <w:rPr>
          <w:rFonts w:hint="eastAsia" w:ascii="宋体" w:hAnsi="宋体" w:cs="宋体"/>
          <w:kern w:val="0"/>
          <w:position w:val="-2"/>
          <w:sz w:val="22"/>
          <w:szCs w:val="22"/>
        </w:rPr>
        <w:t xml:space="preserve"> </w:t>
      </w:r>
      <w:r>
        <w:rPr>
          <w:rFonts w:hint="eastAsia" w:ascii="宋体" w:hAnsi="宋体" w:cs="宋体"/>
          <w:kern w:val="0"/>
          <w:position w:val="-2"/>
          <w:sz w:val="22"/>
          <w:szCs w:val="22"/>
          <w:u w:val="single"/>
        </w:rPr>
        <w:t xml:space="preserve"> 2022 </w:t>
      </w:r>
      <w:r>
        <w:rPr>
          <w:rFonts w:hint="eastAsia" w:ascii="宋体" w:hAnsi="宋体" w:cs="宋体"/>
          <w:spacing w:val="-1"/>
          <w:kern w:val="0"/>
          <w:position w:val="-2"/>
          <w:sz w:val="22"/>
          <w:szCs w:val="22"/>
        </w:rPr>
        <w:t>年</w:t>
      </w:r>
      <w:r>
        <w:rPr>
          <w:rFonts w:hint="eastAsia" w:ascii="宋体" w:hAnsi="宋体" w:cs="宋体"/>
          <w:kern w:val="0"/>
          <w:position w:val="-2"/>
          <w:sz w:val="22"/>
          <w:szCs w:val="22"/>
          <w:u w:val="single"/>
        </w:rPr>
        <w:tab/>
      </w:r>
      <w:r>
        <w:rPr>
          <w:rFonts w:hint="eastAsia" w:ascii="宋体" w:hAnsi="宋体" w:cs="宋体"/>
          <w:kern w:val="0"/>
          <w:position w:val="-2"/>
          <w:sz w:val="22"/>
          <w:szCs w:val="22"/>
          <w:u w:val="single"/>
        </w:rPr>
        <w:t xml:space="preserve">   </w:t>
      </w:r>
      <w:r>
        <w:rPr>
          <w:rFonts w:hint="eastAsia" w:ascii="宋体" w:hAnsi="宋体" w:cs="宋体"/>
          <w:kern w:val="0"/>
          <w:position w:val="-2"/>
          <w:sz w:val="22"/>
          <w:szCs w:val="22"/>
        </w:rPr>
        <w:t xml:space="preserve">月 </w:t>
      </w:r>
      <w:r>
        <w:rPr>
          <w:rFonts w:hint="eastAsia" w:ascii="宋体" w:hAnsi="宋体" w:cs="宋体"/>
          <w:kern w:val="0"/>
          <w:position w:val="-2"/>
          <w:sz w:val="22"/>
          <w:szCs w:val="22"/>
          <w:u w:val="single"/>
        </w:rPr>
        <w:t xml:space="preserve">     </w:t>
      </w:r>
      <w:r>
        <w:rPr>
          <w:rFonts w:hint="eastAsia" w:ascii="宋体" w:hAnsi="宋体" w:cs="宋体"/>
          <w:kern w:val="0"/>
          <w:position w:val="-2"/>
          <w:sz w:val="22"/>
          <w:szCs w:val="22"/>
        </w:rPr>
        <w:t xml:space="preserve">日                    </w:t>
      </w:r>
      <w:r>
        <w:rPr>
          <w:rFonts w:hint="eastAsia" w:ascii="宋体" w:hAnsi="宋体" w:cs="宋体"/>
          <w:kern w:val="0"/>
          <w:position w:val="-2"/>
          <w:sz w:val="22"/>
          <w:szCs w:val="22"/>
          <w:u w:val="single"/>
        </w:rPr>
        <w:t xml:space="preserve"> 2022 </w:t>
      </w:r>
      <w:r>
        <w:rPr>
          <w:rFonts w:hint="eastAsia" w:ascii="宋体" w:hAnsi="宋体" w:cs="宋体"/>
          <w:kern w:val="0"/>
          <w:position w:val="-2"/>
          <w:sz w:val="22"/>
          <w:szCs w:val="22"/>
        </w:rPr>
        <w:t>年</w:t>
      </w:r>
      <w:r>
        <w:rPr>
          <w:rFonts w:hint="eastAsia" w:ascii="宋体" w:hAnsi="宋体" w:cs="宋体"/>
          <w:kern w:val="0"/>
          <w:position w:val="-2"/>
          <w:sz w:val="22"/>
          <w:szCs w:val="22"/>
          <w:u w:val="single"/>
        </w:rPr>
        <w:tab/>
      </w:r>
      <w:r>
        <w:rPr>
          <w:rFonts w:hint="eastAsia" w:ascii="宋体" w:hAnsi="宋体" w:cs="宋体"/>
          <w:kern w:val="0"/>
          <w:position w:val="-2"/>
          <w:sz w:val="22"/>
          <w:szCs w:val="22"/>
          <w:u w:val="single"/>
        </w:rPr>
        <w:t xml:space="preserve">   </w:t>
      </w:r>
      <w:r>
        <w:rPr>
          <w:rFonts w:hint="eastAsia" w:ascii="宋体" w:hAnsi="宋体" w:cs="宋体"/>
          <w:kern w:val="0"/>
          <w:position w:val="-2"/>
          <w:sz w:val="22"/>
          <w:szCs w:val="22"/>
        </w:rPr>
        <w:t xml:space="preserve">月 </w:t>
      </w:r>
      <w:r>
        <w:rPr>
          <w:rFonts w:hint="eastAsia" w:ascii="宋体" w:hAnsi="宋体" w:cs="宋体"/>
          <w:kern w:val="0"/>
          <w:position w:val="-2"/>
          <w:sz w:val="22"/>
          <w:szCs w:val="22"/>
          <w:u w:val="single"/>
        </w:rPr>
        <w:t xml:space="preserve">     </w:t>
      </w:r>
      <w:r>
        <w:rPr>
          <w:rFonts w:hint="eastAsia" w:ascii="宋体" w:hAnsi="宋体" w:cs="宋体"/>
          <w:kern w:val="0"/>
          <w:position w:val="-2"/>
          <w:sz w:val="22"/>
          <w:szCs w:val="22"/>
        </w:rPr>
        <w:t xml:space="preserve">日  </w:t>
      </w:r>
    </w:p>
    <w:p>
      <w:pPr>
        <w:pStyle w:val="5"/>
        <w:spacing w:before="0" w:after="0" w:line="360" w:lineRule="auto"/>
        <w:ind w:left="377"/>
        <w:rPr>
          <w:rFonts w:ascii="宋体" w:hAnsi="宋体" w:cs="宋体"/>
          <w:sz w:val="22"/>
          <w:szCs w:val="22"/>
        </w:rPr>
      </w:pPr>
      <w:r>
        <w:rPr>
          <w:rFonts w:hint="eastAsia" w:ascii="宋体" w:hAnsi="宋体" w:cs="宋体"/>
          <w:sz w:val="22"/>
          <w:szCs w:val="22"/>
        </w:rPr>
        <w:br w:type="page"/>
      </w:r>
      <w:bookmarkStart w:id="1149" w:name="_Toc226996553"/>
      <w:bookmarkStart w:id="1150" w:name="_Toc524102278"/>
      <w:bookmarkStart w:id="1151" w:name="_Toc8507_WPSOffice_Level1"/>
      <w:bookmarkStart w:id="1152" w:name="_Toc20669197"/>
      <w:bookmarkStart w:id="1153" w:name="_Toc13420"/>
      <w:bookmarkStart w:id="1154" w:name="_Toc110411531"/>
      <w:bookmarkStart w:id="1155" w:name="_Toc26731_WPSOffice_Level1"/>
      <w:bookmarkStart w:id="1156" w:name="_Toc1550"/>
      <w:bookmarkStart w:id="1157" w:name="_Toc29434"/>
      <w:bookmarkStart w:id="1158" w:name="_Toc7095_WPSOffice_Level1"/>
      <w:bookmarkStart w:id="1159" w:name="_Toc19404"/>
      <w:bookmarkStart w:id="1160" w:name="_Toc32182"/>
      <w:r>
        <w:rPr>
          <w:rFonts w:hint="eastAsia" w:ascii="宋体" w:hAnsi="宋体" w:cs="宋体"/>
          <w:sz w:val="22"/>
          <w:szCs w:val="22"/>
        </w:rPr>
        <w:t>附件1</w:t>
      </w:r>
      <w:bookmarkEnd w:id="1149"/>
      <w:bookmarkEnd w:id="1150"/>
      <w:r>
        <w:rPr>
          <w:rFonts w:hint="eastAsia" w:ascii="宋体" w:hAnsi="宋体" w:cs="宋体"/>
          <w:sz w:val="22"/>
          <w:szCs w:val="22"/>
        </w:rPr>
        <w:t>.廉洁合同</w:t>
      </w:r>
      <w:bookmarkEnd w:id="1151"/>
      <w:bookmarkEnd w:id="1152"/>
      <w:bookmarkEnd w:id="1153"/>
      <w:bookmarkEnd w:id="1154"/>
      <w:bookmarkEnd w:id="1155"/>
      <w:bookmarkEnd w:id="1156"/>
      <w:bookmarkEnd w:id="1157"/>
      <w:bookmarkEnd w:id="1158"/>
      <w:bookmarkEnd w:id="1159"/>
      <w:bookmarkEnd w:id="1160"/>
    </w:p>
    <w:p>
      <w:pPr>
        <w:spacing w:line="360" w:lineRule="auto"/>
        <w:jc w:val="center"/>
        <w:rPr>
          <w:rFonts w:ascii="宋体" w:hAnsi="宋体" w:cs="宋体"/>
          <w:b/>
          <w:sz w:val="22"/>
          <w:szCs w:val="22"/>
        </w:rPr>
      </w:pPr>
      <w:bookmarkStart w:id="1161" w:name="_Toc27238_WPSOffice_Level1"/>
      <w:bookmarkStart w:id="1162" w:name="_Toc8832_WPSOffice_Level1"/>
      <w:bookmarkStart w:id="1163" w:name="_Toc18475_WPSOffice_Level1"/>
      <w:r>
        <w:rPr>
          <w:rFonts w:hint="eastAsia" w:ascii="宋体" w:hAnsi="宋体" w:cs="宋体"/>
          <w:b/>
          <w:sz w:val="22"/>
          <w:szCs w:val="22"/>
        </w:rPr>
        <w:t>廉洁合同</w:t>
      </w:r>
      <w:bookmarkEnd w:id="1161"/>
      <w:bookmarkEnd w:id="1162"/>
      <w:bookmarkEnd w:id="1163"/>
    </w:p>
    <w:p>
      <w:pPr>
        <w:spacing w:line="360" w:lineRule="auto"/>
        <w:ind w:firstLine="440" w:firstLineChars="200"/>
        <w:rPr>
          <w:rFonts w:ascii="宋体" w:hAnsi="宋体" w:cs="宋体"/>
          <w:sz w:val="22"/>
          <w:szCs w:val="22"/>
        </w:rPr>
      </w:pPr>
      <w:r>
        <w:rPr>
          <w:rFonts w:hint="eastAsia" w:ascii="宋体" w:hAnsi="宋体" w:cs="宋体"/>
          <w:sz w:val="22"/>
          <w:szCs w:val="22"/>
        </w:rPr>
        <w:t>为加强廉洁建设，规范设备采购项目甲乙双方的各项活动，防治发生违规违纪行为，保护国家、集体和当事人的合法权益，甲乙双方根据国家有关设备采购的法律法规和廉洁建设相关规定，特订立本廉洁合同。</w:t>
      </w:r>
    </w:p>
    <w:p>
      <w:pPr>
        <w:spacing w:line="360" w:lineRule="auto"/>
        <w:ind w:firstLine="440" w:firstLineChars="200"/>
        <w:rPr>
          <w:rFonts w:ascii="宋体" w:hAnsi="宋体" w:cs="宋体"/>
          <w:sz w:val="22"/>
          <w:szCs w:val="22"/>
        </w:rPr>
      </w:pPr>
      <w:r>
        <w:rPr>
          <w:rFonts w:hint="eastAsia" w:ascii="宋体" w:hAnsi="宋体" w:cs="宋体"/>
          <w:sz w:val="22"/>
          <w:szCs w:val="22"/>
        </w:rPr>
        <w:t>第一条甲方、乙方双方的权利和义务</w:t>
      </w:r>
    </w:p>
    <w:p>
      <w:pPr>
        <w:spacing w:line="360" w:lineRule="auto"/>
        <w:ind w:firstLine="440" w:firstLineChars="200"/>
        <w:rPr>
          <w:rFonts w:ascii="宋体" w:hAnsi="宋体" w:cs="宋体"/>
          <w:sz w:val="22"/>
          <w:szCs w:val="22"/>
        </w:rPr>
      </w:pPr>
      <w:r>
        <w:rPr>
          <w:rFonts w:hint="eastAsia" w:ascii="宋体" w:hAnsi="宋体" w:cs="宋体"/>
          <w:sz w:val="22"/>
          <w:szCs w:val="22"/>
        </w:rPr>
        <w:t>（一）严格遵守国家关于市场准入、项目招标投标、设备采购、设备安装和市场活动等有关法律、法规、相关政策以及廉洁建设的各项规定。</w:t>
      </w:r>
    </w:p>
    <w:p>
      <w:pPr>
        <w:spacing w:line="360" w:lineRule="auto"/>
        <w:ind w:firstLine="440" w:firstLineChars="200"/>
        <w:rPr>
          <w:rFonts w:ascii="宋体" w:hAnsi="宋体" w:cs="宋体"/>
          <w:sz w:val="22"/>
          <w:szCs w:val="22"/>
        </w:rPr>
      </w:pPr>
      <w:r>
        <w:rPr>
          <w:rFonts w:hint="eastAsia" w:ascii="宋体" w:hAnsi="宋体" w:cs="宋体"/>
          <w:sz w:val="22"/>
          <w:szCs w:val="22"/>
        </w:rPr>
        <w:t>（二）严格执行项目合同文件，自觉按合同办事。</w:t>
      </w:r>
    </w:p>
    <w:p>
      <w:pPr>
        <w:spacing w:line="360" w:lineRule="auto"/>
        <w:ind w:firstLine="440" w:firstLineChars="200"/>
        <w:rPr>
          <w:rFonts w:ascii="宋体" w:hAnsi="宋体" w:cs="宋体"/>
          <w:sz w:val="22"/>
          <w:szCs w:val="22"/>
        </w:rPr>
      </w:pPr>
      <w:r>
        <w:rPr>
          <w:rFonts w:hint="eastAsia" w:ascii="宋体" w:hAnsi="宋体" w:cs="宋体"/>
          <w:sz w:val="22"/>
          <w:szCs w:val="22"/>
        </w:rPr>
        <w:t>（三）业务活动必须坚持公开、公平、公正、诚信、透明的原则（除法律认定的商业秘密和合同文件另有规定外），不得为获取不正当利益而损害国家、集体和双方利益，不得违反设备采购及安装的规章制度。</w:t>
      </w:r>
    </w:p>
    <w:p>
      <w:pPr>
        <w:spacing w:line="360" w:lineRule="auto"/>
        <w:ind w:firstLine="440" w:firstLineChars="200"/>
        <w:rPr>
          <w:rFonts w:ascii="宋体" w:hAnsi="宋体" w:cs="宋体"/>
          <w:sz w:val="22"/>
          <w:szCs w:val="22"/>
        </w:rPr>
      </w:pPr>
      <w:r>
        <w:rPr>
          <w:rFonts w:hint="eastAsia" w:ascii="宋体" w:hAnsi="宋体" w:cs="宋体"/>
          <w:sz w:val="22"/>
          <w:szCs w:val="22"/>
        </w:rPr>
        <w:t>（四）发现对方在业务活动中有违规、违纪、违法行为倾向或苗头的，应及时提醒对方，情节严重的，应向其上级主管部门或纪检监察、司法等有关机关举报。</w:t>
      </w:r>
    </w:p>
    <w:p>
      <w:pPr>
        <w:spacing w:line="360" w:lineRule="auto"/>
        <w:ind w:firstLine="440" w:firstLineChars="200"/>
        <w:rPr>
          <w:rFonts w:ascii="宋体" w:hAnsi="宋体" w:cs="宋体"/>
          <w:sz w:val="22"/>
          <w:szCs w:val="22"/>
        </w:rPr>
      </w:pPr>
      <w:r>
        <w:rPr>
          <w:rFonts w:hint="eastAsia" w:ascii="宋体" w:hAnsi="宋体" w:cs="宋体"/>
          <w:sz w:val="22"/>
          <w:szCs w:val="22"/>
        </w:rPr>
        <w:t>第二条甲方的责任</w:t>
      </w:r>
    </w:p>
    <w:p>
      <w:pPr>
        <w:spacing w:line="360" w:lineRule="auto"/>
        <w:ind w:firstLine="440" w:firstLineChars="200"/>
        <w:rPr>
          <w:rFonts w:ascii="宋体" w:hAnsi="宋体" w:cs="宋体"/>
          <w:sz w:val="22"/>
          <w:szCs w:val="22"/>
        </w:rPr>
      </w:pPr>
      <w:r>
        <w:rPr>
          <w:rFonts w:hint="eastAsia" w:ascii="宋体" w:hAnsi="宋体" w:cs="宋体"/>
          <w:sz w:val="22"/>
          <w:szCs w:val="22"/>
        </w:rPr>
        <w:t>（一）甲方及其工作人员不得索要或接受乙方的礼金、商业预付卡、有价证劵和贵重物品。</w:t>
      </w:r>
    </w:p>
    <w:p>
      <w:pPr>
        <w:spacing w:line="360" w:lineRule="auto"/>
        <w:ind w:firstLine="440" w:firstLineChars="200"/>
        <w:rPr>
          <w:rFonts w:ascii="宋体" w:hAnsi="宋体" w:cs="宋体"/>
          <w:sz w:val="22"/>
          <w:szCs w:val="22"/>
        </w:rPr>
      </w:pPr>
      <w:r>
        <w:rPr>
          <w:rFonts w:hint="eastAsia" w:ascii="宋体" w:hAnsi="宋体" w:cs="宋体"/>
          <w:sz w:val="22"/>
          <w:szCs w:val="22"/>
        </w:rPr>
        <w:t>（二）甲方及其工作人员不得在乙方报销任何应由甲方或个人支付的费用等。</w:t>
      </w:r>
    </w:p>
    <w:p>
      <w:pPr>
        <w:spacing w:line="360" w:lineRule="auto"/>
        <w:ind w:firstLine="440" w:firstLineChars="200"/>
        <w:rPr>
          <w:rFonts w:ascii="宋体" w:hAnsi="宋体" w:cs="宋体"/>
          <w:sz w:val="22"/>
          <w:szCs w:val="22"/>
        </w:rPr>
      </w:pPr>
      <w:r>
        <w:rPr>
          <w:rFonts w:hint="eastAsia" w:ascii="宋体" w:hAnsi="宋体" w:cs="宋体"/>
          <w:sz w:val="22"/>
          <w:szCs w:val="22"/>
        </w:rPr>
        <w:t>（三）甲方及其工作人员不得要求或者接受乙方为其住房装修、婚丧嫁娶活动、配偶子女的工作安排以及出国出境、旅游等提供方便。</w:t>
      </w:r>
    </w:p>
    <w:p>
      <w:pPr>
        <w:spacing w:line="360" w:lineRule="auto"/>
        <w:ind w:firstLine="440" w:firstLineChars="200"/>
        <w:rPr>
          <w:rFonts w:ascii="宋体" w:hAnsi="宋体" w:cs="宋体"/>
          <w:sz w:val="22"/>
          <w:szCs w:val="22"/>
        </w:rPr>
      </w:pPr>
      <w:r>
        <w:rPr>
          <w:rFonts w:hint="eastAsia" w:ascii="宋体" w:hAnsi="宋体" w:cs="宋体"/>
          <w:sz w:val="22"/>
          <w:szCs w:val="22"/>
        </w:rPr>
        <w:t>（四）甲方及其工作人员不准有可能影响公正执行职务的乙方或相关单位的宴请或健身、娱乐等活动。</w:t>
      </w:r>
    </w:p>
    <w:p>
      <w:pPr>
        <w:spacing w:line="360" w:lineRule="auto"/>
        <w:ind w:firstLine="440" w:firstLineChars="200"/>
        <w:rPr>
          <w:rFonts w:ascii="宋体" w:hAnsi="宋体" w:cs="宋体"/>
          <w:sz w:val="22"/>
          <w:szCs w:val="22"/>
        </w:rPr>
      </w:pPr>
      <w:r>
        <w:rPr>
          <w:rFonts w:hint="eastAsia" w:ascii="宋体" w:hAnsi="宋体" w:cs="宋体"/>
          <w:sz w:val="22"/>
          <w:szCs w:val="22"/>
        </w:rPr>
        <w:t>（五）甲方及其工作人员不得违规向乙方推荐分包单位，不得要求乙方购买合同规定外的材料和设备。</w:t>
      </w:r>
    </w:p>
    <w:p>
      <w:pPr>
        <w:spacing w:line="360" w:lineRule="auto"/>
        <w:ind w:firstLine="440" w:firstLineChars="200"/>
        <w:rPr>
          <w:rFonts w:ascii="宋体" w:hAnsi="宋体" w:cs="宋体"/>
          <w:sz w:val="22"/>
          <w:szCs w:val="22"/>
        </w:rPr>
      </w:pPr>
      <w:r>
        <w:rPr>
          <w:rFonts w:hint="eastAsia" w:ascii="宋体" w:hAnsi="宋体" w:cs="宋体"/>
          <w:sz w:val="22"/>
          <w:szCs w:val="22"/>
        </w:rPr>
        <w:t>（六）甲方工作人员的配偶、子女不得从事与甲方设备有关的材料设备供应、分包、劳务等经济活动等。</w:t>
      </w:r>
    </w:p>
    <w:p>
      <w:pPr>
        <w:spacing w:line="360" w:lineRule="auto"/>
        <w:ind w:firstLine="440" w:firstLineChars="200"/>
        <w:rPr>
          <w:rFonts w:ascii="宋体" w:hAnsi="宋体" w:cs="宋体"/>
          <w:sz w:val="22"/>
          <w:szCs w:val="22"/>
        </w:rPr>
      </w:pPr>
      <w:r>
        <w:rPr>
          <w:rFonts w:hint="eastAsia" w:ascii="宋体" w:hAnsi="宋体" w:cs="宋体"/>
          <w:sz w:val="22"/>
          <w:szCs w:val="22"/>
        </w:rPr>
        <w:t>第三条乙方的责任</w:t>
      </w:r>
    </w:p>
    <w:p>
      <w:pPr>
        <w:spacing w:line="360" w:lineRule="auto"/>
        <w:ind w:firstLine="440" w:firstLineChars="200"/>
        <w:rPr>
          <w:rFonts w:ascii="宋体" w:hAnsi="宋体" w:cs="宋体"/>
          <w:sz w:val="22"/>
          <w:szCs w:val="22"/>
        </w:rPr>
      </w:pPr>
      <w:r>
        <w:rPr>
          <w:rFonts w:hint="eastAsia" w:ascii="宋体" w:hAnsi="宋体" w:cs="宋体"/>
          <w:sz w:val="22"/>
          <w:szCs w:val="22"/>
        </w:rPr>
        <w:t>（一）乙方及其工作人员不得以任何理由向甲方及其工作人员行贿或馈赠礼金、商业预付卡、有价证劵和贵重物品。</w:t>
      </w:r>
    </w:p>
    <w:p>
      <w:pPr>
        <w:spacing w:line="360" w:lineRule="auto"/>
        <w:ind w:firstLine="440" w:firstLineChars="200"/>
        <w:rPr>
          <w:rFonts w:ascii="宋体" w:hAnsi="宋体" w:cs="宋体"/>
          <w:sz w:val="22"/>
          <w:szCs w:val="22"/>
        </w:rPr>
      </w:pPr>
      <w:r>
        <w:rPr>
          <w:rFonts w:hint="eastAsia" w:ascii="宋体" w:hAnsi="宋体" w:cs="宋体"/>
          <w:sz w:val="22"/>
          <w:szCs w:val="22"/>
        </w:rPr>
        <w:t>（二）乙方及其工作人员不得以任何名义为甲方及其工作人员报销由甲方单位或个人支付的任何费用。</w:t>
      </w:r>
    </w:p>
    <w:p>
      <w:pPr>
        <w:spacing w:line="360" w:lineRule="auto"/>
        <w:ind w:firstLine="440" w:firstLineChars="200"/>
        <w:rPr>
          <w:rFonts w:ascii="宋体" w:hAnsi="宋体" w:cs="宋体"/>
          <w:sz w:val="22"/>
          <w:szCs w:val="22"/>
        </w:rPr>
      </w:pPr>
      <w:r>
        <w:rPr>
          <w:rFonts w:hint="eastAsia" w:ascii="宋体" w:hAnsi="宋体" w:cs="宋体"/>
          <w:sz w:val="22"/>
          <w:szCs w:val="22"/>
        </w:rPr>
        <w:t>（三）乙方及其工作人员不得以任何理由安排甲方工作人员参加超标准宴请及可能影响工程履行职务的健身、娱乐等活动。</w:t>
      </w:r>
    </w:p>
    <w:p>
      <w:pPr>
        <w:spacing w:line="360" w:lineRule="auto"/>
        <w:ind w:firstLine="440" w:firstLineChars="200"/>
        <w:rPr>
          <w:rFonts w:ascii="宋体" w:hAnsi="宋体" w:cs="宋体"/>
          <w:sz w:val="22"/>
          <w:szCs w:val="22"/>
        </w:rPr>
      </w:pPr>
      <w:r>
        <w:rPr>
          <w:rFonts w:hint="eastAsia" w:ascii="宋体" w:hAnsi="宋体" w:cs="宋体"/>
          <w:sz w:val="22"/>
          <w:szCs w:val="22"/>
        </w:rPr>
        <w:t>（四）乙方及其工作人员不得为甲方单位和个人购置或提供通讯工具、交通工具和高档办公用品等。</w:t>
      </w:r>
    </w:p>
    <w:p>
      <w:pPr>
        <w:spacing w:line="360" w:lineRule="auto"/>
        <w:ind w:firstLine="440" w:firstLineChars="200"/>
        <w:rPr>
          <w:rFonts w:ascii="宋体" w:hAnsi="宋体" w:cs="宋体"/>
          <w:sz w:val="22"/>
          <w:szCs w:val="22"/>
        </w:rPr>
      </w:pPr>
      <w:r>
        <w:rPr>
          <w:rFonts w:hint="eastAsia" w:ascii="宋体" w:hAnsi="宋体" w:cs="宋体"/>
          <w:sz w:val="22"/>
          <w:szCs w:val="22"/>
        </w:rPr>
        <w:t>第四条甲、乙双方及其工作人员违反本合同第一、二、三条规定的，按管理权限，依据有关规定给予党纪、政纪处分或组织处理；涉嫌犯罪的，移交司法机关追究刑事责任；给对方单位造成经济损失的，应予以赔偿。</w:t>
      </w:r>
    </w:p>
    <w:p>
      <w:pPr>
        <w:spacing w:line="360" w:lineRule="auto"/>
        <w:ind w:firstLine="440" w:firstLineChars="200"/>
        <w:rPr>
          <w:rFonts w:ascii="宋体" w:hAnsi="宋体" w:cs="宋体"/>
          <w:sz w:val="22"/>
          <w:szCs w:val="22"/>
        </w:rPr>
      </w:pPr>
      <w:r>
        <w:rPr>
          <w:rFonts w:hint="eastAsia" w:ascii="宋体" w:hAnsi="宋体" w:cs="宋体"/>
          <w:sz w:val="22"/>
          <w:szCs w:val="22"/>
        </w:rPr>
        <w:t>第五条本合同作为项目主合同的附件，与主合同具有同等法律效力。经双方签署后立即生效。</w:t>
      </w:r>
    </w:p>
    <w:p>
      <w:pPr>
        <w:spacing w:line="360" w:lineRule="auto"/>
        <w:ind w:firstLine="440" w:firstLineChars="200"/>
        <w:rPr>
          <w:rFonts w:ascii="宋体" w:hAnsi="宋体" w:cs="宋体"/>
          <w:sz w:val="22"/>
          <w:szCs w:val="22"/>
        </w:rPr>
      </w:pPr>
      <w:r>
        <w:rPr>
          <w:rFonts w:hint="eastAsia" w:ascii="宋体" w:hAnsi="宋体" w:cs="宋体"/>
          <w:sz w:val="22"/>
          <w:szCs w:val="22"/>
        </w:rPr>
        <w:t>第六条本合同的有效期为双方签署之日起至该工程项目工期结束止。</w:t>
      </w: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tabs>
          <w:tab w:val="left" w:pos="2640"/>
          <w:tab w:val="left" w:pos="4400"/>
          <w:tab w:val="left" w:pos="7240"/>
          <w:tab w:val="left" w:pos="7680"/>
        </w:tabs>
        <w:autoSpaceDE w:val="0"/>
        <w:autoSpaceDN w:val="0"/>
        <w:adjustRightInd w:val="0"/>
        <w:spacing w:line="360" w:lineRule="auto"/>
        <w:ind w:left="120" w:right="-223" w:hanging="1"/>
        <w:jc w:val="left"/>
        <w:rPr>
          <w:rFonts w:ascii="宋体" w:hAnsi="宋体" w:cs="宋体"/>
          <w:kern w:val="0"/>
          <w:sz w:val="22"/>
          <w:szCs w:val="22"/>
        </w:rPr>
      </w:pPr>
      <w:r>
        <w:rPr>
          <w:rFonts w:hint="eastAsia" w:ascii="宋体" w:hAnsi="宋体" w:cs="宋体"/>
          <w:kern w:val="0"/>
          <w:sz w:val="22"/>
          <w:szCs w:val="22"/>
        </w:rPr>
        <w:t>甲方：</w:t>
      </w:r>
      <w:r>
        <w:rPr>
          <w:rFonts w:hint="eastAsia" w:ascii="宋体" w:hAnsi="宋体" w:cs="宋体"/>
          <w:b/>
          <w:bCs/>
          <w:sz w:val="22"/>
          <w:szCs w:val="22"/>
        </w:rPr>
        <w:t xml:space="preserve">东莞市数据互联有限公司  </w:t>
      </w:r>
      <w:r>
        <w:rPr>
          <w:rFonts w:hint="eastAsia" w:ascii="宋体" w:hAnsi="宋体" w:cs="宋体"/>
          <w:kern w:val="0"/>
          <w:sz w:val="22"/>
          <w:szCs w:val="22"/>
        </w:rPr>
        <w:t xml:space="preserve">            </w:t>
      </w:r>
      <w:r>
        <w:rPr>
          <w:rFonts w:hint="eastAsia" w:ascii="宋体" w:hAnsi="宋体" w:cs="宋体"/>
          <w:spacing w:val="-1"/>
          <w:kern w:val="0"/>
          <w:sz w:val="22"/>
          <w:szCs w:val="22"/>
        </w:rPr>
        <w:t>乙方</w:t>
      </w:r>
      <w:r>
        <w:rPr>
          <w:rFonts w:hint="eastAsia" w:ascii="宋体" w:hAnsi="宋体" w:cs="宋体"/>
          <w:kern w:val="0"/>
          <w:sz w:val="22"/>
          <w:szCs w:val="22"/>
        </w:rPr>
        <w:t>：</w:t>
      </w:r>
    </w:p>
    <w:p>
      <w:pPr>
        <w:tabs>
          <w:tab w:val="left" w:pos="2640"/>
          <w:tab w:val="left" w:pos="4400"/>
          <w:tab w:val="left" w:pos="7240"/>
          <w:tab w:val="left" w:pos="7680"/>
        </w:tabs>
        <w:autoSpaceDE w:val="0"/>
        <w:autoSpaceDN w:val="0"/>
        <w:adjustRightInd w:val="0"/>
        <w:spacing w:line="360" w:lineRule="auto"/>
        <w:ind w:left="120" w:right="-223" w:firstLine="1320" w:firstLineChars="600"/>
        <w:jc w:val="left"/>
        <w:rPr>
          <w:rFonts w:ascii="宋体" w:hAnsi="宋体" w:cs="宋体"/>
          <w:kern w:val="0"/>
          <w:sz w:val="22"/>
          <w:szCs w:val="22"/>
        </w:rPr>
      </w:pPr>
      <w:r>
        <w:rPr>
          <w:rFonts w:hint="eastAsia" w:ascii="宋体" w:hAnsi="宋体" w:cs="宋体"/>
          <w:kern w:val="0"/>
          <w:sz w:val="22"/>
          <w:szCs w:val="22"/>
        </w:rPr>
        <w:t>（盖单</w:t>
      </w:r>
      <w:r>
        <w:rPr>
          <w:rFonts w:hint="eastAsia" w:ascii="宋体" w:hAnsi="宋体" w:cs="宋体"/>
          <w:spacing w:val="-1"/>
          <w:kern w:val="0"/>
          <w:sz w:val="22"/>
          <w:szCs w:val="22"/>
        </w:rPr>
        <w:t>位</w:t>
      </w:r>
      <w:r>
        <w:rPr>
          <w:rFonts w:hint="eastAsia" w:ascii="宋体" w:hAnsi="宋体" w:cs="宋体"/>
          <w:kern w:val="0"/>
          <w:sz w:val="22"/>
          <w:szCs w:val="22"/>
        </w:rPr>
        <w:t>章）                    （盖单位</w:t>
      </w:r>
      <w:r>
        <w:rPr>
          <w:rFonts w:hint="eastAsia" w:ascii="宋体" w:hAnsi="宋体" w:cs="宋体"/>
          <w:spacing w:val="1"/>
          <w:kern w:val="0"/>
          <w:sz w:val="22"/>
          <w:szCs w:val="22"/>
        </w:rPr>
        <w:t>章</w:t>
      </w:r>
      <w:r>
        <w:rPr>
          <w:rFonts w:hint="eastAsia" w:ascii="宋体" w:hAnsi="宋体" w:cs="宋体"/>
          <w:kern w:val="0"/>
          <w:sz w:val="22"/>
          <w:szCs w:val="22"/>
        </w:rPr>
        <w:t>）</w:t>
      </w:r>
    </w:p>
    <w:p>
      <w:pPr>
        <w:tabs>
          <w:tab w:val="left" w:pos="2640"/>
          <w:tab w:val="left" w:pos="4400"/>
          <w:tab w:val="left" w:pos="7240"/>
          <w:tab w:val="left" w:pos="7680"/>
        </w:tabs>
        <w:autoSpaceDE w:val="0"/>
        <w:autoSpaceDN w:val="0"/>
        <w:adjustRightInd w:val="0"/>
        <w:spacing w:line="360" w:lineRule="auto"/>
        <w:ind w:left="120" w:right="-223" w:hanging="1"/>
        <w:jc w:val="left"/>
        <w:rPr>
          <w:rFonts w:ascii="宋体" w:hAnsi="宋体" w:cs="宋体"/>
          <w:kern w:val="0"/>
          <w:sz w:val="22"/>
          <w:szCs w:val="22"/>
        </w:rPr>
      </w:pPr>
      <w:r>
        <w:rPr>
          <w:rFonts w:hint="eastAsia" w:ascii="宋体" w:hAnsi="宋体" w:cs="宋体"/>
          <w:kern w:val="0"/>
          <w:sz w:val="22"/>
          <w:szCs w:val="22"/>
        </w:rPr>
        <w:t xml:space="preserve">法定代表人：                               </w:t>
      </w:r>
      <w:r>
        <w:rPr>
          <w:rFonts w:hint="eastAsia" w:ascii="宋体" w:hAnsi="宋体" w:cs="宋体"/>
          <w:spacing w:val="-1"/>
          <w:kern w:val="0"/>
          <w:sz w:val="22"/>
          <w:szCs w:val="22"/>
        </w:rPr>
        <w:t>法</w:t>
      </w:r>
      <w:r>
        <w:rPr>
          <w:rFonts w:hint="eastAsia" w:ascii="宋体" w:hAnsi="宋体" w:cs="宋体"/>
          <w:kern w:val="0"/>
          <w:sz w:val="22"/>
          <w:szCs w:val="22"/>
        </w:rPr>
        <w:t xml:space="preserve">定代表人： </w:t>
      </w:r>
    </w:p>
    <w:p>
      <w:pPr>
        <w:tabs>
          <w:tab w:val="left" w:pos="3600"/>
          <w:tab w:val="left" w:pos="5115"/>
          <w:tab w:val="left" w:pos="8400"/>
          <w:tab w:val="left" w:pos="8445"/>
        </w:tabs>
        <w:autoSpaceDE w:val="0"/>
        <w:autoSpaceDN w:val="0"/>
        <w:adjustRightInd w:val="0"/>
        <w:spacing w:line="360" w:lineRule="auto"/>
        <w:ind w:left="120" w:right="-223" w:hanging="1"/>
        <w:jc w:val="left"/>
        <w:rPr>
          <w:rFonts w:ascii="宋体" w:hAnsi="宋体" w:cs="宋体"/>
          <w:kern w:val="0"/>
          <w:sz w:val="22"/>
          <w:szCs w:val="22"/>
        </w:rPr>
      </w:pPr>
      <w:r>
        <w:rPr>
          <w:rFonts w:hint="eastAsia" w:ascii="宋体" w:hAnsi="宋体" w:cs="宋体"/>
          <w:kern w:val="0"/>
          <w:sz w:val="22"/>
          <w:szCs w:val="22"/>
        </w:rPr>
        <w:t>或其委托代理人</w:t>
      </w:r>
      <w:r>
        <w:rPr>
          <w:rFonts w:hint="eastAsia" w:ascii="宋体" w:hAnsi="宋体" w:cs="宋体"/>
          <w:spacing w:val="-40"/>
          <w:kern w:val="0"/>
          <w:sz w:val="22"/>
          <w:szCs w:val="22"/>
        </w:rPr>
        <w:t>：</w:t>
      </w:r>
      <w:r>
        <w:rPr>
          <w:rFonts w:hint="eastAsia" w:ascii="宋体" w:hAnsi="宋体" w:cs="宋体"/>
          <w:spacing w:val="-1"/>
          <w:kern w:val="0"/>
          <w:sz w:val="22"/>
          <w:szCs w:val="22"/>
        </w:rPr>
        <w:t>（</w:t>
      </w:r>
      <w:r>
        <w:rPr>
          <w:rFonts w:hint="eastAsia" w:ascii="宋体" w:hAnsi="宋体" w:cs="宋体"/>
          <w:kern w:val="0"/>
          <w:sz w:val="22"/>
          <w:szCs w:val="22"/>
        </w:rPr>
        <w:t>签字）</w:t>
      </w:r>
      <w:r>
        <w:rPr>
          <w:rFonts w:hint="eastAsia" w:ascii="宋体" w:hAnsi="宋体" w:cs="宋体"/>
          <w:kern w:val="0"/>
          <w:sz w:val="22"/>
          <w:szCs w:val="22"/>
        </w:rPr>
        <w:tab/>
      </w:r>
      <w:r>
        <w:rPr>
          <w:rFonts w:hint="eastAsia" w:ascii="宋体" w:hAnsi="宋体" w:cs="宋体"/>
          <w:kern w:val="0"/>
          <w:sz w:val="22"/>
          <w:szCs w:val="22"/>
        </w:rPr>
        <w:t xml:space="preserve">              或其委托代理人</w:t>
      </w:r>
      <w:r>
        <w:rPr>
          <w:rFonts w:hint="eastAsia" w:ascii="宋体" w:hAnsi="宋体" w:cs="宋体"/>
          <w:spacing w:val="-40"/>
          <w:kern w:val="0"/>
          <w:sz w:val="22"/>
          <w:szCs w:val="22"/>
        </w:rPr>
        <w:t>：</w:t>
      </w:r>
      <w:r>
        <w:rPr>
          <w:rFonts w:hint="eastAsia" w:ascii="宋体" w:hAnsi="宋体" w:cs="宋体"/>
          <w:spacing w:val="-1"/>
          <w:kern w:val="0"/>
          <w:sz w:val="22"/>
          <w:szCs w:val="22"/>
        </w:rPr>
        <w:t>（</w:t>
      </w:r>
      <w:r>
        <w:rPr>
          <w:rFonts w:hint="eastAsia" w:ascii="宋体" w:hAnsi="宋体" w:cs="宋体"/>
          <w:kern w:val="0"/>
          <w:sz w:val="22"/>
          <w:szCs w:val="22"/>
        </w:rPr>
        <w:t>签字）</w:t>
      </w:r>
    </w:p>
    <w:p>
      <w:pPr>
        <w:spacing w:line="360" w:lineRule="auto"/>
        <w:rPr>
          <w:rFonts w:ascii="宋体" w:hAnsi="宋体" w:cs="宋体"/>
          <w:kern w:val="0"/>
          <w:position w:val="-2"/>
          <w:sz w:val="22"/>
          <w:szCs w:val="22"/>
        </w:rPr>
      </w:pPr>
      <w:r>
        <w:rPr>
          <w:rFonts w:hint="eastAsia" w:ascii="宋体" w:hAnsi="宋体" w:cs="宋体"/>
          <w:kern w:val="0"/>
          <w:position w:val="-2"/>
          <w:sz w:val="22"/>
          <w:szCs w:val="22"/>
        </w:rPr>
        <w:t xml:space="preserve"> </w:t>
      </w:r>
      <w:r>
        <w:rPr>
          <w:rFonts w:hint="eastAsia" w:ascii="宋体" w:hAnsi="宋体" w:cs="宋体"/>
          <w:kern w:val="0"/>
          <w:position w:val="-2"/>
          <w:sz w:val="22"/>
          <w:szCs w:val="22"/>
          <w:u w:val="single"/>
        </w:rPr>
        <w:t xml:space="preserve"> 2022 </w:t>
      </w:r>
      <w:r>
        <w:rPr>
          <w:rFonts w:hint="eastAsia" w:ascii="宋体" w:hAnsi="宋体" w:cs="宋体"/>
          <w:spacing w:val="-1"/>
          <w:kern w:val="0"/>
          <w:position w:val="-2"/>
          <w:sz w:val="22"/>
          <w:szCs w:val="22"/>
        </w:rPr>
        <w:t>年</w:t>
      </w:r>
      <w:r>
        <w:rPr>
          <w:rFonts w:hint="eastAsia" w:ascii="宋体" w:hAnsi="宋体" w:cs="宋体"/>
          <w:kern w:val="0"/>
          <w:position w:val="-2"/>
          <w:sz w:val="22"/>
          <w:szCs w:val="22"/>
          <w:u w:val="single"/>
        </w:rPr>
        <w:tab/>
      </w:r>
      <w:r>
        <w:rPr>
          <w:rFonts w:hint="eastAsia" w:ascii="宋体" w:hAnsi="宋体" w:cs="宋体"/>
          <w:kern w:val="0"/>
          <w:position w:val="-2"/>
          <w:sz w:val="22"/>
          <w:szCs w:val="22"/>
          <w:u w:val="single"/>
        </w:rPr>
        <w:t xml:space="preserve">   </w:t>
      </w:r>
      <w:r>
        <w:rPr>
          <w:rFonts w:hint="eastAsia" w:ascii="宋体" w:hAnsi="宋体" w:cs="宋体"/>
          <w:kern w:val="0"/>
          <w:position w:val="-2"/>
          <w:sz w:val="22"/>
          <w:szCs w:val="22"/>
        </w:rPr>
        <w:t xml:space="preserve">月 </w:t>
      </w:r>
      <w:r>
        <w:rPr>
          <w:rFonts w:hint="eastAsia" w:ascii="宋体" w:hAnsi="宋体" w:cs="宋体"/>
          <w:kern w:val="0"/>
          <w:position w:val="-2"/>
          <w:sz w:val="22"/>
          <w:szCs w:val="22"/>
          <w:u w:val="single"/>
        </w:rPr>
        <w:t xml:space="preserve">     </w:t>
      </w:r>
      <w:r>
        <w:rPr>
          <w:rFonts w:hint="eastAsia" w:ascii="宋体" w:hAnsi="宋体" w:cs="宋体"/>
          <w:kern w:val="0"/>
          <w:position w:val="-2"/>
          <w:sz w:val="22"/>
          <w:szCs w:val="22"/>
        </w:rPr>
        <w:t xml:space="preserve">日                    </w:t>
      </w:r>
      <w:r>
        <w:rPr>
          <w:rFonts w:hint="eastAsia" w:ascii="宋体" w:hAnsi="宋体" w:cs="宋体"/>
          <w:kern w:val="0"/>
          <w:position w:val="-2"/>
          <w:sz w:val="22"/>
          <w:szCs w:val="22"/>
          <w:u w:val="single"/>
        </w:rPr>
        <w:t xml:space="preserve"> 2022 </w:t>
      </w:r>
      <w:r>
        <w:rPr>
          <w:rFonts w:hint="eastAsia" w:ascii="宋体" w:hAnsi="宋体" w:cs="宋体"/>
          <w:kern w:val="0"/>
          <w:position w:val="-2"/>
          <w:sz w:val="22"/>
          <w:szCs w:val="22"/>
        </w:rPr>
        <w:t>年</w:t>
      </w:r>
      <w:r>
        <w:rPr>
          <w:rFonts w:hint="eastAsia" w:ascii="宋体" w:hAnsi="宋体" w:cs="宋体"/>
          <w:kern w:val="0"/>
          <w:position w:val="-2"/>
          <w:sz w:val="22"/>
          <w:szCs w:val="22"/>
          <w:u w:val="single"/>
        </w:rPr>
        <w:tab/>
      </w:r>
      <w:r>
        <w:rPr>
          <w:rFonts w:hint="eastAsia" w:ascii="宋体" w:hAnsi="宋体" w:cs="宋体"/>
          <w:kern w:val="0"/>
          <w:position w:val="-2"/>
          <w:sz w:val="22"/>
          <w:szCs w:val="22"/>
          <w:u w:val="single"/>
        </w:rPr>
        <w:t xml:space="preserve">   </w:t>
      </w:r>
      <w:r>
        <w:rPr>
          <w:rFonts w:hint="eastAsia" w:ascii="宋体" w:hAnsi="宋体" w:cs="宋体"/>
          <w:kern w:val="0"/>
          <w:position w:val="-2"/>
          <w:sz w:val="22"/>
          <w:szCs w:val="22"/>
        </w:rPr>
        <w:t xml:space="preserve">月 </w:t>
      </w:r>
      <w:r>
        <w:rPr>
          <w:rFonts w:hint="eastAsia" w:ascii="宋体" w:hAnsi="宋体" w:cs="宋体"/>
          <w:kern w:val="0"/>
          <w:position w:val="-2"/>
          <w:sz w:val="22"/>
          <w:szCs w:val="22"/>
          <w:u w:val="single"/>
        </w:rPr>
        <w:t xml:space="preserve">     </w:t>
      </w:r>
      <w:r>
        <w:rPr>
          <w:rFonts w:hint="eastAsia" w:ascii="宋体" w:hAnsi="宋体" w:cs="宋体"/>
          <w:kern w:val="0"/>
          <w:position w:val="-2"/>
          <w:sz w:val="22"/>
          <w:szCs w:val="22"/>
        </w:rPr>
        <w:t xml:space="preserve">日  </w:t>
      </w:r>
    </w:p>
    <w:p>
      <w:pPr>
        <w:rPr>
          <w:rFonts w:ascii="宋体" w:hAnsi="宋体" w:cs="宋体"/>
          <w:kern w:val="0"/>
          <w:position w:val="-2"/>
          <w:sz w:val="22"/>
          <w:szCs w:val="22"/>
        </w:rPr>
      </w:pPr>
      <w:r>
        <w:rPr>
          <w:rFonts w:hint="eastAsia" w:ascii="宋体" w:hAnsi="宋体" w:cs="宋体"/>
          <w:kern w:val="0"/>
          <w:position w:val="-2"/>
          <w:sz w:val="22"/>
          <w:szCs w:val="22"/>
        </w:rPr>
        <w:br w:type="page"/>
      </w:r>
    </w:p>
    <w:p>
      <w:pPr>
        <w:spacing w:line="360" w:lineRule="auto"/>
        <w:outlineLvl w:val="2"/>
        <w:rPr>
          <w:b/>
          <w:bCs/>
          <w:sz w:val="28"/>
          <w:szCs w:val="28"/>
        </w:rPr>
      </w:pPr>
      <w:bookmarkStart w:id="1164" w:name="_Toc31560"/>
      <w:bookmarkStart w:id="1165" w:name="_Toc6077"/>
      <w:bookmarkStart w:id="1166" w:name="_Toc110411532"/>
      <w:r>
        <w:rPr>
          <w:rFonts w:hint="eastAsia"/>
          <w:b/>
          <w:bCs/>
          <w:sz w:val="22"/>
          <w:szCs w:val="22"/>
        </w:rPr>
        <w:t>附件2.系统最终验收投运后支付考核标准</w:t>
      </w:r>
      <w:bookmarkEnd w:id="1164"/>
      <w:bookmarkEnd w:id="1165"/>
      <w:bookmarkEnd w:id="1166"/>
    </w:p>
    <w:tbl>
      <w:tblPr>
        <w:tblStyle w:val="35"/>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
        <w:gridCol w:w="7198"/>
        <w:gridCol w:w="920"/>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2"/>
                <w:szCs w:val="22"/>
              </w:rPr>
            </w:pPr>
            <w:r>
              <w:rPr>
                <w:rFonts w:hint="eastAsia" w:ascii="宋体" w:hAnsi="宋体" w:eastAsia="宋体" w:cs="宋体"/>
                <w:b/>
                <w:bCs/>
                <w:sz w:val="22"/>
                <w:szCs w:val="22"/>
              </w:rPr>
              <w:t>序号</w:t>
            </w:r>
          </w:p>
        </w:tc>
        <w:tc>
          <w:tcPr>
            <w:tcW w:w="6662"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2"/>
                <w:szCs w:val="22"/>
              </w:rPr>
            </w:pPr>
            <w:r>
              <w:rPr>
                <w:rFonts w:hint="eastAsia" w:ascii="宋体" w:hAnsi="宋体" w:eastAsia="宋体" w:cs="宋体"/>
                <w:b/>
                <w:bCs/>
                <w:sz w:val="22"/>
                <w:szCs w:val="22"/>
              </w:rPr>
              <w:t>考核内容</w:t>
            </w:r>
          </w:p>
        </w:tc>
        <w:tc>
          <w:tcPr>
            <w:tcW w:w="85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2"/>
                <w:szCs w:val="22"/>
              </w:rPr>
            </w:pPr>
            <w:r>
              <w:rPr>
                <w:rFonts w:hint="eastAsia" w:ascii="宋体" w:hAnsi="宋体" w:eastAsia="宋体" w:cs="宋体"/>
                <w:b/>
                <w:bCs/>
                <w:sz w:val="22"/>
                <w:szCs w:val="22"/>
              </w:rPr>
              <w:t>分值</w:t>
            </w:r>
          </w:p>
        </w:tc>
        <w:tc>
          <w:tcPr>
            <w:tcW w:w="85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2"/>
                <w:szCs w:val="22"/>
              </w:rPr>
            </w:pPr>
            <w:r>
              <w:rPr>
                <w:rFonts w:hint="eastAsia" w:ascii="宋体" w:hAnsi="宋体" w:eastAsia="宋体" w:cs="宋体"/>
                <w:b/>
                <w:bCs/>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rPr>
            </w:pPr>
            <w:r>
              <w:rPr>
                <w:rFonts w:hint="eastAsia" w:ascii="宋体" w:hAnsi="宋体" w:eastAsia="宋体" w:cs="宋体"/>
                <w:sz w:val="22"/>
                <w:szCs w:val="22"/>
              </w:rPr>
              <w:t>1</w:t>
            </w:r>
          </w:p>
        </w:tc>
        <w:tc>
          <w:tcPr>
            <w:tcW w:w="6662"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2"/>
                <w:szCs w:val="22"/>
              </w:rPr>
            </w:pPr>
            <w:r>
              <w:rPr>
                <w:rFonts w:hint="eastAsia" w:ascii="宋体" w:hAnsi="宋体" w:eastAsia="宋体" w:cs="宋体"/>
                <w:sz w:val="22"/>
                <w:szCs w:val="22"/>
              </w:rPr>
              <w:t>系统支撑优化团队稳定，系统现场运维支撑人员不少于</w:t>
            </w:r>
            <w:r>
              <w:rPr>
                <w:rFonts w:hint="eastAsia" w:ascii="宋体" w:hAnsi="宋体" w:cs="宋体"/>
                <w:sz w:val="22"/>
                <w:szCs w:val="22"/>
                <w:lang w:val="en-US" w:eastAsia="zh-CN"/>
              </w:rPr>
              <w:t>2人</w:t>
            </w:r>
            <w:r>
              <w:rPr>
                <w:rFonts w:hint="eastAsia" w:ascii="宋体" w:hAnsi="宋体" w:eastAsia="宋体" w:cs="宋体"/>
                <w:sz w:val="22"/>
                <w:szCs w:val="22"/>
              </w:rPr>
              <w:t>，如</w:t>
            </w:r>
            <w:r>
              <w:rPr>
                <w:rFonts w:hint="eastAsia" w:ascii="宋体" w:hAnsi="宋体" w:cs="宋体"/>
                <w:sz w:val="22"/>
                <w:szCs w:val="22"/>
                <w:lang w:val="en-US" w:eastAsia="zh-CN"/>
              </w:rPr>
              <w:t>2人</w:t>
            </w:r>
            <w:r>
              <w:rPr>
                <w:rFonts w:hint="eastAsia" w:ascii="宋体" w:hAnsi="宋体" w:eastAsia="宋体" w:cs="宋体"/>
                <w:sz w:val="22"/>
                <w:szCs w:val="22"/>
              </w:rPr>
              <w:t>不能保证系统正常运行，配置到能保证系统正常运行的人数。非经甲方同意擅自更换项目组人员，每通报一次扣1分。</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rPr>
            </w:pPr>
            <w:r>
              <w:rPr>
                <w:rFonts w:hint="eastAsia" w:ascii="宋体" w:hAnsi="宋体" w:eastAsia="宋体" w:cs="宋体"/>
                <w:sz w:val="22"/>
                <w:szCs w:val="22"/>
              </w:rPr>
              <w:t>20分</w:t>
            </w:r>
          </w:p>
        </w:tc>
        <w:tc>
          <w:tcPr>
            <w:tcW w:w="85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rPr>
            </w:pPr>
            <w:r>
              <w:rPr>
                <w:rFonts w:hint="eastAsia" w:ascii="宋体" w:hAnsi="宋体" w:eastAsia="宋体" w:cs="宋体"/>
                <w:sz w:val="22"/>
                <w:szCs w:val="22"/>
              </w:rPr>
              <w:t>2</w:t>
            </w:r>
          </w:p>
        </w:tc>
        <w:tc>
          <w:tcPr>
            <w:tcW w:w="6662"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2"/>
                <w:szCs w:val="22"/>
              </w:rPr>
            </w:pPr>
            <w:r>
              <w:rPr>
                <w:rFonts w:hint="eastAsia" w:ascii="宋体" w:hAnsi="宋体" w:eastAsia="宋体" w:cs="宋体"/>
                <w:sz w:val="22"/>
                <w:szCs w:val="22"/>
              </w:rPr>
              <w:t>运维支持人员工作失误、违规操作、不遵守甲方管理要求的，每通报一次扣1分。</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rPr>
            </w:pPr>
            <w:r>
              <w:rPr>
                <w:rFonts w:hint="eastAsia" w:ascii="宋体" w:hAnsi="宋体" w:eastAsia="宋体" w:cs="宋体"/>
                <w:sz w:val="22"/>
                <w:szCs w:val="22"/>
              </w:rPr>
              <w:t>20分</w:t>
            </w:r>
          </w:p>
        </w:tc>
        <w:tc>
          <w:tcPr>
            <w:tcW w:w="85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rPr>
            </w:pPr>
            <w:r>
              <w:rPr>
                <w:rFonts w:hint="eastAsia" w:ascii="宋体" w:hAnsi="宋体" w:eastAsia="宋体" w:cs="宋体"/>
                <w:sz w:val="22"/>
                <w:szCs w:val="22"/>
              </w:rPr>
              <w:t>3</w:t>
            </w:r>
          </w:p>
        </w:tc>
        <w:tc>
          <w:tcPr>
            <w:tcW w:w="6662"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2"/>
                <w:szCs w:val="22"/>
              </w:rPr>
            </w:pPr>
            <w:r>
              <w:rPr>
                <w:rFonts w:hint="eastAsia" w:ascii="宋体" w:hAnsi="宋体" w:eastAsia="宋体" w:cs="宋体"/>
                <w:sz w:val="22"/>
                <w:szCs w:val="22"/>
              </w:rPr>
              <w:t>遇到系统宕机或大部分用户瘫痪的紧急事故，4小时内未消除故障。每出现1次，扣1分。</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rPr>
            </w:pPr>
            <w:r>
              <w:rPr>
                <w:rFonts w:hint="eastAsia" w:ascii="宋体" w:hAnsi="宋体" w:eastAsia="宋体" w:cs="宋体"/>
                <w:sz w:val="22"/>
                <w:szCs w:val="22"/>
              </w:rPr>
              <w:t>20分</w:t>
            </w:r>
          </w:p>
        </w:tc>
        <w:tc>
          <w:tcPr>
            <w:tcW w:w="85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rPr>
            </w:pPr>
            <w:r>
              <w:rPr>
                <w:rFonts w:hint="eastAsia" w:ascii="宋体" w:hAnsi="宋体" w:eastAsia="宋体" w:cs="宋体"/>
                <w:sz w:val="22"/>
                <w:szCs w:val="22"/>
              </w:rPr>
              <w:t>4</w:t>
            </w:r>
          </w:p>
        </w:tc>
        <w:tc>
          <w:tcPr>
            <w:tcW w:w="666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2"/>
                <w:szCs w:val="22"/>
              </w:rPr>
            </w:pPr>
            <w:r>
              <w:rPr>
                <w:rFonts w:hint="eastAsia" w:ascii="宋体" w:hAnsi="宋体" w:eastAsia="宋体" w:cs="宋体"/>
                <w:sz w:val="22"/>
                <w:szCs w:val="22"/>
              </w:rPr>
              <w:t>针对系统出现BUG支撑响应效率，处理时间超过双方签字确认计划时间1周的，每出现一次扣1分。</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rPr>
            </w:pPr>
            <w:r>
              <w:rPr>
                <w:rFonts w:hint="eastAsia" w:ascii="宋体" w:hAnsi="宋体" w:eastAsia="宋体" w:cs="宋体"/>
                <w:sz w:val="22"/>
                <w:szCs w:val="22"/>
              </w:rPr>
              <w:t>20分</w:t>
            </w:r>
          </w:p>
        </w:tc>
        <w:tc>
          <w:tcPr>
            <w:tcW w:w="85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rPr>
            </w:pPr>
            <w:r>
              <w:rPr>
                <w:rFonts w:hint="eastAsia" w:ascii="宋体" w:hAnsi="宋体" w:eastAsia="宋体" w:cs="宋体"/>
                <w:sz w:val="22"/>
                <w:szCs w:val="22"/>
              </w:rPr>
              <w:t>5</w:t>
            </w:r>
          </w:p>
        </w:tc>
        <w:tc>
          <w:tcPr>
            <w:tcW w:w="666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2"/>
                <w:szCs w:val="22"/>
              </w:rPr>
            </w:pPr>
            <w:r>
              <w:rPr>
                <w:rFonts w:hint="eastAsia" w:ascii="宋体" w:hAnsi="宋体" w:eastAsia="宋体" w:cs="宋体"/>
                <w:sz w:val="22"/>
                <w:szCs w:val="22"/>
              </w:rPr>
              <w:t>系统被相关部门组织的网络攻击，接到问题反馈后1天未解决或整改的，每出现1次扣1分。</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rPr>
            </w:pPr>
            <w:r>
              <w:rPr>
                <w:rFonts w:hint="eastAsia" w:ascii="宋体" w:hAnsi="宋体" w:eastAsia="宋体" w:cs="宋体"/>
                <w:sz w:val="22"/>
                <w:szCs w:val="22"/>
              </w:rPr>
              <w:t>20分</w:t>
            </w:r>
          </w:p>
        </w:tc>
        <w:tc>
          <w:tcPr>
            <w:tcW w:w="85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rPr>
            </w:pPr>
            <w:r>
              <w:rPr>
                <w:rFonts w:hint="eastAsia" w:ascii="宋体" w:hAnsi="宋体" w:eastAsia="宋体" w:cs="宋体"/>
                <w:sz w:val="22"/>
                <w:szCs w:val="22"/>
              </w:rPr>
              <w:t>备注</w:t>
            </w:r>
          </w:p>
        </w:tc>
        <w:tc>
          <w:tcPr>
            <w:tcW w:w="8363" w:type="dxa"/>
            <w:gridSpan w:val="3"/>
          </w:tcPr>
          <w:p>
            <w:pPr>
              <w:pStyle w:val="82"/>
              <w:keepNext w:val="0"/>
              <w:keepLines w:val="0"/>
              <w:pageBreakBefore w:val="0"/>
              <w:widowControl w:val="0"/>
              <w:numPr>
                <w:ilvl w:val="0"/>
                <w:numId w:val="101"/>
              </w:numPr>
              <w:kinsoku/>
              <w:wordWrap/>
              <w:overflowPunct/>
              <w:topLinePunct w:val="0"/>
              <w:autoSpaceDE/>
              <w:autoSpaceDN/>
              <w:bidi w:val="0"/>
              <w:adjustRightInd/>
              <w:snapToGrid/>
              <w:spacing w:line="360" w:lineRule="auto"/>
              <w:ind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85分以上，按全额支付年度费用。</w:t>
            </w:r>
          </w:p>
          <w:p>
            <w:pPr>
              <w:pStyle w:val="82"/>
              <w:keepNext w:val="0"/>
              <w:keepLines w:val="0"/>
              <w:pageBreakBefore w:val="0"/>
              <w:widowControl w:val="0"/>
              <w:numPr>
                <w:ilvl w:val="0"/>
                <w:numId w:val="101"/>
              </w:numPr>
              <w:kinsoku/>
              <w:wordWrap/>
              <w:overflowPunct/>
              <w:topLinePunct w:val="0"/>
              <w:autoSpaceDE/>
              <w:autoSpaceDN/>
              <w:bidi w:val="0"/>
              <w:adjustRightInd/>
              <w:snapToGrid/>
              <w:spacing w:line="360" w:lineRule="auto"/>
              <w:ind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75-85分之间，按90%支付年度费用。</w:t>
            </w:r>
          </w:p>
          <w:p>
            <w:pPr>
              <w:pStyle w:val="82"/>
              <w:keepNext w:val="0"/>
              <w:keepLines w:val="0"/>
              <w:pageBreakBefore w:val="0"/>
              <w:widowControl w:val="0"/>
              <w:numPr>
                <w:ilvl w:val="0"/>
                <w:numId w:val="101"/>
              </w:numPr>
              <w:kinsoku/>
              <w:wordWrap/>
              <w:overflowPunct/>
              <w:topLinePunct w:val="0"/>
              <w:autoSpaceDE/>
              <w:autoSpaceDN/>
              <w:bidi w:val="0"/>
              <w:adjustRightInd/>
              <w:snapToGrid/>
              <w:spacing w:line="360" w:lineRule="auto"/>
              <w:ind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60-75分之间，按80%支付年度费用</w:t>
            </w:r>
          </w:p>
          <w:p>
            <w:pPr>
              <w:pStyle w:val="82"/>
              <w:keepNext w:val="0"/>
              <w:keepLines w:val="0"/>
              <w:pageBreakBefore w:val="0"/>
              <w:widowControl w:val="0"/>
              <w:numPr>
                <w:ilvl w:val="0"/>
                <w:numId w:val="101"/>
              </w:numPr>
              <w:kinsoku/>
              <w:wordWrap/>
              <w:overflowPunct/>
              <w:topLinePunct w:val="0"/>
              <w:autoSpaceDE/>
              <w:autoSpaceDN/>
              <w:bidi w:val="0"/>
              <w:adjustRightInd/>
              <w:snapToGrid/>
              <w:spacing w:line="360" w:lineRule="auto"/>
              <w:ind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60分以下，甲方有权解除合同，重新另招厂商。</w:t>
            </w:r>
          </w:p>
        </w:tc>
      </w:tr>
    </w:tbl>
    <w:p>
      <w:r>
        <w:br w:type="page"/>
      </w:r>
    </w:p>
    <w:p>
      <w:pPr>
        <w:spacing w:line="360" w:lineRule="auto"/>
        <w:outlineLvl w:val="2"/>
        <w:rPr>
          <w:b/>
          <w:bCs/>
          <w:sz w:val="22"/>
          <w:szCs w:val="22"/>
        </w:rPr>
      </w:pPr>
      <w:bookmarkStart w:id="1167" w:name="_Toc20797"/>
      <w:r>
        <w:rPr>
          <w:rFonts w:hint="eastAsia"/>
          <w:b/>
          <w:bCs/>
          <w:sz w:val="22"/>
          <w:szCs w:val="22"/>
        </w:rPr>
        <w:t>附件3.供应链服务平台模块清单</w:t>
      </w:r>
      <w:bookmarkEnd w:id="1167"/>
    </w:p>
    <w:p>
      <w:pPr>
        <w:numPr>
          <w:ilvl w:val="0"/>
          <w:numId w:val="106"/>
        </w:numPr>
        <w:spacing w:line="480" w:lineRule="auto"/>
        <w:ind w:firstLine="420"/>
        <w:rPr>
          <w:rFonts w:ascii="汉仪仿宋简" w:hAnsi="仿宋" w:eastAsiaTheme="minorEastAsia" w:cstheme="minorBidi"/>
          <w:b/>
          <w:bCs/>
          <w:sz w:val="28"/>
          <w:szCs w:val="28"/>
        </w:rPr>
      </w:pPr>
      <w:r>
        <w:rPr>
          <w:rFonts w:hint="eastAsia" w:ascii="汉仪仿宋简" w:hAnsi="仿宋" w:eastAsiaTheme="minorEastAsia" w:cstheme="minorBidi"/>
          <w:b/>
          <w:bCs/>
          <w:sz w:val="28"/>
          <w:szCs w:val="28"/>
        </w:rPr>
        <w:t>采购链（招采分平台、电商分平台）</w:t>
      </w:r>
    </w:p>
    <w:tbl>
      <w:tblPr>
        <w:tblStyle w:val="34"/>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843"/>
        <w:gridCol w:w="1842"/>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93" w:type="dxa"/>
            <w:shd w:val="clear" w:color="auto" w:fill="BEBEBE" w:themeFill="background1" w:themeFillShade="BF"/>
            <w:noWrap/>
            <w:vAlign w:val="center"/>
          </w:tcPr>
          <w:p>
            <w:pPr>
              <w:widowControl/>
              <w:spacing w:line="360" w:lineRule="auto"/>
              <w:jc w:val="center"/>
              <w:rPr>
                <w:rFonts w:ascii="宋体" w:hAnsi="宋体" w:cs="宋体"/>
                <w:b/>
                <w:bCs/>
                <w:kern w:val="0"/>
                <w:sz w:val="22"/>
                <w:szCs w:val="22"/>
              </w:rPr>
            </w:pPr>
            <w:r>
              <w:rPr>
                <w:rFonts w:hint="eastAsia" w:ascii="宋体" w:hAnsi="宋体" w:cs="宋体"/>
                <w:b/>
                <w:bCs/>
                <w:kern w:val="0"/>
                <w:sz w:val="22"/>
                <w:szCs w:val="22"/>
              </w:rPr>
              <w:t>序号</w:t>
            </w:r>
          </w:p>
        </w:tc>
        <w:tc>
          <w:tcPr>
            <w:tcW w:w="1843" w:type="dxa"/>
            <w:shd w:val="clear" w:color="auto" w:fill="BEBEBE" w:themeFill="background1" w:themeFillShade="BF"/>
            <w:noWrap/>
            <w:vAlign w:val="center"/>
          </w:tcPr>
          <w:p>
            <w:pPr>
              <w:widowControl/>
              <w:spacing w:line="360" w:lineRule="auto"/>
              <w:jc w:val="center"/>
              <w:rPr>
                <w:rFonts w:ascii="宋体" w:hAnsi="宋体" w:cs="宋体"/>
                <w:b/>
                <w:bCs/>
                <w:kern w:val="0"/>
                <w:sz w:val="22"/>
                <w:szCs w:val="22"/>
              </w:rPr>
            </w:pPr>
            <w:r>
              <w:rPr>
                <w:rFonts w:hint="eastAsia" w:ascii="宋体" w:hAnsi="宋体" w:cs="宋体"/>
                <w:b/>
                <w:bCs/>
                <w:kern w:val="0"/>
                <w:sz w:val="22"/>
                <w:szCs w:val="22"/>
              </w:rPr>
              <w:t>模块类别</w:t>
            </w:r>
          </w:p>
        </w:tc>
        <w:tc>
          <w:tcPr>
            <w:tcW w:w="1842" w:type="dxa"/>
            <w:shd w:val="clear" w:color="auto" w:fill="BEBEBE" w:themeFill="background1" w:themeFillShade="BF"/>
            <w:vAlign w:val="center"/>
          </w:tcPr>
          <w:p>
            <w:pPr>
              <w:widowControl/>
              <w:spacing w:line="360" w:lineRule="auto"/>
              <w:jc w:val="center"/>
              <w:rPr>
                <w:rFonts w:ascii="宋体" w:hAnsi="宋体" w:cs="宋体"/>
                <w:b/>
                <w:bCs/>
                <w:kern w:val="0"/>
                <w:sz w:val="22"/>
                <w:szCs w:val="22"/>
              </w:rPr>
            </w:pPr>
            <w:r>
              <w:rPr>
                <w:rFonts w:hint="eastAsia" w:ascii="宋体" w:hAnsi="宋体" w:cs="宋体"/>
                <w:b/>
                <w:bCs/>
                <w:kern w:val="0"/>
                <w:sz w:val="22"/>
                <w:szCs w:val="22"/>
              </w:rPr>
              <w:t>模块</w:t>
            </w:r>
          </w:p>
        </w:tc>
        <w:tc>
          <w:tcPr>
            <w:tcW w:w="4111" w:type="dxa"/>
            <w:shd w:val="clear" w:color="auto" w:fill="BEBEBE" w:themeFill="background1" w:themeFillShade="BF"/>
            <w:vAlign w:val="center"/>
          </w:tcPr>
          <w:p>
            <w:pPr>
              <w:widowControl/>
              <w:spacing w:line="360" w:lineRule="auto"/>
              <w:jc w:val="left"/>
              <w:rPr>
                <w:rFonts w:ascii="宋体" w:hAnsi="宋体" w:cs="宋体"/>
                <w:b/>
                <w:bCs/>
                <w:kern w:val="0"/>
                <w:sz w:val="22"/>
                <w:szCs w:val="22"/>
              </w:rPr>
            </w:pPr>
            <w:r>
              <w:rPr>
                <w:rFonts w:hint="eastAsia" w:ascii="宋体" w:hAnsi="宋体" w:cs="宋体"/>
                <w:b/>
                <w:bCs/>
                <w:kern w:val="0"/>
                <w:sz w:val="22"/>
                <w:szCs w:val="22"/>
              </w:rPr>
              <w:t>模块说明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93" w:type="dxa"/>
            <w:shd w:val="clear" w:color="auto" w:fill="auto"/>
            <w:noWrap/>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1</w:t>
            </w:r>
          </w:p>
        </w:tc>
        <w:tc>
          <w:tcPr>
            <w:tcW w:w="1843" w:type="dxa"/>
            <w:shd w:val="clear" w:color="auto" w:fill="auto"/>
            <w:noWrap/>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系统支撑</w:t>
            </w:r>
          </w:p>
        </w:tc>
        <w:tc>
          <w:tcPr>
            <w:tcW w:w="1842" w:type="dxa"/>
            <w:shd w:val="clear" w:color="auto" w:fill="auto"/>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系统配置支撑</w:t>
            </w:r>
          </w:p>
        </w:tc>
        <w:tc>
          <w:tcPr>
            <w:tcW w:w="4111" w:type="dxa"/>
            <w:shd w:val="clear" w:color="auto" w:fill="auto"/>
            <w:vAlign w:val="center"/>
          </w:tcPr>
          <w:p>
            <w:pPr>
              <w:widowControl/>
              <w:spacing w:line="360" w:lineRule="auto"/>
              <w:jc w:val="left"/>
              <w:rPr>
                <w:rFonts w:ascii="宋体" w:hAnsi="宋体" w:cs="宋体"/>
                <w:kern w:val="0"/>
                <w:sz w:val="22"/>
                <w:szCs w:val="22"/>
              </w:rPr>
            </w:pPr>
            <w:r>
              <w:rPr>
                <w:rFonts w:hint="eastAsia" w:ascii="宋体" w:hAnsi="宋体" w:cs="宋体"/>
                <w:kern w:val="0"/>
                <w:sz w:val="22"/>
                <w:szCs w:val="22"/>
              </w:rPr>
              <w:t>为保障系统的正常运行而进行的相关数据的维护和权限的分配，是系统的基础模块，用来设置与系统运行相关的权限、流程、系统配置参数等各项内容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93" w:type="dxa"/>
            <w:shd w:val="clear" w:color="auto" w:fill="auto"/>
            <w:noWrap/>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2</w:t>
            </w:r>
          </w:p>
        </w:tc>
        <w:tc>
          <w:tcPr>
            <w:tcW w:w="1843" w:type="dxa"/>
            <w:shd w:val="clear" w:color="auto" w:fill="auto"/>
            <w:noWrap/>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服务门户</w:t>
            </w:r>
          </w:p>
        </w:tc>
        <w:tc>
          <w:tcPr>
            <w:tcW w:w="1842" w:type="dxa"/>
            <w:shd w:val="clear" w:color="auto" w:fill="auto"/>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招采网站</w:t>
            </w:r>
          </w:p>
        </w:tc>
        <w:tc>
          <w:tcPr>
            <w:tcW w:w="4111" w:type="dxa"/>
            <w:shd w:val="clear" w:color="auto" w:fill="auto"/>
            <w:vAlign w:val="center"/>
          </w:tcPr>
          <w:p>
            <w:pPr>
              <w:widowControl/>
              <w:spacing w:line="360" w:lineRule="auto"/>
              <w:jc w:val="left"/>
              <w:rPr>
                <w:rFonts w:ascii="宋体" w:hAnsi="宋体" w:cs="宋体"/>
                <w:kern w:val="0"/>
                <w:sz w:val="22"/>
                <w:szCs w:val="22"/>
              </w:rPr>
            </w:pPr>
            <w:r>
              <w:rPr>
                <w:rFonts w:hint="eastAsia" w:ascii="宋体" w:hAnsi="宋体" w:cs="宋体"/>
                <w:kern w:val="0"/>
                <w:sz w:val="22"/>
                <w:szCs w:val="22"/>
              </w:rPr>
              <w:t>招标采购网站包括招标采购门户网站和内容管理系统。通过门户网站展示和宣传招标信息以及单位其他信息，通过后台内容发布管理系统进行门户网站栏目的设计维护，并完成信息的分权限的发布审核等其他内容管理系统的特色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993" w:type="dxa"/>
            <w:shd w:val="clear" w:color="auto" w:fill="auto"/>
            <w:noWrap/>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3</w:t>
            </w:r>
          </w:p>
        </w:tc>
        <w:tc>
          <w:tcPr>
            <w:tcW w:w="1843" w:type="dxa"/>
            <w:vMerge w:val="restart"/>
            <w:shd w:val="clear" w:color="auto" w:fill="auto"/>
            <w:noWrap/>
            <w:vAlign w:val="center"/>
          </w:tcPr>
          <w:p>
            <w:pPr>
              <w:spacing w:line="360" w:lineRule="auto"/>
              <w:jc w:val="center"/>
              <w:rPr>
                <w:rFonts w:ascii="宋体" w:hAnsi="宋体" w:cs="宋体"/>
                <w:kern w:val="0"/>
                <w:sz w:val="22"/>
                <w:szCs w:val="22"/>
              </w:rPr>
            </w:pPr>
            <w:r>
              <w:rPr>
                <w:rFonts w:hint="eastAsia" w:ascii="宋体" w:hAnsi="宋体" w:cs="宋体"/>
                <w:kern w:val="0"/>
                <w:sz w:val="22"/>
                <w:szCs w:val="22"/>
              </w:rPr>
              <w:t>基础服务及供应商管理模块</w:t>
            </w:r>
          </w:p>
        </w:tc>
        <w:tc>
          <w:tcPr>
            <w:tcW w:w="1842" w:type="dxa"/>
            <w:shd w:val="clear" w:color="auto" w:fill="auto"/>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采购人管理</w:t>
            </w:r>
          </w:p>
        </w:tc>
        <w:tc>
          <w:tcPr>
            <w:tcW w:w="4111" w:type="dxa"/>
            <w:shd w:val="clear" w:color="auto" w:fill="auto"/>
            <w:vAlign w:val="center"/>
          </w:tcPr>
          <w:p>
            <w:pPr>
              <w:widowControl/>
              <w:spacing w:line="360" w:lineRule="auto"/>
              <w:jc w:val="left"/>
              <w:rPr>
                <w:rFonts w:ascii="宋体" w:hAnsi="宋体" w:cs="宋体"/>
                <w:kern w:val="0"/>
                <w:sz w:val="22"/>
                <w:szCs w:val="22"/>
              </w:rPr>
            </w:pPr>
            <w:r>
              <w:rPr>
                <w:rFonts w:hint="eastAsia" w:ascii="宋体" w:hAnsi="宋体" w:cs="宋体"/>
                <w:kern w:val="0"/>
                <w:sz w:val="22"/>
                <w:szCs w:val="22"/>
              </w:rPr>
              <w:t>需求单位/部门的信息、权限管理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93" w:type="dxa"/>
            <w:shd w:val="clear" w:color="auto" w:fill="auto"/>
            <w:noWrap/>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4</w:t>
            </w:r>
          </w:p>
        </w:tc>
        <w:tc>
          <w:tcPr>
            <w:tcW w:w="1843" w:type="dxa"/>
            <w:vMerge w:val="continue"/>
            <w:shd w:val="clear" w:color="auto" w:fill="auto"/>
            <w:noWrap/>
            <w:vAlign w:val="center"/>
          </w:tcPr>
          <w:p>
            <w:pPr>
              <w:widowControl/>
              <w:spacing w:line="360" w:lineRule="auto"/>
              <w:jc w:val="center"/>
              <w:rPr>
                <w:rFonts w:ascii="宋体" w:hAnsi="宋体" w:cs="宋体"/>
                <w:kern w:val="0"/>
                <w:sz w:val="22"/>
                <w:szCs w:val="22"/>
              </w:rPr>
            </w:pPr>
          </w:p>
        </w:tc>
        <w:tc>
          <w:tcPr>
            <w:tcW w:w="1842" w:type="dxa"/>
            <w:shd w:val="clear" w:color="auto" w:fill="auto"/>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供应商库管理</w:t>
            </w:r>
          </w:p>
        </w:tc>
        <w:tc>
          <w:tcPr>
            <w:tcW w:w="4111" w:type="dxa"/>
            <w:shd w:val="clear" w:color="auto" w:fill="auto"/>
            <w:vAlign w:val="center"/>
          </w:tcPr>
          <w:p>
            <w:pPr>
              <w:widowControl/>
              <w:spacing w:line="360" w:lineRule="auto"/>
              <w:jc w:val="left"/>
              <w:rPr>
                <w:rFonts w:ascii="宋体" w:hAnsi="宋体" w:cs="宋体"/>
                <w:kern w:val="0"/>
                <w:sz w:val="22"/>
                <w:szCs w:val="22"/>
              </w:rPr>
            </w:pPr>
            <w:r>
              <w:rPr>
                <w:rFonts w:hint="eastAsia" w:ascii="宋体" w:hAnsi="宋体" w:cs="宋体"/>
                <w:kern w:val="0"/>
                <w:sz w:val="22"/>
                <w:szCs w:val="22"/>
              </w:rPr>
              <w:t>主要对供应商（投标人）的生命周期进行管理，包括注册、审核、入库、使用、黑名单等。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93" w:type="dxa"/>
            <w:shd w:val="clear" w:color="auto" w:fill="auto"/>
            <w:noWrap/>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5</w:t>
            </w:r>
          </w:p>
        </w:tc>
        <w:tc>
          <w:tcPr>
            <w:tcW w:w="1843" w:type="dxa"/>
            <w:vMerge w:val="continue"/>
            <w:shd w:val="clear" w:color="auto" w:fill="auto"/>
            <w:noWrap/>
            <w:vAlign w:val="center"/>
          </w:tcPr>
          <w:p>
            <w:pPr>
              <w:widowControl/>
              <w:spacing w:line="360" w:lineRule="auto"/>
              <w:jc w:val="center"/>
              <w:rPr>
                <w:rFonts w:ascii="宋体" w:hAnsi="宋体" w:cs="宋体"/>
                <w:kern w:val="0"/>
                <w:sz w:val="22"/>
                <w:szCs w:val="22"/>
              </w:rPr>
            </w:pPr>
          </w:p>
        </w:tc>
        <w:tc>
          <w:tcPr>
            <w:tcW w:w="1842" w:type="dxa"/>
            <w:shd w:val="clear" w:color="auto" w:fill="auto"/>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供应商评价</w:t>
            </w:r>
          </w:p>
        </w:tc>
        <w:tc>
          <w:tcPr>
            <w:tcW w:w="4111" w:type="dxa"/>
            <w:shd w:val="clear" w:color="auto" w:fill="auto"/>
            <w:vAlign w:val="center"/>
          </w:tcPr>
          <w:p>
            <w:pPr>
              <w:widowControl/>
              <w:spacing w:line="360" w:lineRule="auto"/>
              <w:jc w:val="left"/>
              <w:rPr>
                <w:rFonts w:ascii="宋体" w:hAnsi="宋体" w:cs="宋体"/>
                <w:kern w:val="0"/>
                <w:sz w:val="22"/>
                <w:szCs w:val="22"/>
              </w:rPr>
            </w:pPr>
            <w:r>
              <w:rPr>
                <w:rFonts w:hint="eastAsia" w:ascii="宋体" w:hAnsi="宋体" w:cs="宋体"/>
                <w:kern w:val="0"/>
                <w:sz w:val="22"/>
                <w:szCs w:val="22"/>
              </w:rPr>
              <w:t>主要用于对供应商基本信息、财务指标、业务能力、履约情况等进行评估，根据采购目录的不同，制定不同的评分模板。在评估时，针对业务指标、财务和履约等指标选择不同的评估人进行打分，最终汇总得出评估得分，可根据得分情况为供应商定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93" w:type="dxa"/>
            <w:shd w:val="clear" w:color="auto" w:fill="auto"/>
            <w:noWrap/>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6</w:t>
            </w:r>
          </w:p>
        </w:tc>
        <w:tc>
          <w:tcPr>
            <w:tcW w:w="1843" w:type="dxa"/>
            <w:vMerge w:val="continue"/>
            <w:shd w:val="clear" w:color="auto" w:fill="auto"/>
            <w:noWrap/>
            <w:vAlign w:val="center"/>
          </w:tcPr>
          <w:p>
            <w:pPr>
              <w:widowControl/>
              <w:spacing w:line="360" w:lineRule="auto"/>
              <w:jc w:val="center"/>
              <w:rPr>
                <w:rFonts w:ascii="宋体" w:hAnsi="宋体" w:cs="宋体"/>
                <w:kern w:val="0"/>
                <w:sz w:val="22"/>
                <w:szCs w:val="22"/>
              </w:rPr>
            </w:pPr>
          </w:p>
        </w:tc>
        <w:tc>
          <w:tcPr>
            <w:tcW w:w="1842" w:type="dxa"/>
            <w:shd w:val="clear" w:color="auto" w:fill="auto"/>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采购代理机构管理</w:t>
            </w:r>
          </w:p>
        </w:tc>
        <w:tc>
          <w:tcPr>
            <w:tcW w:w="4111" w:type="dxa"/>
            <w:shd w:val="clear" w:color="auto" w:fill="auto"/>
            <w:vAlign w:val="center"/>
          </w:tcPr>
          <w:p>
            <w:pPr>
              <w:widowControl/>
              <w:spacing w:line="360" w:lineRule="auto"/>
              <w:jc w:val="left"/>
              <w:rPr>
                <w:rFonts w:ascii="宋体" w:hAnsi="宋体" w:cs="宋体"/>
                <w:kern w:val="0"/>
                <w:sz w:val="22"/>
                <w:szCs w:val="22"/>
              </w:rPr>
            </w:pPr>
            <w:r>
              <w:rPr>
                <w:rFonts w:hint="eastAsia" w:ascii="宋体" w:hAnsi="宋体" w:cs="宋体"/>
                <w:kern w:val="0"/>
                <w:sz w:val="22"/>
                <w:szCs w:val="22"/>
              </w:rPr>
              <w:t>代理机构录入与管理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93" w:type="dxa"/>
            <w:shd w:val="clear" w:color="auto" w:fill="auto"/>
            <w:noWrap/>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7</w:t>
            </w:r>
          </w:p>
        </w:tc>
        <w:tc>
          <w:tcPr>
            <w:tcW w:w="1843" w:type="dxa"/>
            <w:vMerge w:val="continue"/>
            <w:shd w:val="clear" w:color="auto" w:fill="auto"/>
            <w:noWrap/>
            <w:vAlign w:val="center"/>
          </w:tcPr>
          <w:p>
            <w:pPr>
              <w:widowControl/>
              <w:spacing w:line="360" w:lineRule="auto"/>
              <w:jc w:val="center"/>
              <w:rPr>
                <w:rFonts w:ascii="宋体" w:hAnsi="宋体" w:cs="宋体"/>
                <w:kern w:val="0"/>
                <w:sz w:val="22"/>
                <w:szCs w:val="22"/>
              </w:rPr>
            </w:pPr>
          </w:p>
        </w:tc>
        <w:tc>
          <w:tcPr>
            <w:tcW w:w="1842" w:type="dxa"/>
            <w:shd w:val="clear" w:color="auto" w:fill="auto"/>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模板库管理</w:t>
            </w:r>
          </w:p>
        </w:tc>
        <w:tc>
          <w:tcPr>
            <w:tcW w:w="4111" w:type="dxa"/>
            <w:shd w:val="clear" w:color="auto" w:fill="auto"/>
            <w:vAlign w:val="center"/>
          </w:tcPr>
          <w:p>
            <w:pPr>
              <w:widowControl/>
              <w:spacing w:line="360" w:lineRule="auto"/>
              <w:jc w:val="left"/>
              <w:rPr>
                <w:rFonts w:ascii="宋体" w:hAnsi="宋体" w:cs="宋体"/>
                <w:kern w:val="0"/>
                <w:sz w:val="22"/>
                <w:szCs w:val="22"/>
              </w:rPr>
            </w:pPr>
            <w:r>
              <w:rPr>
                <w:rFonts w:hint="eastAsia" w:ascii="宋体" w:hAnsi="宋体" w:cs="宋体"/>
                <w:kern w:val="0"/>
                <w:sz w:val="22"/>
                <w:szCs w:val="22"/>
              </w:rPr>
              <w:t>公告、报告、招标文件等文档模板的管理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93" w:type="dxa"/>
            <w:shd w:val="clear" w:color="auto" w:fill="auto"/>
            <w:noWrap/>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8</w:t>
            </w:r>
          </w:p>
        </w:tc>
        <w:tc>
          <w:tcPr>
            <w:tcW w:w="1843" w:type="dxa"/>
            <w:vMerge w:val="restart"/>
            <w:shd w:val="clear" w:color="auto" w:fill="auto"/>
            <w:noWrap/>
          </w:tcPr>
          <w:p>
            <w:pPr>
              <w:spacing w:line="360" w:lineRule="auto"/>
              <w:jc w:val="center"/>
              <w:rPr>
                <w:rFonts w:ascii="宋体" w:hAnsi="宋体" w:cs="宋体"/>
                <w:kern w:val="0"/>
                <w:sz w:val="22"/>
                <w:szCs w:val="22"/>
              </w:rPr>
            </w:pPr>
          </w:p>
          <w:p>
            <w:pPr>
              <w:spacing w:line="360" w:lineRule="auto"/>
              <w:jc w:val="center"/>
              <w:rPr>
                <w:rFonts w:ascii="宋体" w:hAnsi="宋体" w:cs="宋体"/>
                <w:kern w:val="0"/>
                <w:sz w:val="22"/>
                <w:szCs w:val="22"/>
              </w:rPr>
            </w:pPr>
          </w:p>
          <w:p>
            <w:pPr>
              <w:spacing w:line="360" w:lineRule="auto"/>
              <w:jc w:val="center"/>
              <w:rPr>
                <w:rFonts w:ascii="宋体" w:hAnsi="宋体" w:cs="宋体"/>
                <w:kern w:val="0"/>
                <w:sz w:val="22"/>
                <w:szCs w:val="22"/>
              </w:rPr>
            </w:pPr>
          </w:p>
          <w:p>
            <w:pPr>
              <w:spacing w:line="360" w:lineRule="auto"/>
              <w:jc w:val="center"/>
              <w:rPr>
                <w:rFonts w:ascii="宋体" w:hAnsi="宋体" w:cs="宋体"/>
                <w:kern w:val="0"/>
                <w:sz w:val="22"/>
                <w:szCs w:val="22"/>
              </w:rPr>
            </w:pPr>
          </w:p>
          <w:p>
            <w:pPr>
              <w:spacing w:line="360" w:lineRule="auto"/>
              <w:jc w:val="center"/>
              <w:rPr>
                <w:rFonts w:ascii="宋体" w:hAnsi="宋体" w:cs="宋体"/>
                <w:kern w:val="0"/>
                <w:sz w:val="22"/>
                <w:szCs w:val="22"/>
              </w:rPr>
            </w:pPr>
          </w:p>
          <w:p>
            <w:pPr>
              <w:spacing w:line="360" w:lineRule="auto"/>
              <w:jc w:val="center"/>
              <w:rPr>
                <w:rFonts w:ascii="宋体" w:hAnsi="宋体" w:cs="宋体"/>
                <w:kern w:val="0"/>
                <w:sz w:val="22"/>
                <w:szCs w:val="22"/>
              </w:rPr>
            </w:pPr>
          </w:p>
          <w:p>
            <w:pPr>
              <w:spacing w:line="360" w:lineRule="auto"/>
              <w:jc w:val="center"/>
              <w:rPr>
                <w:rFonts w:ascii="宋体" w:hAnsi="宋体" w:cs="宋体"/>
                <w:kern w:val="0"/>
                <w:sz w:val="22"/>
                <w:szCs w:val="22"/>
              </w:rPr>
            </w:pPr>
          </w:p>
          <w:p>
            <w:pPr>
              <w:spacing w:line="360" w:lineRule="auto"/>
              <w:jc w:val="center"/>
              <w:rPr>
                <w:rFonts w:ascii="宋体" w:hAnsi="宋体" w:cs="宋体"/>
                <w:kern w:val="0"/>
                <w:sz w:val="22"/>
                <w:szCs w:val="22"/>
              </w:rPr>
            </w:pPr>
          </w:p>
          <w:p>
            <w:pPr>
              <w:spacing w:line="360" w:lineRule="auto"/>
              <w:jc w:val="center"/>
              <w:rPr>
                <w:rFonts w:ascii="宋体" w:hAnsi="宋体" w:cs="宋体"/>
                <w:kern w:val="0"/>
                <w:sz w:val="22"/>
                <w:szCs w:val="22"/>
              </w:rPr>
            </w:pPr>
            <w:r>
              <w:rPr>
                <w:rFonts w:hint="eastAsia" w:ascii="宋体" w:hAnsi="宋体" w:cs="宋体"/>
                <w:kern w:val="0"/>
                <w:sz w:val="22"/>
                <w:szCs w:val="22"/>
              </w:rPr>
              <w:t>招标管理模块</w:t>
            </w:r>
          </w:p>
        </w:tc>
        <w:tc>
          <w:tcPr>
            <w:tcW w:w="1842" w:type="dxa"/>
            <w:shd w:val="clear" w:color="auto" w:fill="auto"/>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公开招标过程管理</w:t>
            </w:r>
          </w:p>
        </w:tc>
        <w:tc>
          <w:tcPr>
            <w:tcW w:w="4111" w:type="dxa"/>
            <w:shd w:val="clear" w:color="auto" w:fill="auto"/>
            <w:vAlign w:val="center"/>
          </w:tcPr>
          <w:p>
            <w:pPr>
              <w:widowControl/>
              <w:spacing w:line="360" w:lineRule="auto"/>
              <w:jc w:val="left"/>
              <w:rPr>
                <w:rFonts w:ascii="宋体" w:hAnsi="宋体" w:cs="宋体"/>
                <w:kern w:val="0"/>
                <w:sz w:val="22"/>
                <w:szCs w:val="22"/>
              </w:rPr>
            </w:pPr>
            <w:r>
              <w:rPr>
                <w:rFonts w:hint="eastAsia" w:ascii="宋体" w:hAnsi="宋体" w:cs="宋体"/>
                <w:kern w:val="0"/>
                <w:sz w:val="22"/>
                <w:szCs w:val="22"/>
              </w:rPr>
              <w:t>内部审批流程：方案、文件（含公告）、结果报告</w:t>
            </w:r>
          </w:p>
          <w:p>
            <w:pPr>
              <w:widowControl/>
              <w:spacing w:line="360" w:lineRule="auto"/>
              <w:jc w:val="left"/>
              <w:rPr>
                <w:rFonts w:ascii="宋体" w:hAnsi="宋体" w:cs="宋体"/>
                <w:kern w:val="0"/>
                <w:sz w:val="22"/>
                <w:szCs w:val="22"/>
              </w:rPr>
            </w:pPr>
            <w:r>
              <w:rPr>
                <w:rFonts w:hint="eastAsia" w:ascii="宋体" w:hAnsi="宋体" w:cs="宋体"/>
                <w:kern w:val="0"/>
                <w:sz w:val="22"/>
                <w:szCs w:val="22"/>
              </w:rPr>
              <w:t>对外交互：发公告、投标、开标、评标、定标、公示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93" w:type="dxa"/>
            <w:shd w:val="clear" w:color="auto" w:fill="auto"/>
            <w:noWrap/>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9</w:t>
            </w:r>
          </w:p>
        </w:tc>
        <w:tc>
          <w:tcPr>
            <w:tcW w:w="1843" w:type="dxa"/>
            <w:vMerge w:val="continue"/>
            <w:shd w:val="clear" w:color="auto" w:fill="auto"/>
            <w:noWrap/>
          </w:tcPr>
          <w:p>
            <w:pPr>
              <w:spacing w:line="360" w:lineRule="auto"/>
              <w:jc w:val="center"/>
              <w:rPr>
                <w:rFonts w:ascii="宋体" w:hAnsi="宋体" w:cs="宋体"/>
                <w:kern w:val="0"/>
                <w:sz w:val="22"/>
                <w:szCs w:val="22"/>
              </w:rPr>
            </w:pPr>
          </w:p>
        </w:tc>
        <w:tc>
          <w:tcPr>
            <w:tcW w:w="1842" w:type="dxa"/>
            <w:shd w:val="clear" w:color="auto" w:fill="auto"/>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邀请招标过程管理</w:t>
            </w:r>
          </w:p>
        </w:tc>
        <w:tc>
          <w:tcPr>
            <w:tcW w:w="4111" w:type="dxa"/>
            <w:shd w:val="clear" w:color="auto" w:fill="auto"/>
            <w:vAlign w:val="center"/>
          </w:tcPr>
          <w:p>
            <w:pPr>
              <w:widowControl/>
              <w:spacing w:line="360" w:lineRule="auto"/>
              <w:jc w:val="left"/>
              <w:rPr>
                <w:rFonts w:ascii="宋体" w:hAnsi="宋体" w:cs="宋体"/>
                <w:kern w:val="0"/>
                <w:sz w:val="22"/>
                <w:szCs w:val="22"/>
              </w:rPr>
            </w:pPr>
            <w:r>
              <w:rPr>
                <w:rFonts w:hint="eastAsia" w:ascii="宋体" w:hAnsi="宋体" w:cs="宋体"/>
                <w:kern w:val="0"/>
                <w:sz w:val="22"/>
                <w:szCs w:val="22"/>
              </w:rPr>
              <w:t>内部审批流程：方案、文件（含投标邀请书）、结果报告</w:t>
            </w:r>
          </w:p>
          <w:p>
            <w:pPr>
              <w:widowControl/>
              <w:spacing w:line="360" w:lineRule="auto"/>
              <w:jc w:val="left"/>
              <w:rPr>
                <w:rFonts w:ascii="宋体" w:hAnsi="宋体" w:cs="宋体"/>
                <w:kern w:val="0"/>
                <w:sz w:val="22"/>
                <w:szCs w:val="22"/>
              </w:rPr>
            </w:pPr>
            <w:r>
              <w:rPr>
                <w:rFonts w:hint="eastAsia" w:ascii="宋体" w:hAnsi="宋体" w:cs="宋体"/>
                <w:kern w:val="0"/>
                <w:sz w:val="22"/>
                <w:szCs w:val="22"/>
              </w:rPr>
              <w:t>对外交互：发标、投标、开标、评标、公示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93" w:type="dxa"/>
            <w:shd w:val="clear" w:color="auto" w:fill="auto"/>
            <w:noWrap/>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10</w:t>
            </w:r>
          </w:p>
        </w:tc>
        <w:tc>
          <w:tcPr>
            <w:tcW w:w="1843" w:type="dxa"/>
            <w:vMerge w:val="continue"/>
            <w:shd w:val="clear" w:color="auto" w:fill="auto"/>
            <w:noWrap/>
            <w:vAlign w:val="center"/>
          </w:tcPr>
          <w:p>
            <w:pPr>
              <w:widowControl/>
              <w:spacing w:line="360" w:lineRule="auto"/>
              <w:jc w:val="center"/>
              <w:rPr>
                <w:rFonts w:ascii="宋体" w:hAnsi="宋体" w:cs="宋体"/>
                <w:kern w:val="0"/>
                <w:sz w:val="22"/>
                <w:szCs w:val="22"/>
              </w:rPr>
            </w:pPr>
          </w:p>
        </w:tc>
        <w:tc>
          <w:tcPr>
            <w:tcW w:w="1842" w:type="dxa"/>
            <w:shd w:val="clear" w:color="auto" w:fill="auto"/>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招标文件制作</w:t>
            </w:r>
          </w:p>
        </w:tc>
        <w:tc>
          <w:tcPr>
            <w:tcW w:w="4111" w:type="dxa"/>
            <w:shd w:val="clear" w:color="auto" w:fill="auto"/>
            <w:vAlign w:val="center"/>
          </w:tcPr>
          <w:p>
            <w:pPr>
              <w:widowControl/>
              <w:spacing w:line="360" w:lineRule="auto"/>
              <w:jc w:val="left"/>
              <w:rPr>
                <w:rFonts w:ascii="宋体" w:hAnsi="宋体" w:cs="宋体"/>
                <w:kern w:val="0"/>
                <w:sz w:val="22"/>
                <w:szCs w:val="22"/>
              </w:rPr>
            </w:pPr>
            <w:r>
              <w:rPr>
                <w:rFonts w:hint="eastAsia" w:ascii="宋体" w:hAnsi="宋体" w:cs="宋体"/>
                <w:kern w:val="0"/>
                <w:sz w:val="22"/>
                <w:szCs w:val="22"/>
              </w:rPr>
              <w:t>对招标文件制作、生成过程的管理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93" w:type="dxa"/>
            <w:shd w:val="clear" w:color="auto" w:fill="auto"/>
            <w:noWrap/>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11</w:t>
            </w:r>
          </w:p>
        </w:tc>
        <w:tc>
          <w:tcPr>
            <w:tcW w:w="1843" w:type="dxa"/>
            <w:vMerge w:val="continue"/>
            <w:shd w:val="clear" w:color="auto" w:fill="auto"/>
            <w:noWrap/>
            <w:vAlign w:val="center"/>
          </w:tcPr>
          <w:p>
            <w:pPr>
              <w:widowControl/>
              <w:spacing w:line="360" w:lineRule="auto"/>
              <w:jc w:val="center"/>
              <w:rPr>
                <w:rFonts w:ascii="宋体" w:hAnsi="宋体" w:cs="宋体"/>
                <w:kern w:val="0"/>
                <w:sz w:val="22"/>
                <w:szCs w:val="22"/>
              </w:rPr>
            </w:pPr>
          </w:p>
        </w:tc>
        <w:tc>
          <w:tcPr>
            <w:tcW w:w="1842" w:type="dxa"/>
            <w:shd w:val="clear" w:color="auto" w:fill="auto"/>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投标文件制作系统</w:t>
            </w:r>
          </w:p>
        </w:tc>
        <w:tc>
          <w:tcPr>
            <w:tcW w:w="4111" w:type="dxa"/>
            <w:shd w:val="clear" w:color="auto" w:fill="auto"/>
            <w:vAlign w:val="center"/>
          </w:tcPr>
          <w:p>
            <w:pPr>
              <w:widowControl/>
              <w:spacing w:line="360" w:lineRule="auto"/>
              <w:jc w:val="left"/>
              <w:rPr>
                <w:rFonts w:ascii="宋体" w:hAnsi="宋体" w:cs="宋体"/>
                <w:kern w:val="0"/>
                <w:sz w:val="22"/>
                <w:szCs w:val="22"/>
              </w:rPr>
            </w:pPr>
            <w:r>
              <w:rPr>
                <w:rFonts w:hint="eastAsia" w:ascii="宋体" w:hAnsi="宋体" w:cs="宋体"/>
                <w:kern w:val="0"/>
                <w:sz w:val="22"/>
                <w:szCs w:val="22"/>
              </w:rPr>
              <w:t>供应商制作投标文件用的离线客户端工具。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93" w:type="dxa"/>
            <w:shd w:val="clear" w:color="auto" w:fill="auto"/>
            <w:noWrap/>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12</w:t>
            </w:r>
          </w:p>
        </w:tc>
        <w:tc>
          <w:tcPr>
            <w:tcW w:w="1843" w:type="dxa"/>
            <w:vMerge w:val="continue"/>
            <w:shd w:val="clear" w:color="auto" w:fill="auto"/>
            <w:noWrap/>
            <w:vAlign w:val="center"/>
          </w:tcPr>
          <w:p>
            <w:pPr>
              <w:widowControl/>
              <w:spacing w:line="360" w:lineRule="auto"/>
              <w:jc w:val="center"/>
              <w:rPr>
                <w:rFonts w:ascii="宋体" w:hAnsi="宋体" w:cs="宋体"/>
                <w:kern w:val="0"/>
                <w:sz w:val="22"/>
                <w:szCs w:val="22"/>
              </w:rPr>
            </w:pPr>
          </w:p>
        </w:tc>
        <w:tc>
          <w:tcPr>
            <w:tcW w:w="1842" w:type="dxa"/>
            <w:shd w:val="clear" w:color="auto" w:fill="auto"/>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电子开评标系统</w:t>
            </w:r>
          </w:p>
        </w:tc>
        <w:tc>
          <w:tcPr>
            <w:tcW w:w="4111" w:type="dxa"/>
            <w:shd w:val="clear" w:color="auto" w:fill="auto"/>
            <w:vAlign w:val="center"/>
          </w:tcPr>
          <w:p>
            <w:pPr>
              <w:widowControl/>
              <w:spacing w:line="360" w:lineRule="auto"/>
              <w:jc w:val="left"/>
              <w:rPr>
                <w:rFonts w:ascii="宋体" w:hAnsi="宋体" w:cs="宋体"/>
                <w:kern w:val="0"/>
                <w:sz w:val="22"/>
                <w:szCs w:val="22"/>
              </w:rPr>
            </w:pPr>
            <w:r>
              <w:rPr>
                <w:rFonts w:hint="eastAsia" w:ascii="宋体" w:hAnsi="宋体" w:cs="宋体"/>
                <w:kern w:val="0"/>
                <w:sz w:val="22"/>
                <w:szCs w:val="22"/>
              </w:rPr>
              <w:t>网上开标大厅、电子化辅助评标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93" w:type="dxa"/>
            <w:shd w:val="clear" w:color="auto" w:fill="auto"/>
            <w:noWrap/>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13</w:t>
            </w:r>
          </w:p>
        </w:tc>
        <w:tc>
          <w:tcPr>
            <w:tcW w:w="1843" w:type="dxa"/>
            <w:vMerge w:val="continue"/>
            <w:shd w:val="clear" w:color="auto" w:fill="auto"/>
            <w:noWrap/>
            <w:vAlign w:val="center"/>
          </w:tcPr>
          <w:p>
            <w:pPr>
              <w:widowControl/>
              <w:spacing w:line="360" w:lineRule="auto"/>
              <w:jc w:val="center"/>
              <w:rPr>
                <w:rFonts w:ascii="宋体" w:hAnsi="宋体" w:cs="宋体"/>
                <w:kern w:val="0"/>
                <w:sz w:val="22"/>
                <w:szCs w:val="22"/>
              </w:rPr>
            </w:pPr>
          </w:p>
        </w:tc>
        <w:tc>
          <w:tcPr>
            <w:tcW w:w="1842" w:type="dxa"/>
            <w:shd w:val="clear" w:color="auto" w:fill="auto"/>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电子档案</w:t>
            </w:r>
          </w:p>
        </w:tc>
        <w:tc>
          <w:tcPr>
            <w:tcW w:w="4111" w:type="dxa"/>
            <w:shd w:val="clear" w:color="auto" w:fill="auto"/>
            <w:vAlign w:val="center"/>
          </w:tcPr>
          <w:p>
            <w:pPr>
              <w:widowControl/>
              <w:spacing w:line="360" w:lineRule="auto"/>
              <w:jc w:val="left"/>
              <w:rPr>
                <w:rFonts w:ascii="宋体" w:hAnsi="宋体" w:cs="宋体"/>
                <w:kern w:val="0"/>
                <w:sz w:val="22"/>
                <w:szCs w:val="22"/>
              </w:rPr>
            </w:pPr>
            <w:r>
              <w:rPr>
                <w:rFonts w:hint="eastAsia" w:ascii="宋体" w:hAnsi="宋体" w:cs="宋体"/>
                <w:kern w:val="0"/>
                <w:sz w:val="22"/>
                <w:szCs w:val="22"/>
              </w:rPr>
              <w:t>采购过程文档的归档管理，包括归档、审批、打包下载、借阅等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93" w:type="dxa"/>
            <w:shd w:val="clear" w:color="auto" w:fill="FFFFFF" w:themeFill="background1"/>
            <w:noWrap/>
            <w:vAlign w:val="center"/>
          </w:tcPr>
          <w:p>
            <w:pPr>
              <w:widowControl/>
              <w:spacing w:line="360" w:lineRule="auto"/>
              <w:jc w:val="center"/>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14</w:t>
            </w:r>
          </w:p>
        </w:tc>
        <w:tc>
          <w:tcPr>
            <w:tcW w:w="1843" w:type="dxa"/>
            <w:vMerge w:val="restart"/>
            <w:shd w:val="clear" w:color="auto" w:fill="FFFFFF" w:themeFill="background1"/>
            <w:noWrap/>
            <w:vAlign w:val="center"/>
          </w:tcPr>
          <w:p>
            <w:pPr>
              <w:widowControl/>
              <w:spacing w:line="360" w:lineRule="auto"/>
              <w:jc w:val="center"/>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采购管理模块</w:t>
            </w:r>
          </w:p>
        </w:tc>
        <w:tc>
          <w:tcPr>
            <w:tcW w:w="1842" w:type="dxa"/>
            <w:shd w:val="clear" w:color="auto" w:fill="FFFFFF" w:themeFill="background1"/>
            <w:vAlign w:val="center"/>
          </w:tcPr>
          <w:p>
            <w:pPr>
              <w:widowControl/>
              <w:spacing w:line="360" w:lineRule="auto"/>
              <w:jc w:val="center"/>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询比采购过程管理</w:t>
            </w:r>
          </w:p>
        </w:tc>
        <w:tc>
          <w:tcPr>
            <w:tcW w:w="4111" w:type="dxa"/>
            <w:shd w:val="clear" w:color="auto" w:fill="FFFFFF" w:themeFill="background1"/>
            <w:vAlign w:val="center"/>
          </w:tcPr>
          <w:p>
            <w:pPr>
              <w:widowControl/>
              <w:spacing w:line="360" w:lineRule="auto"/>
              <w:jc w:val="left"/>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内部审批流程：方案（可免）、文件（含公告、邀请函）、结果报告</w:t>
            </w:r>
          </w:p>
          <w:p>
            <w:pPr>
              <w:widowControl/>
              <w:spacing w:line="360" w:lineRule="auto"/>
              <w:jc w:val="left"/>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对外交互：发标、投标、开标、评审、公示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93" w:type="dxa"/>
            <w:shd w:val="clear" w:color="auto" w:fill="FFFFFF" w:themeFill="background1"/>
            <w:noWrap/>
            <w:vAlign w:val="center"/>
          </w:tcPr>
          <w:p>
            <w:pPr>
              <w:widowControl/>
              <w:spacing w:line="360" w:lineRule="auto"/>
              <w:jc w:val="center"/>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15</w:t>
            </w:r>
          </w:p>
        </w:tc>
        <w:tc>
          <w:tcPr>
            <w:tcW w:w="1843" w:type="dxa"/>
            <w:vMerge w:val="continue"/>
            <w:shd w:val="clear" w:color="auto" w:fill="FFFFFF" w:themeFill="background1"/>
            <w:noWrap/>
            <w:vAlign w:val="center"/>
          </w:tcPr>
          <w:p>
            <w:pPr>
              <w:widowControl/>
              <w:spacing w:line="360" w:lineRule="auto"/>
              <w:jc w:val="center"/>
              <w:rPr>
                <w:rFonts w:ascii="宋体" w:hAnsi="宋体" w:cs="宋体"/>
                <w:kern w:val="0"/>
                <w:sz w:val="22"/>
                <w:szCs w:val="22"/>
                <w:shd w:val="clear" w:color="auto" w:fill="FFFFFF" w:themeFill="background1"/>
              </w:rPr>
            </w:pPr>
          </w:p>
        </w:tc>
        <w:tc>
          <w:tcPr>
            <w:tcW w:w="1842" w:type="dxa"/>
            <w:shd w:val="clear" w:color="auto" w:fill="FFFFFF" w:themeFill="background1"/>
            <w:vAlign w:val="center"/>
          </w:tcPr>
          <w:p>
            <w:pPr>
              <w:widowControl/>
              <w:spacing w:line="360" w:lineRule="auto"/>
              <w:jc w:val="center"/>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竞价采购过程管理</w:t>
            </w:r>
          </w:p>
        </w:tc>
        <w:tc>
          <w:tcPr>
            <w:tcW w:w="4111" w:type="dxa"/>
            <w:shd w:val="clear" w:color="auto" w:fill="FFFFFF" w:themeFill="background1"/>
            <w:vAlign w:val="center"/>
          </w:tcPr>
          <w:p>
            <w:pPr>
              <w:widowControl/>
              <w:spacing w:line="360" w:lineRule="auto"/>
              <w:jc w:val="left"/>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内部审批流程：方案（可免）、文件、结果报告</w:t>
            </w:r>
          </w:p>
          <w:p>
            <w:pPr>
              <w:widowControl/>
              <w:spacing w:line="360" w:lineRule="auto"/>
              <w:jc w:val="left"/>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对外交互：发标、响应、公示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93" w:type="dxa"/>
            <w:shd w:val="clear" w:color="auto" w:fill="FFFFFF" w:themeFill="background1"/>
            <w:noWrap/>
            <w:vAlign w:val="center"/>
          </w:tcPr>
          <w:p>
            <w:pPr>
              <w:widowControl/>
              <w:spacing w:line="360" w:lineRule="auto"/>
              <w:jc w:val="center"/>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16</w:t>
            </w:r>
          </w:p>
        </w:tc>
        <w:tc>
          <w:tcPr>
            <w:tcW w:w="1843" w:type="dxa"/>
            <w:vMerge w:val="continue"/>
            <w:shd w:val="clear" w:color="auto" w:fill="FFFFFF" w:themeFill="background1"/>
            <w:noWrap/>
            <w:vAlign w:val="center"/>
          </w:tcPr>
          <w:p>
            <w:pPr>
              <w:widowControl/>
              <w:spacing w:line="360" w:lineRule="auto"/>
              <w:jc w:val="center"/>
              <w:rPr>
                <w:rFonts w:ascii="宋体" w:hAnsi="宋体" w:cs="宋体"/>
                <w:kern w:val="0"/>
                <w:sz w:val="22"/>
                <w:szCs w:val="22"/>
                <w:shd w:val="clear" w:color="auto" w:fill="FFFFFF" w:themeFill="background1"/>
              </w:rPr>
            </w:pPr>
          </w:p>
        </w:tc>
        <w:tc>
          <w:tcPr>
            <w:tcW w:w="1842" w:type="dxa"/>
            <w:shd w:val="clear" w:color="auto" w:fill="FFFFFF" w:themeFill="background1"/>
            <w:vAlign w:val="center"/>
          </w:tcPr>
          <w:p>
            <w:pPr>
              <w:widowControl/>
              <w:spacing w:line="360" w:lineRule="auto"/>
              <w:jc w:val="center"/>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竞争性谈判</w:t>
            </w:r>
          </w:p>
        </w:tc>
        <w:tc>
          <w:tcPr>
            <w:tcW w:w="4111" w:type="dxa"/>
            <w:shd w:val="clear" w:color="auto" w:fill="FFFFFF" w:themeFill="background1"/>
            <w:vAlign w:val="center"/>
          </w:tcPr>
          <w:p>
            <w:pPr>
              <w:widowControl/>
              <w:spacing w:line="360" w:lineRule="auto"/>
              <w:jc w:val="left"/>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内部审批流程：方案、文件（含邀请函）、结果报告</w:t>
            </w:r>
          </w:p>
          <w:p>
            <w:pPr>
              <w:widowControl/>
              <w:spacing w:line="360" w:lineRule="auto"/>
              <w:jc w:val="left"/>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对外交互：发标、投标、谈判（可多轮）、公示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93" w:type="dxa"/>
            <w:shd w:val="clear" w:color="auto" w:fill="FFFFFF" w:themeFill="background1"/>
            <w:noWrap/>
            <w:vAlign w:val="center"/>
          </w:tcPr>
          <w:p>
            <w:pPr>
              <w:widowControl/>
              <w:spacing w:line="360" w:lineRule="auto"/>
              <w:jc w:val="center"/>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17</w:t>
            </w:r>
          </w:p>
        </w:tc>
        <w:tc>
          <w:tcPr>
            <w:tcW w:w="1843" w:type="dxa"/>
            <w:vMerge w:val="continue"/>
            <w:shd w:val="clear" w:color="auto" w:fill="FFFFFF" w:themeFill="background1"/>
            <w:noWrap/>
            <w:vAlign w:val="center"/>
          </w:tcPr>
          <w:p>
            <w:pPr>
              <w:widowControl/>
              <w:spacing w:line="360" w:lineRule="auto"/>
              <w:jc w:val="center"/>
              <w:rPr>
                <w:rFonts w:ascii="宋体" w:hAnsi="宋体" w:cs="宋体"/>
                <w:kern w:val="0"/>
                <w:sz w:val="22"/>
                <w:szCs w:val="22"/>
                <w:shd w:val="clear" w:color="auto" w:fill="FFFFFF" w:themeFill="background1"/>
              </w:rPr>
            </w:pPr>
          </w:p>
        </w:tc>
        <w:tc>
          <w:tcPr>
            <w:tcW w:w="1842" w:type="dxa"/>
            <w:shd w:val="clear" w:color="auto" w:fill="FFFFFF" w:themeFill="background1"/>
            <w:vAlign w:val="center"/>
          </w:tcPr>
          <w:p>
            <w:pPr>
              <w:widowControl/>
              <w:spacing w:line="360" w:lineRule="auto"/>
              <w:jc w:val="center"/>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单一来源采购</w:t>
            </w:r>
          </w:p>
        </w:tc>
        <w:tc>
          <w:tcPr>
            <w:tcW w:w="4111" w:type="dxa"/>
            <w:shd w:val="clear" w:color="auto" w:fill="FFFFFF" w:themeFill="background1"/>
            <w:vAlign w:val="center"/>
          </w:tcPr>
          <w:p>
            <w:pPr>
              <w:widowControl/>
              <w:spacing w:line="360" w:lineRule="auto"/>
              <w:jc w:val="left"/>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内部审批流程：方案、文件（可免）、结果报告</w:t>
            </w:r>
          </w:p>
          <w:p>
            <w:pPr>
              <w:widowControl/>
              <w:spacing w:line="360" w:lineRule="auto"/>
              <w:jc w:val="left"/>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对外交互：发标（可免）、投标（可免）、谈判、公示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93" w:type="dxa"/>
            <w:shd w:val="clear" w:color="auto" w:fill="FFFFFF" w:themeFill="background1"/>
            <w:noWrap/>
            <w:vAlign w:val="center"/>
          </w:tcPr>
          <w:p>
            <w:pPr>
              <w:widowControl/>
              <w:spacing w:line="360" w:lineRule="auto"/>
              <w:jc w:val="center"/>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18</w:t>
            </w:r>
          </w:p>
        </w:tc>
        <w:tc>
          <w:tcPr>
            <w:tcW w:w="1843" w:type="dxa"/>
            <w:vMerge w:val="continue"/>
            <w:shd w:val="clear" w:color="auto" w:fill="FFFFFF" w:themeFill="background1"/>
            <w:noWrap/>
            <w:vAlign w:val="center"/>
          </w:tcPr>
          <w:p>
            <w:pPr>
              <w:widowControl/>
              <w:spacing w:line="360" w:lineRule="auto"/>
              <w:jc w:val="center"/>
              <w:rPr>
                <w:rFonts w:ascii="宋体" w:hAnsi="宋体" w:cs="宋体"/>
                <w:kern w:val="0"/>
                <w:sz w:val="22"/>
                <w:szCs w:val="22"/>
                <w:shd w:val="clear" w:color="auto" w:fill="FFFFFF" w:themeFill="background1"/>
              </w:rPr>
            </w:pPr>
          </w:p>
        </w:tc>
        <w:tc>
          <w:tcPr>
            <w:tcW w:w="1842" w:type="dxa"/>
            <w:shd w:val="clear" w:color="auto" w:fill="FFFFFF" w:themeFill="background1"/>
            <w:vAlign w:val="center"/>
          </w:tcPr>
          <w:p>
            <w:pPr>
              <w:widowControl/>
              <w:spacing w:line="360" w:lineRule="auto"/>
              <w:jc w:val="center"/>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直接采购</w:t>
            </w:r>
          </w:p>
        </w:tc>
        <w:tc>
          <w:tcPr>
            <w:tcW w:w="4111" w:type="dxa"/>
            <w:shd w:val="clear" w:color="auto" w:fill="FFFFFF" w:themeFill="background1"/>
            <w:vAlign w:val="center"/>
          </w:tcPr>
          <w:p>
            <w:pPr>
              <w:widowControl/>
              <w:spacing w:line="360" w:lineRule="auto"/>
              <w:jc w:val="left"/>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采购结果信息维护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93" w:type="dxa"/>
            <w:shd w:val="clear" w:color="auto" w:fill="FFFFFF" w:themeFill="background1"/>
            <w:noWrap/>
            <w:vAlign w:val="center"/>
          </w:tcPr>
          <w:p>
            <w:pPr>
              <w:widowControl/>
              <w:spacing w:line="360" w:lineRule="auto"/>
              <w:jc w:val="center"/>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19</w:t>
            </w:r>
          </w:p>
        </w:tc>
        <w:tc>
          <w:tcPr>
            <w:tcW w:w="1843" w:type="dxa"/>
            <w:vMerge w:val="continue"/>
            <w:shd w:val="clear" w:color="auto" w:fill="FFFFFF" w:themeFill="background1"/>
            <w:noWrap/>
            <w:vAlign w:val="center"/>
          </w:tcPr>
          <w:p>
            <w:pPr>
              <w:widowControl/>
              <w:spacing w:line="360" w:lineRule="auto"/>
              <w:jc w:val="center"/>
              <w:rPr>
                <w:rFonts w:ascii="宋体" w:hAnsi="宋体" w:cs="宋体"/>
                <w:kern w:val="0"/>
                <w:sz w:val="22"/>
                <w:szCs w:val="22"/>
                <w:shd w:val="clear" w:color="auto" w:fill="FFFFFF" w:themeFill="background1"/>
              </w:rPr>
            </w:pPr>
          </w:p>
        </w:tc>
        <w:tc>
          <w:tcPr>
            <w:tcW w:w="1842" w:type="dxa"/>
            <w:shd w:val="clear" w:color="auto" w:fill="FFFFFF" w:themeFill="background1"/>
            <w:vAlign w:val="center"/>
          </w:tcPr>
          <w:p>
            <w:pPr>
              <w:widowControl/>
              <w:spacing w:line="360" w:lineRule="auto"/>
              <w:jc w:val="center"/>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框架协议/预选招标</w:t>
            </w:r>
          </w:p>
        </w:tc>
        <w:tc>
          <w:tcPr>
            <w:tcW w:w="4111" w:type="dxa"/>
            <w:shd w:val="clear" w:color="auto" w:fill="FFFFFF" w:themeFill="background1"/>
            <w:vAlign w:val="center"/>
          </w:tcPr>
          <w:p>
            <w:pPr>
              <w:widowControl/>
              <w:spacing w:line="360" w:lineRule="auto"/>
              <w:jc w:val="left"/>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框架协议/预选招标结果的录入、查询等管理；入围供应商订单管理(抽签、轮候、直接指派、二次竞价、谈判等方式确定）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93" w:type="dxa"/>
            <w:shd w:val="clear" w:color="auto" w:fill="auto"/>
            <w:noWrap/>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20</w:t>
            </w:r>
          </w:p>
        </w:tc>
        <w:tc>
          <w:tcPr>
            <w:tcW w:w="1843" w:type="dxa"/>
            <w:shd w:val="clear" w:color="auto" w:fill="auto"/>
            <w:noWrap/>
            <w:vAlign w:val="center"/>
          </w:tcPr>
          <w:p>
            <w:pPr>
              <w:widowControl/>
              <w:spacing w:line="360" w:lineRule="auto"/>
              <w:rPr>
                <w:rFonts w:ascii="宋体" w:hAnsi="宋体" w:cs="宋体"/>
                <w:kern w:val="0"/>
                <w:sz w:val="22"/>
                <w:szCs w:val="22"/>
              </w:rPr>
            </w:pPr>
            <w:r>
              <w:rPr>
                <w:rFonts w:hint="eastAsia" w:ascii="宋体" w:hAnsi="宋体" w:cs="宋体"/>
                <w:kern w:val="0"/>
                <w:sz w:val="22"/>
                <w:szCs w:val="22"/>
              </w:rPr>
              <w:t>费用管理模块</w:t>
            </w:r>
          </w:p>
        </w:tc>
        <w:tc>
          <w:tcPr>
            <w:tcW w:w="1842" w:type="dxa"/>
            <w:shd w:val="clear" w:color="auto" w:fill="auto"/>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费用管理</w:t>
            </w:r>
          </w:p>
        </w:tc>
        <w:tc>
          <w:tcPr>
            <w:tcW w:w="4111" w:type="dxa"/>
            <w:shd w:val="clear" w:color="auto" w:fill="auto"/>
            <w:vAlign w:val="center"/>
          </w:tcPr>
          <w:p>
            <w:pPr>
              <w:widowControl/>
              <w:spacing w:line="360" w:lineRule="auto"/>
              <w:jc w:val="left"/>
              <w:rPr>
                <w:rFonts w:ascii="宋体" w:hAnsi="宋体" w:cs="宋体"/>
                <w:kern w:val="0"/>
                <w:sz w:val="22"/>
                <w:szCs w:val="22"/>
              </w:rPr>
            </w:pPr>
            <w:r>
              <w:rPr>
                <w:rFonts w:hint="eastAsia" w:ascii="宋体" w:hAnsi="宋体" w:cs="宋体"/>
                <w:kern w:val="0"/>
                <w:sz w:val="22"/>
                <w:szCs w:val="22"/>
              </w:rPr>
              <w:t>标书费、投标保证金、图纸押金等招采费用管理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93" w:type="dxa"/>
            <w:vMerge w:val="restart"/>
            <w:shd w:val="clear" w:color="auto" w:fill="auto"/>
            <w:noWrap/>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21</w:t>
            </w:r>
          </w:p>
        </w:tc>
        <w:tc>
          <w:tcPr>
            <w:tcW w:w="1843" w:type="dxa"/>
            <w:vMerge w:val="restart"/>
            <w:shd w:val="clear" w:color="auto" w:fill="auto"/>
            <w:noWrap/>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专家管理模块</w:t>
            </w:r>
          </w:p>
        </w:tc>
        <w:tc>
          <w:tcPr>
            <w:tcW w:w="1842" w:type="dxa"/>
            <w:shd w:val="clear" w:color="auto" w:fill="auto"/>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专家库管理</w:t>
            </w:r>
          </w:p>
        </w:tc>
        <w:tc>
          <w:tcPr>
            <w:tcW w:w="4111" w:type="dxa"/>
            <w:shd w:val="clear" w:color="auto" w:fill="auto"/>
            <w:vAlign w:val="center"/>
          </w:tcPr>
          <w:p>
            <w:pPr>
              <w:widowControl/>
              <w:spacing w:line="360" w:lineRule="auto"/>
              <w:jc w:val="left"/>
              <w:rPr>
                <w:rFonts w:ascii="宋体" w:hAnsi="宋体" w:cs="宋体"/>
                <w:kern w:val="0"/>
                <w:sz w:val="22"/>
                <w:szCs w:val="22"/>
              </w:rPr>
            </w:pPr>
            <w:r>
              <w:rPr>
                <w:rFonts w:hint="eastAsia" w:ascii="宋体" w:hAnsi="宋体" w:cs="宋体"/>
                <w:kern w:val="0"/>
                <w:sz w:val="22"/>
                <w:szCs w:val="22"/>
              </w:rPr>
              <w:t>专家基本信息的管理、查询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93" w:type="dxa"/>
            <w:vMerge w:val="continue"/>
            <w:shd w:val="clear" w:color="auto" w:fill="auto"/>
            <w:noWrap/>
            <w:vAlign w:val="center"/>
          </w:tcPr>
          <w:p>
            <w:pPr>
              <w:widowControl/>
              <w:spacing w:line="360" w:lineRule="auto"/>
              <w:jc w:val="center"/>
              <w:rPr>
                <w:rFonts w:ascii="宋体" w:hAnsi="宋体" w:cs="宋体"/>
                <w:kern w:val="0"/>
                <w:sz w:val="22"/>
                <w:szCs w:val="22"/>
              </w:rPr>
            </w:pPr>
          </w:p>
        </w:tc>
        <w:tc>
          <w:tcPr>
            <w:tcW w:w="1843" w:type="dxa"/>
            <w:vMerge w:val="continue"/>
            <w:shd w:val="clear" w:color="auto" w:fill="auto"/>
            <w:noWrap/>
            <w:vAlign w:val="center"/>
          </w:tcPr>
          <w:p>
            <w:pPr>
              <w:widowControl/>
              <w:spacing w:line="360" w:lineRule="auto"/>
              <w:jc w:val="center"/>
              <w:rPr>
                <w:rFonts w:ascii="宋体" w:hAnsi="宋体" w:cs="宋体"/>
                <w:kern w:val="0"/>
                <w:sz w:val="22"/>
                <w:szCs w:val="22"/>
              </w:rPr>
            </w:pPr>
          </w:p>
        </w:tc>
        <w:tc>
          <w:tcPr>
            <w:tcW w:w="1842" w:type="dxa"/>
            <w:shd w:val="clear" w:color="auto" w:fill="auto"/>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专家抽取</w:t>
            </w:r>
          </w:p>
        </w:tc>
        <w:tc>
          <w:tcPr>
            <w:tcW w:w="4111" w:type="dxa"/>
            <w:shd w:val="clear" w:color="auto" w:fill="auto"/>
            <w:vAlign w:val="center"/>
          </w:tcPr>
          <w:p>
            <w:pPr>
              <w:widowControl/>
              <w:spacing w:line="360" w:lineRule="auto"/>
              <w:jc w:val="left"/>
              <w:rPr>
                <w:rFonts w:ascii="宋体" w:hAnsi="宋体" w:cs="宋体"/>
                <w:kern w:val="0"/>
                <w:sz w:val="22"/>
                <w:szCs w:val="22"/>
              </w:rPr>
            </w:pPr>
            <w:r>
              <w:rPr>
                <w:rFonts w:hint="eastAsia" w:ascii="宋体" w:hAnsi="宋体" w:cs="宋体"/>
                <w:kern w:val="0"/>
                <w:sz w:val="22"/>
                <w:szCs w:val="22"/>
              </w:rPr>
              <w:t>评审专家的抽取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93" w:type="dxa"/>
            <w:vMerge w:val="continue"/>
            <w:shd w:val="clear" w:color="auto" w:fill="auto"/>
            <w:noWrap/>
            <w:vAlign w:val="center"/>
          </w:tcPr>
          <w:p>
            <w:pPr>
              <w:widowControl/>
              <w:spacing w:line="360" w:lineRule="auto"/>
              <w:jc w:val="center"/>
              <w:rPr>
                <w:rFonts w:ascii="宋体" w:hAnsi="宋体" w:cs="宋体"/>
                <w:kern w:val="0"/>
                <w:sz w:val="22"/>
                <w:szCs w:val="22"/>
              </w:rPr>
            </w:pPr>
          </w:p>
        </w:tc>
        <w:tc>
          <w:tcPr>
            <w:tcW w:w="1843" w:type="dxa"/>
            <w:vMerge w:val="continue"/>
            <w:shd w:val="clear" w:color="auto" w:fill="auto"/>
            <w:noWrap/>
            <w:vAlign w:val="center"/>
          </w:tcPr>
          <w:p>
            <w:pPr>
              <w:widowControl/>
              <w:spacing w:line="360" w:lineRule="auto"/>
              <w:jc w:val="center"/>
              <w:rPr>
                <w:rFonts w:ascii="宋体" w:hAnsi="宋体" w:cs="宋体"/>
                <w:kern w:val="0"/>
                <w:sz w:val="22"/>
                <w:szCs w:val="22"/>
              </w:rPr>
            </w:pPr>
          </w:p>
        </w:tc>
        <w:tc>
          <w:tcPr>
            <w:tcW w:w="1842" w:type="dxa"/>
            <w:shd w:val="clear" w:color="auto" w:fill="auto"/>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专家自动语音通知</w:t>
            </w:r>
          </w:p>
        </w:tc>
        <w:tc>
          <w:tcPr>
            <w:tcW w:w="4111" w:type="dxa"/>
            <w:shd w:val="clear" w:color="auto" w:fill="auto"/>
            <w:vAlign w:val="center"/>
          </w:tcPr>
          <w:p>
            <w:pPr>
              <w:widowControl/>
              <w:spacing w:line="360" w:lineRule="auto"/>
              <w:jc w:val="left"/>
              <w:rPr>
                <w:rFonts w:ascii="宋体" w:hAnsi="宋体" w:cs="宋体"/>
                <w:kern w:val="0"/>
                <w:sz w:val="22"/>
                <w:szCs w:val="22"/>
              </w:rPr>
            </w:pPr>
            <w:r>
              <w:rPr>
                <w:rFonts w:hint="eastAsia" w:ascii="宋体" w:hAnsi="宋体" w:cs="宋体"/>
                <w:kern w:val="0"/>
                <w:sz w:val="22"/>
                <w:szCs w:val="22"/>
              </w:rPr>
              <w:t>抽取专家的语音、短信自动通知（不含硬件及通道租赁）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93" w:type="dxa"/>
            <w:vMerge w:val="continue"/>
            <w:shd w:val="clear" w:color="auto" w:fill="auto"/>
            <w:noWrap/>
            <w:vAlign w:val="center"/>
          </w:tcPr>
          <w:p>
            <w:pPr>
              <w:widowControl/>
              <w:spacing w:line="360" w:lineRule="auto"/>
              <w:jc w:val="center"/>
              <w:rPr>
                <w:rFonts w:ascii="宋体" w:hAnsi="宋体" w:cs="宋体"/>
                <w:kern w:val="0"/>
                <w:sz w:val="22"/>
                <w:szCs w:val="22"/>
              </w:rPr>
            </w:pPr>
          </w:p>
        </w:tc>
        <w:tc>
          <w:tcPr>
            <w:tcW w:w="1843" w:type="dxa"/>
            <w:vMerge w:val="continue"/>
            <w:shd w:val="clear" w:color="auto" w:fill="auto"/>
            <w:noWrap/>
            <w:vAlign w:val="center"/>
          </w:tcPr>
          <w:p>
            <w:pPr>
              <w:widowControl/>
              <w:spacing w:line="360" w:lineRule="auto"/>
              <w:jc w:val="center"/>
              <w:rPr>
                <w:rFonts w:ascii="宋体" w:hAnsi="宋体" w:cs="宋体"/>
                <w:kern w:val="0"/>
                <w:sz w:val="22"/>
                <w:szCs w:val="22"/>
              </w:rPr>
            </w:pPr>
          </w:p>
        </w:tc>
        <w:tc>
          <w:tcPr>
            <w:tcW w:w="1842" w:type="dxa"/>
            <w:shd w:val="clear" w:color="auto" w:fill="auto"/>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专家评价</w:t>
            </w:r>
          </w:p>
        </w:tc>
        <w:tc>
          <w:tcPr>
            <w:tcW w:w="4111" w:type="dxa"/>
            <w:shd w:val="clear" w:color="auto" w:fill="auto"/>
            <w:vAlign w:val="center"/>
          </w:tcPr>
          <w:p>
            <w:pPr>
              <w:widowControl/>
              <w:spacing w:line="360" w:lineRule="auto"/>
              <w:jc w:val="left"/>
              <w:rPr>
                <w:rFonts w:ascii="宋体" w:hAnsi="宋体" w:cs="宋体"/>
                <w:kern w:val="0"/>
                <w:sz w:val="22"/>
                <w:szCs w:val="22"/>
              </w:rPr>
            </w:pPr>
            <w:r>
              <w:rPr>
                <w:rFonts w:hint="eastAsia" w:ascii="宋体" w:hAnsi="宋体" w:cs="宋体"/>
                <w:kern w:val="0"/>
                <w:sz w:val="22"/>
                <w:szCs w:val="22"/>
              </w:rPr>
              <w:t>对专家的评价、考核、分级管理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93" w:type="dxa"/>
            <w:shd w:val="clear" w:color="auto" w:fill="auto"/>
            <w:noWrap/>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22</w:t>
            </w:r>
          </w:p>
        </w:tc>
        <w:tc>
          <w:tcPr>
            <w:tcW w:w="1843" w:type="dxa"/>
            <w:shd w:val="clear" w:color="auto" w:fill="auto"/>
            <w:noWrap/>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电子商城采购</w:t>
            </w:r>
          </w:p>
        </w:tc>
        <w:tc>
          <w:tcPr>
            <w:tcW w:w="1842" w:type="dxa"/>
            <w:shd w:val="clear" w:color="auto" w:fill="auto"/>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电子商城对接两家外部商城</w:t>
            </w:r>
          </w:p>
        </w:tc>
        <w:tc>
          <w:tcPr>
            <w:tcW w:w="4111" w:type="dxa"/>
            <w:shd w:val="clear" w:color="auto" w:fill="auto"/>
            <w:vAlign w:val="center"/>
          </w:tcPr>
          <w:p>
            <w:pPr>
              <w:widowControl/>
              <w:spacing w:line="360" w:lineRule="auto"/>
              <w:jc w:val="left"/>
              <w:rPr>
                <w:rFonts w:ascii="宋体" w:hAnsi="宋体" w:cs="宋体"/>
                <w:kern w:val="0"/>
                <w:sz w:val="22"/>
                <w:szCs w:val="22"/>
              </w:rPr>
            </w:pPr>
            <w:r>
              <w:rPr>
                <w:rFonts w:hint="eastAsia" w:ascii="宋体" w:hAnsi="宋体" w:cs="宋体"/>
                <w:kern w:val="0"/>
                <w:sz w:val="22"/>
                <w:szCs w:val="22"/>
              </w:rPr>
              <w:t>含商城门户、商品列表、购物车、订单、物流及售后模块</w:t>
            </w:r>
          </w:p>
          <w:p>
            <w:pPr>
              <w:widowControl/>
              <w:spacing w:line="360" w:lineRule="auto"/>
              <w:jc w:val="left"/>
              <w:rPr>
                <w:rFonts w:ascii="宋体" w:hAnsi="宋体" w:cs="宋体"/>
                <w:kern w:val="0"/>
                <w:sz w:val="22"/>
                <w:szCs w:val="22"/>
              </w:rPr>
            </w:pPr>
            <w:r>
              <w:rPr>
                <w:rFonts w:hint="eastAsia" w:ascii="宋体" w:hAnsi="宋体" w:cs="宋体"/>
                <w:kern w:val="0"/>
                <w:sz w:val="22"/>
                <w:szCs w:val="22"/>
              </w:rPr>
              <w:t>实现会员管理、店铺管理、品类电商等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93" w:type="dxa"/>
            <w:shd w:val="clear" w:color="auto" w:fill="auto"/>
            <w:noWrap/>
            <w:vAlign w:val="center"/>
          </w:tcPr>
          <w:p>
            <w:pPr>
              <w:widowControl/>
              <w:spacing w:line="360" w:lineRule="auto"/>
              <w:jc w:val="center"/>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23</w:t>
            </w:r>
          </w:p>
        </w:tc>
        <w:tc>
          <w:tcPr>
            <w:tcW w:w="1843" w:type="dxa"/>
            <w:vMerge w:val="restart"/>
            <w:shd w:val="clear" w:color="auto" w:fill="auto"/>
            <w:noWrap/>
            <w:vAlign w:val="center"/>
          </w:tcPr>
          <w:p>
            <w:pPr>
              <w:spacing w:line="360" w:lineRule="auto"/>
              <w:jc w:val="center"/>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外部接口</w:t>
            </w:r>
          </w:p>
        </w:tc>
        <w:tc>
          <w:tcPr>
            <w:tcW w:w="1842" w:type="dxa"/>
            <w:shd w:val="clear" w:color="auto" w:fill="auto"/>
            <w:vAlign w:val="center"/>
          </w:tcPr>
          <w:p>
            <w:pPr>
              <w:widowControl/>
              <w:spacing w:line="360" w:lineRule="auto"/>
              <w:jc w:val="center"/>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CA集成</w:t>
            </w:r>
          </w:p>
        </w:tc>
        <w:tc>
          <w:tcPr>
            <w:tcW w:w="4111" w:type="dxa"/>
            <w:shd w:val="clear" w:color="auto" w:fill="auto"/>
            <w:vAlign w:val="center"/>
          </w:tcPr>
          <w:p>
            <w:pPr>
              <w:widowControl/>
              <w:spacing w:line="360" w:lineRule="auto"/>
              <w:jc w:val="left"/>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与第三方CA系统集成，身份认证，数据安全及加解密。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93" w:type="dxa"/>
            <w:shd w:val="clear" w:color="auto" w:fill="auto"/>
            <w:noWrap/>
            <w:vAlign w:val="center"/>
          </w:tcPr>
          <w:p>
            <w:pPr>
              <w:widowControl/>
              <w:spacing w:line="360" w:lineRule="auto"/>
              <w:jc w:val="center"/>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24</w:t>
            </w:r>
          </w:p>
        </w:tc>
        <w:tc>
          <w:tcPr>
            <w:tcW w:w="1843" w:type="dxa"/>
            <w:vMerge w:val="continue"/>
            <w:shd w:val="clear" w:color="auto" w:fill="auto"/>
            <w:noWrap/>
            <w:vAlign w:val="center"/>
          </w:tcPr>
          <w:p>
            <w:pPr>
              <w:spacing w:line="360" w:lineRule="auto"/>
              <w:jc w:val="center"/>
              <w:rPr>
                <w:rFonts w:ascii="宋体" w:hAnsi="宋体" w:cs="宋体"/>
                <w:kern w:val="0"/>
                <w:sz w:val="22"/>
                <w:szCs w:val="22"/>
                <w:shd w:val="clear" w:color="auto" w:fill="FFFFFF" w:themeFill="background1"/>
              </w:rPr>
            </w:pPr>
          </w:p>
        </w:tc>
        <w:tc>
          <w:tcPr>
            <w:tcW w:w="1842" w:type="dxa"/>
            <w:shd w:val="clear" w:color="auto" w:fill="auto"/>
            <w:vAlign w:val="center"/>
          </w:tcPr>
          <w:p>
            <w:pPr>
              <w:widowControl/>
              <w:spacing w:line="360" w:lineRule="auto"/>
              <w:jc w:val="center"/>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电子签章集成</w:t>
            </w:r>
          </w:p>
        </w:tc>
        <w:tc>
          <w:tcPr>
            <w:tcW w:w="4111" w:type="dxa"/>
            <w:shd w:val="clear" w:color="auto" w:fill="auto"/>
            <w:vAlign w:val="center"/>
          </w:tcPr>
          <w:p>
            <w:pPr>
              <w:widowControl/>
              <w:spacing w:line="360" w:lineRule="auto"/>
              <w:jc w:val="left"/>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与第三方签章系统集成，实现各类电子文档的签章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93" w:type="dxa"/>
            <w:shd w:val="clear" w:color="auto" w:fill="auto"/>
            <w:noWrap/>
            <w:vAlign w:val="center"/>
          </w:tcPr>
          <w:p>
            <w:pPr>
              <w:widowControl/>
              <w:spacing w:line="360" w:lineRule="auto"/>
              <w:jc w:val="center"/>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25</w:t>
            </w:r>
          </w:p>
        </w:tc>
        <w:tc>
          <w:tcPr>
            <w:tcW w:w="1843" w:type="dxa"/>
            <w:vMerge w:val="continue"/>
            <w:shd w:val="clear" w:color="auto" w:fill="auto"/>
            <w:noWrap/>
            <w:vAlign w:val="center"/>
          </w:tcPr>
          <w:p>
            <w:pPr>
              <w:spacing w:line="360" w:lineRule="auto"/>
              <w:jc w:val="center"/>
              <w:rPr>
                <w:rFonts w:ascii="宋体" w:hAnsi="宋体" w:cs="宋体"/>
                <w:kern w:val="0"/>
                <w:sz w:val="22"/>
                <w:szCs w:val="22"/>
                <w:shd w:val="clear" w:color="auto" w:fill="FFFFFF" w:themeFill="background1"/>
              </w:rPr>
            </w:pPr>
          </w:p>
        </w:tc>
        <w:tc>
          <w:tcPr>
            <w:tcW w:w="1842" w:type="dxa"/>
            <w:shd w:val="clear" w:color="auto" w:fill="auto"/>
            <w:vAlign w:val="center"/>
          </w:tcPr>
          <w:p>
            <w:pPr>
              <w:widowControl/>
              <w:spacing w:line="360" w:lineRule="auto"/>
              <w:jc w:val="center"/>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OA接口</w:t>
            </w:r>
          </w:p>
        </w:tc>
        <w:tc>
          <w:tcPr>
            <w:tcW w:w="4111" w:type="dxa"/>
            <w:shd w:val="clear" w:color="auto" w:fill="auto"/>
            <w:vAlign w:val="center"/>
          </w:tcPr>
          <w:p>
            <w:pPr>
              <w:widowControl/>
              <w:spacing w:line="360" w:lineRule="auto"/>
              <w:jc w:val="left"/>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支持将电子招标平台中的待办事项发送到OA审批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93" w:type="dxa"/>
            <w:shd w:val="clear" w:color="auto" w:fill="auto"/>
            <w:noWrap/>
            <w:vAlign w:val="center"/>
          </w:tcPr>
          <w:p>
            <w:pPr>
              <w:widowControl/>
              <w:spacing w:line="360" w:lineRule="auto"/>
              <w:jc w:val="center"/>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26</w:t>
            </w:r>
          </w:p>
        </w:tc>
        <w:tc>
          <w:tcPr>
            <w:tcW w:w="1843" w:type="dxa"/>
            <w:vMerge w:val="continue"/>
            <w:shd w:val="clear" w:color="auto" w:fill="auto"/>
            <w:noWrap/>
            <w:vAlign w:val="center"/>
          </w:tcPr>
          <w:p>
            <w:pPr>
              <w:spacing w:line="360" w:lineRule="auto"/>
              <w:jc w:val="center"/>
              <w:rPr>
                <w:rFonts w:ascii="宋体" w:hAnsi="宋体" w:cs="宋体"/>
                <w:kern w:val="0"/>
                <w:sz w:val="22"/>
                <w:szCs w:val="22"/>
                <w:shd w:val="clear" w:color="auto" w:fill="FFFFFF" w:themeFill="background1"/>
              </w:rPr>
            </w:pPr>
          </w:p>
        </w:tc>
        <w:tc>
          <w:tcPr>
            <w:tcW w:w="1842" w:type="dxa"/>
            <w:shd w:val="clear" w:color="auto" w:fill="auto"/>
            <w:vAlign w:val="center"/>
          </w:tcPr>
          <w:p>
            <w:pPr>
              <w:widowControl/>
              <w:spacing w:line="360" w:lineRule="auto"/>
              <w:jc w:val="center"/>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短信、邮件接口</w:t>
            </w:r>
          </w:p>
        </w:tc>
        <w:tc>
          <w:tcPr>
            <w:tcW w:w="4111" w:type="dxa"/>
            <w:shd w:val="clear" w:color="auto" w:fill="auto"/>
            <w:vAlign w:val="center"/>
          </w:tcPr>
          <w:p>
            <w:pPr>
              <w:widowControl/>
              <w:spacing w:line="360" w:lineRule="auto"/>
              <w:jc w:val="left"/>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即时通讯工具，需客户方提供短信、邮件平台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93" w:type="dxa"/>
            <w:shd w:val="clear" w:color="auto" w:fill="auto"/>
            <w:noWrap/>
            <w:vAlign w:val="center"/>
          </w:tcPr>
          <w:p>
            <w:pPr>
              <w:widowControl/>
              <w:spacing w:line="360" w:lineRule="auto"/>
              <w:jc w:val="center"/>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27</w:t>
            </w:r>
          </w:p>
        </w:tc>
        <w:tc>
          <w:tcPr>
            <w:tcW w:w="1843" w:type="dxa"/>
            <w:vMerge w:val="continue"/>
            <w:shd w:val="clear" w:color="auto" w:fill="auto"/>
            <w:noWrap/>
            <w:vAlign w:val="center"/>
          </w:tcPr>
          <w:p>
            <w:pPr>
              <w:widowControl/>
              <w:spacing w:line="360" w:lineRule="auto"/>
              <w:jc w:val="center"/>
              <w:rPr>
                <w:rFonts w:ascii="宋体" w:hAnsi="宋体" w:cs="宋体"/>
                <w:kern w:val="0"/>
                <w:sz w:val="22"/>
                <w:szCs w:val="22"/>
                <w:shd w:val="clear" w:color="auto" w:fill="FFFFFF" w:themeFill="background1"/>
              </w:rPr>
            </w:pPr>
          </w:p>
        </w:tc>
        <w:tc>
          <w:tcPr>
            <w:tcW w:w="1842" w:type="dxa"/>
            <w:shd w:val="clear" w:color="auto" w:fill="auto"/>
            <w:vAlign w:val="center"/>
          </w:tcPr>
          <w:p>
            <w:pPr>
              <w:widowControl/>
              <w:spacing w:line="360" w:lineRule="auto"/>
              <w:jc w:val="center"/>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合同接口</w:t>
            </w:r>
          </w:p>
        </w:tc>
        <w:tc>
          <w:tcPr>
            <w:tcW w:w="4111" w:type="dxa"/>
            <w:shd w:val="clear" w:color="auto" w:fill="auto"/>
            <w:vAlign w:val="center"/>
          </w:tcPr>
          <w:p>
            <w:pPr>
              <w:widowControl/>
              <w:spacing w:line="360" w:lineRule="auto"/>
              <w:jc w:val="left"/>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与客户合同管理系统</w:t>
            </w:r>
          </w:p>
        </w:tc>
      </w:tr>
    </w:tbl>
    <w:p>
      <w:pPr>
        <w:jc w:val="left"/>
        <w:rPr>
          <w:rFonts w:cs="宋体" w:asciiTheme="minorEastAsia" w:hAnsiTheme="minorEastAsia"/>
          <w:bCs/>
          <w:sz w:val="24"/>
        </w:rPr>
      </w:pPr>
      <w:r>
        <w:rPr>
          <w:rFonts w:cs="宋体" w:asciiTheme="minorEastAsia" w:hAnsiTheme="minorEastAsia"/>
          <w:bCs/>
          <w:sz w:val="24"/>
        </w:rPr>
        <w:br w:type="page"/>
      </w:r>
    </w:p>
    <w:p>
      <w:pPr>
        <w:numPr>
          <w:ilvl w:val="0"/>
          <w:numId w:val="106"/>
        </w:numPr>
        <w:spacing w:line="480" w:lineRule="auto"/>
        <w:ind w:firstLine="420"/>
        <w:rPr>
          <w:rFonts w:ascii="汉仪仿宋简" w:hAnsi="仿宋" w:eastAsiaTheme="minorEastAsia" w:cstheme="minorBidi"/>
          <w:b/>
          <w:bCs/>
          <w:sz w:val="28"/>
          <w:szCs w:val="28"/>
        </w:rPr>
      </w:pPr>
      <w:r>
        <w:rPr>
          <w:rFonts w:hint="eastAsia" w:ascii="汉仪仿宋简" w:hAnsi="仿宋" w:eastAsiaTheme="minorEastAsia" w:cstheme="minorBidi"/>
          <w:b/>
          <w:bCs/>
          <w:sz w:val="28"/>
          <w:szCs w:val="28"/>
        </w:rPr>
        <w:t>物资链（物资供应系统）</w:t>
      </w:r>
    </w:p>
    <w:tbl>
      <w:tblPr>
        <w:tblStyle w:val="34"/>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843"/>
        <w:gridCol w:w="1842"/>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93" w:type="dxa"/>
            <w:shd w:val="clear" w:color="000000" w:fill="BEBEBE" w:themeFill="background1" w:themeFillShade="BF"/>
            <w:noWrap/>
            <w:vAlign w:val="center"/>
          </w:tcPr>
          <w:p>
            <w:pPr>
              <w:widowControl/>
              <w:spacing w:line="360" w:lineRule="auto"/>
              <w:jc w:val="center"/>
              <w:rPr>
                <w:rFonts w:ascii="宋体" w:hAnsi="宋体" w:cs="宋体"/>
                <w:b/>
                <w:bCs/>
                <w:kern w:val="0"/>
                <w:sz w:val="22"/>
                <w:szCs w:val="22"/>
              </w:rPr>
            </w:pPr>
            <w:r>
              <w:rPr>
                <w:rFonts w:hint="eastAsia" w:ascii="宋体" w:hAnsi="宋体" w:cs="宋体"/>
                <w:b/>
                <w:bCs/>
                <w:kern w:val="0"/>
                <w:sz w:val="22"/>
                <w:szCs w:val="22"/>
              </w:rPr>
              <w:t>序号</w:t>
            </w:r>
          </w:p>
        </w:tc>
        <w:tc>
          <w:tcPr>
            <w:tcW w:w="1843" w:type="dxa"/>
            <w:shd w:val="clear" w:color="000000" w:fill="BEBEBE" w:themeFill="background1" w:themeFillShade="BF"/>
            <w:noWrap/>
            <w:vAlign w:val="center"/>
          </w:tcPr>
          <w:p>
            <w:pPr>
              <w:widowControl/>
              <w:spacing w:line="360" w:lineRule="auto"/>
              <w:jc w:val="center"/>
              <w:rPr>
                <w:rFonts w:ascii="宋体" w:hAnsi="宋体" w:cs="宋体"/>
                <w:b/>
                <w:bCs/>
                <w:kern w:val="0"/>
                <w:sz w:val="22"/>
                <w:szCs w:val="22"/>
              </w:rPr>
            </w:pPr>
            <w:r>
              <w:rPr>
                <w:rFonts w:hint="eastAsia" w:ascii="宋体" w:hAnsi="宋体" w:cs="宋体"/>
                <w:b/>
                <w:bCs/>
                <w:kern w:val="0"/>
                <w:sz w:val="22"/>
                <w:szCs w:val="22"/>
              </w:rPr>
              <w:t>模块类别</w:t>
            </w:r>
          </w:p>
        </w:tc>
        <w:tc>
          <w:tcPr>
            <w:tcW w:w="1842" w:type="dxa"/>
            <w:shd w:val="clear" w:color="000000" w:fill="BEBEBE" w:themeFill="background1" w:themeFillShade="BF"/>
            <w:vAlign w:val="center"/>
          </w:tcPr>
          <w:p>
            <w:pPr>
              <w:widowControl/>
              <w:spacing w:line="360" w:lineRule="auto"/>
              <w:jc w:val="center"/>
              <w:rPr>
                <w:rFonts w:ascii="宋体" w:hAnsi="宋体" w:cs="宋体"/>
                <w:b/>
                <w:bCs/>
                <w:kern w:val="0"/>
                <w:sz w:val="22"/>
                <w:szCs w:val="22"/>
              </w:rPr>
            </w:pPr>
            <w:r>
              <w:rPr>
                <w:rFonts w:hint="eastAsia" w:ascii="宋体" w:hAnsi="宋体" w:cs="宋体"/>
                <w:b/>
                <w:bCs/>
                <w:kern w:val="0"/>
                <w:sz w:val="22"/>
                <w:szCs w:val="22"/>
              </w:rPr>
              <w:t>模块</w:t>
            </w:r>
          </w:p>
        </w:tc>
        <w:tc>
          <w:tcPr>
            <w:tcW w:w="4111" w:type="dxa"/>
            <w:shd w:val="clear" w:color="000000" w:fill="BEBEBE" w:themeFill="background1" w:themeFillShade="BF"/>
            <w:vAlign w:val="center"/>
          </w:tcPr>
          <w:p>
            <w:pPr>
              <w:widowControl/>
              <w:spacing w:line="360" w:lineRule="auto"/>
              <w:jc w:val="left"/>
              <w:rPr>
                <w:rFonts w:ascii="宋体" w:hAnsi="宋体" w:cs="宋体"/>
                <w:b/>
                <w:bCs/>
                <w:kern w:val="0"/>
                <w:sz w:val="22"/>
                <w:szCs w:val="22"/>
              </w:rPr>
            </w:pPr>
            <w:r>
              <w:rPr>
                <w:rFonts w:hint="eastAsia" w:ascii="宋体" w:hAnsi="宋体" w:cs="宋体"/>
                <w:b/>
                <w:bCs/>
                <w:kern w:val="0"/>
                <w:sz w:val="22"/>
                <w:szCs w:val="22"/>
              </w:rPr>
              <w:t>模块说明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93" w:type="dxa"/>
            <w:shd w:val="clear" w:color="auto" w:fill="FFFFFF" w:themeFill="background1"/>
            <w:noWrap/>
            <w:vAlign w:val="center"/>
          </w:tcPr>
          <w:p>
            <w:pPr>
              <w:widowControl/>
              <w:spacing w:line="360" w:lineRule="auto"/>
              <w:jc w:val="center"/>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1</w:t>
            </w:r>
          </w:p>
        </w:tc>
        <w:tc>
          <w:tcPr>
            <w:tcW w:w="1843" w:type="dxa"/>
            <w:shd w:val="clear" w:color="auto" w:fill="FFFFFF" w:themeFill="background1"/>
            <w:noWrap/>
            <w:vAlign w:val="center"/>
          </w:tcPr>
          <w:p>
            <w:pPr>
              <w:widowControl/>
              <w:spacing w:line="360" w:lineRule="auto"/>
              <w:jc w:val="center"/>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系统支撑</w:t>
            </w:r>
          </w:p>
        </w:tc>
        <w:tc>
          <w:tcPr>
            <w:tcW w:w="1842" w:type="dxa"/>
            <w:shd w:val="clear" w:color="auto" w:fill="FFFFFF" w:themeFill="background1"/>
            <w:vAlign w:val="center"/>
          </w:tcPr>
          <w:p>
            <w:pPr>
              <w:widowControl/>
              <w:spacing w:line="360" w:lineRule="auto"/>
              <w:jc w:val="center"/>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系统配置支撑</w:t>
            </w:r>
          </w:p>
        </w:tc>
        <w:tc>
          <w:tcPr>
            <w:tcW w:w="4111" w:type="dxa"/>
            <w:shd w:val="clear" w:color="auto" w:fill="FFFFFF" w:themeFill="background1"/>
            <w:vAlign w:val="center"/>
          </w:tcPr>
          <w:p>
            <w:pPr>
              <w:widowControl/>
              <w:spacing w:line="360" w:lineRule="auto"/>
              <w:jc w:val="left"/>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为保障系统的正常运行而进行的相关数据的维护和权限的分配，是系统的基础模块，用来设置与系统运行相关的权限、流程、系统配置参数等各项内容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93" w:type="dxa"/>
            <w:shd w:val="clear" w:color="auto" w:fill="auto"/>
            <w:noWrap/>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2</w:t>
            </w:r>
          </w:p>
        </w:tc>
        <w:tc>
          <w:tcPr>
            <w:tcW w:w="1843" w:type="dxa"/>
            <w:shd w:val="clear" w:color="auto" w:fill="auto"/>
            <w:noWrap/>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物资管理</w:t>
            </w:r>
          </w:p>
        </w:tc>
        <w:tc>
          <w:tcPr>
            <w:tcW w:w="1842" w:type="dxa"/>
            <w:shd w:val="clear" w:color="auto" w:fill="auto"/>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物资管理</w:t>
            </w:r>
          </w:p>
        </w:tc>
        <w:tc>
          <w:tcPr>
            <w:tcW w:w="4111" w:type="dxa"/>
            <w:shd w:val="clear" w:color="auto" w:fill="auto"/>
            <w:vAlign w:val="center"/>
          </w:tcPr>
          <w:p>
            <w:pPr>
              <w:widowControl/>
              <w:spacing w:line="360" w:lineRule="auto"/>
              <w:jc w:val="left"/>
              <w:rPr>
                <w:rFonts w:ascii="宋体" w:hAnsi="宋体" w:cs="宋体"/>
                <w:kern w:val="0"/>
                <w:sz w:val="22"/>
                <w:szCs w:val="22"/>
              </w:rPr>
            </w:pPr>
            <w:r>
              <w:rPr>
                <w:rFonts w:hint="eastAsia" w:ascii="宋体" w:hAnsi="宋体" w:cs="宋体"/>
                <w:kern w:val="0"/>
                <w:sz w:val="22"/>
                <w:szCs w:val="22"/>
              </w:rPr>
              <w:t>物料集中标准化管理，统一授码。支持物料品类明细库维护，提供物料明细价格库检索查询功能，利用自然语言分析提供物料辅助识别提醒功能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93" w:type="dxa"/>
            <w:shd w:val="clear" w:color="auto" w:fill="FFFFFF" w:themeFill="background1"/>
            <w:noWrap/>
            <w:vAlign w:val="center"/>
          </w:tcPr>
          <w:p>
            <w:pPr>
              <w:widowControl/>
              <w:spacing w:line="360" w:lineRule="auto"/>
              <w:jc w:val="center"/>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3</w:t>
            </w:r>
          </w:p>
        </w:tc>
        <w:tc>
          <w:tcPr>
            <w:tcW w:w="1843" w:type="dxa"/>
            <w:shd w:val="clear" w:color="auto" w:fill="FFFFFF" w:themeFill="background1"/>
            <w:noWrap/>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需求管理模块</w:t>
            </w:r>
          </w:p>
        </w:tc>
        <w:tc>
          <w:tcPr>
            <w:tcW w:w="1842" w:type="dxa"/>
            <w:shd w:val="clear" w:color="auto" w:fill="FFFFFF" w:themeFill="background1"/>
            <w:vAlign w:val="center"/>
          </w:tcPr>
          <w:p>
            <w:pPr>
              <w:widowControl/>
              <w:spacing w:line="360" w:lineRule="auto"/>
              <w:jc w:val="center"/>
              <w:rPr>
                <w:rFonts w:ascii="宋体" w:hAnsi="宋体" w:cs="宋体"/>
                <w:kern w:val="0"/>
                <w:sz w:val="22"/>
                <w:szCs w:val="22"/>
              </w:rPr>
            </w:pPr>
            <w:r>
              <w:rPr>
                <w:rFonts w:hint="eastAsia" w:ascii="宋体" w:hAnsi="宋体" w:cs="宋体"/>
                <w:kern w:val="0"/>
                <w:sz w:val="22"/>
                <w:szCs w:val="22"/>
              </w:rPr>
              <w:t>需求管理</w:t>
            </w:r>
          </w:p>
        </w:tc>
        <w:tc>
          <w:tcPr>
            <w:tcW w:w="4111" w:type="dxa"/>
            <w:shd w:val="clear" w:color="auto" w:fill="FFFFFF" w:themeFill="background1"/>
            <w:vAlign w:val="center"/>
          </w:tcPr>
          <w:p>
            <w:pPr>
              <w:widowControl/>
              <w:spacing w:line="360" w:lineRule="auto"/>
              <w:jc w:val="left"/>
              <w:rPr>
                <w:rFonts w:ascii="宋体" w:hAnsi="宋体" w:cs="宋体"/>
                <w:kern w:val="0"/>
                <w:sz w:val="22"/>
                <w:szCs w:val="22"/>
              </w:rPr>
            </w:pPr>
            <w:r>
              <w:rPr>
                <w:rFonts w:hint="eastAsia" w:ascii="宋体" w:hAnsi="宋体" w:cs="宋体"/>
                <w:kern w:val="0"/>
                <w:sz w:val="22"/>
                <w:szCs w:val="22"/>
              </w:rPr>
              <w:t>需求计划的申报、变更、审批、汇总、合并与拆分、采购任务的分派与下达等流程的管理，实现需求预测、统计查询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93" w:type="dxa"/>
            <w:shd w:val="clear" w:color="auto" w:fill="FFFFFF" w:themeFill="background1"/>
            <w:noWrap/>
            <w:vAlign w:val="center"/>
          </w:tcPr>
          <w:p>
            <w:pPr>
              <w:widowControl/>
              <w:spacing w:line="360" w:lineRule="auto"/>
              <w:jc w:val="center"/>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4</w:t>
            </w:r>
          </w:p>
        </w:tc>
        <w:tc>
          <w:tcPr>
            <w:tcW w:w="1843" w:type="dxa"/>
            <w:shd w:val="clear" w:color="auto" w:fill="FFFFFF" w:themeFill="background1"/>
            <w:noWrap/>
            <w:vAlign w:val="center"/>
          </w:tcPr>
          <w:p>
            <w:pPr>
              <w:widowControl/>
              <w:spacing w:line="360" w:lineRule="auto"/>
              <w:jc w:val="center"/>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仓储配送管理</w:t>
            </w:r>
          </w:p>
        </w:tc>
        <w:tc>
          <w:tcPr>
            <w:tcW w:w="1842" w:type="dxa"/>
            <w:shd w:val="clear" w:color="auto" w:fill="FFFFFF" w:themeFill="background1"/>
            <w:vAlign w:val="center"/>
          </w:tcPr>
          <w:p>
            <w:pPr>
              <w:widowControl/>
              <w:spacing w:line="360" w:lineRule="auto"/>
              <w:jc w:val="center"/>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仓储配送管理</w:t>
            </w:r>
          </w:p>
        </w:tc>
        <w:tc>
          <w:tcPr>
            <w:tcW w:w="4111" w:type="dxa"/>
            <w:shd w:val="clear" w:color="auto" w:fill="FFFFFF" w:themeFill="background1"/>
            <w:vAlign w:val="center"/>
          </w:tcPr>
          <w:p>
            <w:pPr>
              <w:widowControl/>
              <w:spacing w:line="360" w:lineRule="auto"/>
              <w:jc w:val="left"/>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提供验收入库、出库、退库、资产盘点、统计检索，按照单位权限维护功能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93" w:type="dxa"/>
            <w:shd w:val="clear" w:color="auto" w:fill="FFFFFF" w:themeFill="background1"/>
            <w:noWrap/>
            <w:vAlign w:val="center"/>
          </w:tcPr>
          <w:p>
            <w:pPr>
              <w:widowControl/>
              <w:spacing w:line="360" w:lineRule="auto"/>
              <w:jc w:val="center"/>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5</w:t>
            </w:r>
          </w:p>
        </w:tc>
        <w:tc>
          <w:tcPr>
            <w:tcW w:w="1843" w:type="dxa"/>
            <w:shd w:val="clear" w:color="auto" w:fill="FFFFFF" w:themeFill="background1"/>
            <w:noWrap/>
            <w:vAlign w:val="center"/>
          </w:tcPr>
          <w:p>
            <w:pPr>
              <w:widowControl/>
              <w:spacing w:line="360" w:lineRule="auto"/>
              <w:jc w:val="center"/>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品控管理</w:t>
            </w:r>
          </w:p>
        </w:tc>
        <w:tc>
          <w:tcPr>
            <w:tcW w:w="1842" w:type="dxa"/>
            <w:shd w:val="clear" w:color="auto" w:fill="FFFFFF" w:themeFill="background1"/>
            <w:vAlign w:val="center"/>
          </w:tcPr>
          <w:p>
            <w:pPr>
              <w:widowControl/>
              <w:spacing w:line="360" w:lineRule="auto"/>
              <w:jc w:val="center"/>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品控管理</w:t>
            </w:r>
          </w:p>
        </w:tc>
        <w:tc>
          <w:tcPr>
            <w:tcW w:w="4111" w:type="dxa"/>
            <w:shd w:val="clear" w:color="auto" w:fill="FFFFFF" w:themeFill="background1"/>
            <w:vAlign w:val="center"/>
          </w:tcPr>
          <w:p>
            <w:pPr>
              <w:widowControl/>
              <w:spacing w:line="360" w:lineRule="auto"/>
              <w:jc w:val="left"/>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提供品控管理计划、标准指标、缺陷登记报批、抽检计划及报批功能</w:t>
            </w:r>
          </w:p>
        </w:tc>
      </w:tr>
    </w:tbl>
    <w:p>
      <w:pPr>
        <w:spacing w:line="360" w:lineRule="auto"/>
        <w:ind w:right="480"/>
        <w:jc w:val="left"/>
        <w:rPr>
          <w:rFonts w:cs="宋体" w:asciiTheme="minorEastAsia" w:hAnsiTheme="minorEastAsia"/>
          <w:bCs/>
          <w:sz w:val="24"/>
          <w:shd w:val="clear" w:color="auto" w:fill="FFFFFF" w:themeFill="background1"/>
        </w:rPr>
      </w:pPr>
    </w:p>
    <w:p>
      <w:pPr>
        <w:rPr>
          <w:rFonts w:ascii="汉仪仿宋简" w:hAnsi="仿宋" w:eastAsiaTheme="minorEastAsia" w:cstheme="minorBidi"/>
          <w:b/>
          <w:bCs/>
          <w:sz w:val="32"/>
          <w:szCs w:val="32"/>
          <w:shd w:val="clear" w:color="auto" w:fill="FFFFFF" w:themeFill="background1"/>
        </w:rPr>
      </w:pPr>
      <w:r>
        <w:rPr>
          <w:rFonts w:hint="eastAsia" w:ascii="汉仪仿宋简" w:hAnsi="仿宋" w:eastAsiaTheme="minorEastAsia" w:cstheme="minorBidi"/>
          <w:b/>
          <w:bCs/>
          <w:sz w:val="32"/>
          <w:szCs w:val="32"/>
          <w:shd w:val="clear" w:color="auto" w:fill="FFFFFF" w:themeFill="background1"/>
        </w:rPr>
        <w:br w:type="page"/>
      </w:r>
    </w:p>
    <w:p>
      <w:pPr>
        <w:numPr>
          <w:ilvl w:val="0"/>
          <w:numId w:val="106"/>
        </w:numPr>
        <w:spacing w:line="480" w:lineRule="auto"/>
        <w:ind w:firstLine="420"/>
        <w:rPr>
          <w:rFonts w:ascii="汉仪仿宋简" w:hAnsi="仿宋" w:eastAsiaTheme="minorEastAsia" w:cstheme="minorBidi"/>
          <w:b/>
          <w:bCs/>
          <w:sz w:val="28"/>
          <w:szCs w:val="28"/>
        </w:rPr>
      </w:pPr>
      <w:r>
        <w:rPr>
          <w:rFonts w:hint="eastAsia" w:ascii="汉仪仿宋简" w:hAnsi="仿宋" w:eastAsiaTheme="minorEastAsia" w:cstheme="minorBidi"/>
          <w:b/>
          <w:bCs/>
          <w:sz w:val="28"/>
          <w:szCs w:val="28"/>
        </w:rPr>
        <w:t>信息链（数据分析及接口共用）</w:t>
      </w:r>
    </w:p>
    <w:tbl>
      <w:tblPr>
        <w:tblStyle w:val="34"/>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843"/>
        <w:gridCol w:w="1842"/>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93" w:type="dxa"/>
            <w:shd w:val="clear" w:color="auto" w:fill="BEBEBE" w:themeFill="background1" w:themeFillShade="BF"/>
            <w:noWrap/>
            <w:vAlign w:val="center"/>
          </w:tcPr>
          <w:p>
            <w:pPr>
              <w:widowControl/>
              <w:spacing w:line="360" w:lineRule="auto"/>
              <w:jc w:val="center"/>
              <w:rPr>
                <w:rFonts w:ascii="宋体" w:hAnsi="宋体" w:cs="宋体"/>
                <w:b/>
                <w:bCs/>
                <w:kern w:val="0"/>
                <w:sz w:val="22"/>
                <w:szCs w:val="22"/>
                <w:shd w:val="clear" w:color="auto" w:fill="FFFFFF" w:themeFill="background1"/>
              </w:rPr>
            </w:pPr>
            <w:bookmarkStart w:id="1168" w:name="_Hlk91709698"/>
            <w:r>
              <w:rPr>
                <w:rFonts w:hint="eastAsia" w:ascii="宋体" w:hAnsi="宋体" w:cs="宋体"/>
                <w:b/>
                <w:bCs/>
                <w:kern w:val="0"/>
                <w:sz w:val="22"/>
                <w:szCs w:val="22"/>
                <w:shd w:val="clear" w:color="auto" w:fill="FFFFFF" w:themeFill="background1"/>
              </w:rPr>
              <w:t>序号</w:t>
            </w:r>
          </w:p>
        </w:tc>
        <w:tc>
          <w:tcPr>
            <w:tcW w:w="1843" w:type="dxa"/>
            <w:shd w:val="clear" w:color="auto" w:fill="BEBEBE" w:themeFill="background1" w:themeFillShade="BF"/>
            <w:noWrap/>
            <w:vAlign w:val="center"/>
          </w:tcPr>
          <w:p>
            <w:pPr>
              <w:widowControl/>
              <w:spacing w:line="360" w:lineRule="auto"/>
              <w:jc w:val="center"/>
              <w:rPr>
                <w:rFonts w:ascii="宋体" w:hAnsi="宋体" w:cs="宋体"/>
                <w:b/>
                <w:bCs/>
                <w:kern w:val="0"/>
                <w:sz w:val="22"/>
                <w:szCs w:val="22"/>
                <w:shd w:val="clear" w:color="auto" w:fill="FFFFFF" w:themeFill="background1"/>
              </w:rPr>
            </w:pPr>
            <w:r>
              <w:rPr>
                <w:rFonts w:hint="eastAsia" w:ascii="宋体" w:hAnsi="宋体" w:cs="宋体"/>
                <w:b/>
                <w:bCs/>
                <w:kern w:val="0"/>
                <w:sz w:val="22"/>
                <w:szCs w:val="22"/>
                <w:shd w:val="clear" w:color="auto" w:fill="FFFFFF" w:themeFill="background1"/>
              </w:rPr>
              <w:t>模块类别</w:t>
            </w:r>
          </w:p>
        </w:tc>
        <w:tc>
          <w:tcPr>
            <w:tcW w:w="1842" w:type="dxa"/>
            <w:shd w:val="clear" w:color="auto" w:fill="BEBEBE" w:themeFill="background1" w:themeFillShade="BF"/>
            <w:vAlign w:val="center"/>
          </w:tcPr>
          <w:p>
            <w:pPr>
              <w:widowControl/>
              <w:spacing w:line="360" w:lineRule="auto"/>
              <w:jc w:val="center"/>
              <w:rPr>
                <w:rFonts w:ascii="宋体" w:hAnsi="宋体" w:cs="宋体"/>
                <w:b/>
                <w:bCs/>
                <w:kern w:val="0"/>
                <w:sz w:val="22"/>
                <w:szCs w:val="22"/>
                <w:shd w:val="clear" w:color="auto" w:fill="FFFFFF" w:themeFill="background1"/>
              </w:rPr>
            </w:pPr>
            <w:r>
              <w:rPr>
                <w:rFonts w:hint="eastAsia" w:ascii="宋体" w:hAnsi="宋体" w:cs="宋体"/>
                <w:b/>
                <w:bCs/>
                <w:kern w:val="0"/>
                <w:sz w:val="22"/>
                <w:szCs w:val="22"/>
                <w:shd w:val="clear" w:color="auto" w:fill="FFFFFF" w:themeFill="background1"/>
              </w:rPr>
              <w:t>模块</w:t>
            </w:r>
          </w:p>
        </w:tc>
        <w:tc>
          <w:tcPr>
            <w:tcW w:w="4111" w:type="dxa"/>
            <w:shd w:val="clear" w:color="auto" w:fill="BEBEBE" w:themeFill="background1" w:themeFillShade="BF"/>
            <w:vAlign w:val="center"/>
          </w:tcPr>
          <w:p>
            <w:pPr>
              <w:widowControl/>
              <w:spacing w:line="360" w:lineRule="auto"/>
              <w:jc w:val="left"/>
              <w:rPr>
                <w:rFonts w:ascii="宋体" w:hAnsi="宋体" w:cs="宋体"/>
                <w:b/>
                <w:bCs/>
                <w:kern w:val="0"/>
                <w:sz w:val="22"/>
                <w:szCs w:val="22"/>
                <w:shd w:val="clear" w:color="auto" w:fill="FFFFFF" w:themeFill="background1"/>
              </w:rPr>
            </w:pPr>
            <w:r>
              <w:rPr>
                <w:rFonts w:hint="eastAsia" w:ascii="宋体" w:hAnsi="宋体" w:cs="宋体"/>
                <w:b/>
                <w:bCs/>
                <w:kern w:val="0"/>
                <w:sz w:val="22"/>
                <w:szCs w:val="22"/>
                <w:shd w:val="clear" w:color="auto" w:fill="FFFFFF" w:themeFill="background1"/>
              </w:rPr>
              <w:t>模块说明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93" w:type="dxa"/>
            <w:shd w:val="clear" w:color="auto" w:fill="FFFFFF" w:themeFill="background1"/>
            <w:noWrap/>
            <w:vAlign w:val="center"/>
          </w:tcPr>
          <w:p>
            <w:pPr>
              <w:widowControl/>
              <w:spacing w:line="360" w:lineRule="auto"/>
              <w:jc w:val="center"/>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1</w:t>
            </w:r>
          </w:p>
        </w:tc>
        <w:tc>
          <w:tcPr>
            <w:tcW w:w="1843" w:type="dxa"/>
            <w:shd w:val="clear" w:color="auto" w:fill="FFFFFF" w:themeFill="background1"/>
            <w:noWrap/>
            <w:vAlign w:val="center"/>
          </w:tcPr>
          <w:p>
            <w:pPr>
              <w:widowControl/>
              <w:spacing w:line="360" w:lineRule="auto"/>
              <w:jc w:val="center"/>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系统支撑</w:t>
            </w:r>
          </w:p>
        </w:tc>
        <w:tc>
          <w:tcPr>
            <w:tcW w:w="1842" w:type="dxa"/>
            <w:shd w:val="clear" w:color="auto" w:fill="FFFFFF" w:themeFill="background1"/>
            <w:vAlign w:val="center"/>
          </w:tcPr>
          <w:p>
            <w:pPr>
              <w:widowControl/>
              <w:spacing w:line="360" w:lineRule="auto"/>
              <w:jc w:val="center"/>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系统配置支撑</w:t>
            </w:r>
          </w:p>
        </w:tc>
        <w:tc>
          <w:tcPr>
            <w:tcW w:w="4111" w:type="dxa"/>
            <w:shd w:val="clear" w:color="auto" w:fill="FFFFFF" w:themeFill="background1"/>
            <w:vAlign w:val="center"/>
          </w:tcPr>
          <w:p>
            <w:pPr>
              <w:widowControl/>
              <w:spacing w:line="360" w:lineRule="auto"/>
              <w:jc w:val="left"/>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为保障系统的正常运行而进行的相关数据的维护和权限的分配，是系统的基础模块，用来设置与系统运行相关的权限、流程、系统配置参数等各项内容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93" w:type="dxa"/>
            <w:shd w:val="clear" w:color="auto" w:fill="FFFFFF" w:themeFill="background1"/>
            <w:noWrap/>
            <w:vAlign w:val="center"/>
          </w:tcPr>
          <w:p>
            <w:pPr>
              <w:widowControl/>
              <w:spacing w:line="360" w:lineRule="auto"/>
              <w:jc w:val="center"/>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2</w:t>
            </w:r>
          </w:p>
        </w:tc>
        <w:tc>
          <w:tcPr>
            <w:tcW w:w="1843" w:type="dxa"/>
            <w:shd w:val="clear" w:color="auto" w:fill="FFFFFF" w:themeFill="background1"/>
            <w:noWrap/>
            <w:vAlign w:val="center"/>
          </w:tcPr>
          <w:p>
            <w:pPr>
              <w:widowControl/>
              <w:spacing w:line="360" w:lineRule="auto"/>
              <w:jc w:val="center"/>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大数据分析驾驶舱</w:t>
            </w:r>
          </w:p>
        </w:tc>
        <w:tc>
          <w:tcPr>
            <w:tcW w:w="1842" w:type="dxa"/>
            <w:shd w:val="clear" w:color="auto" w:fill="FFFFFF" w:themeFill="background1"/>
            <w:vAlign w:val="center"/>
          </w:tcPr>
          <w:p>
            <w:pPr>
              <w:widowControl/>
              <w:spacing w:line="360" w:lineRule="auto"/>
              <w:jc w:val="center"/>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驾驶舱</w:t>
            </w:r>
          </w:p>
        </w:tc>
        <w:tc>
          <w:tcPr>
            <w:tcW w:w="4111" w:type="dxa"/>
            <w:shd w:val="clear" w:color="auto" w:fill="FFFFFF" w:themeFill="background1"/>
            <w:vAlign w:val="center"/>
          </w:tcPr>
          <w:p>
            <w:pPr>
              <w:widowControl/>
              <w:spacing w:line="360" w:lineRule="auto"/>
              <w:jc w:val="left"/>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提供供应商、专家、物料、需求、采购、合同、仓储、风控各种纬度大数据分析展示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93" w:type="dxa"/>
            <w:shd w:val="clear" w:color="auto" w:fill="FFFFFF" w:themeFill="background1"/>
            <w:noWrap/>
            <w:vAlign w:val="center"/>
          </w:tcPr>
          <w:p>
            <w:pPr>
              <w:widowControl/>
              <w:spacing w:line="360" w:lineRule="auto"/>
              <w:jc w:val="center"/>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3</w:t>
            </w:r>
          </w:p>
        </w:tc>
        <w:tc>
          <w:tcPr>
            <w:tcW w:w="1843" w:type="dxa"/>
            <w:shd w:val="clear" w:color="auto" w:fill="FFFFFF" w:themeFill="background1"/>
            <w:noWrap/>
            <w:vAlign w:val="center"/>
          </w:tcPr>
          <w:p>
            <w:pPr>
              <w:widowControl/>
              <w:spacing w:line="360" w:lineRule="auto"/>
              <w:jc w:val="center"/>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用户画像</w:t>
            </w:r>
          </w:p>
        </w:tc>
        <w:tc>
          <w:tcPr>
            <w:tcW w:w="1842" w:type="dxa"/>
            <w:shd w:val="clear" w:color="auto" w:fill="FFFFFF" w:themeFill="background1"/>
            <w:vAlign w:val="center"/>
          </w:tcPr>
          <w:p>
            <w:pPr>
              <w:widowControl/>
              <w:spacing w:line="360" w:lineRule="auto"/>
              <w:jc w:val="center"/>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用户画像</w:t>
            </w:r>
          </w:p>
        </w:tc>
        <w:tc>
          <w:tcPr>
            <w:tcW w:w="4111" w:type="dxa"/>
            <w:shd w:val="clear" w:color="auto" w:fill="FFFFFF" w:themeFill="background1"/>
            <w:vAlign w:val="center"/>
          </w:tcPr>
          <w:p>
            <w:pPr>
              <w:pStyle w:val="9"/>
              <w:spacing w:line="360" w:lineRule="auto"/>
              <w:rPr>
                <w:rFonts w:ascii="宋体" w:hAnsi="宋体" w:cs="宋体"/>
                <w:kern w:val="0"/>
                <w:sz w:val="22"/>
                <w:szCs w:val="22"/>
                <w:shd w:val="clear" w:color="auto" w:fill="FFFFFF" w:themeFill="background1"/>
              </w:rPr>
            </w:pPr>
            <w:r>
              <w:rPr>
                <w:rFonts w:hint="eastAsia" w:ascii="宋体" w:hAnsi="宋体" w:cs="宋体"/>
                <w:sz w:val="22"/>
                <w:szCs w:val="22"/>
              </w:rPr>
              <w:t>对供应商、专家、品类、用户不同角色进行画像建模，平台和第三方权威数据形成画像展示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93" w:type="dxa"/>
            <w:shd w:val="clear" w:color="auto" w:fill="FFFFFF" w:themeFill="background1"/>
            <w:noWrap/>
            <w:vAlign w:val="center"/>
          </w:tcPr>
          <w:p>
            <w:pPr>
              <w:widowControl/>
              <w:spacing w:line="360" w:lineRule="auto"/>
              <w:jc w:val="center"/>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4</w:t>
            </w:r>
          </w:p>
        </w:tc>
        <w:tc>
          <w:tcPr>
            <w:tcW w:w="1843" w:type="dxa"/>
            <w:shd w:val="clear" w:color="auto" w:fill="FFFFFF" w:themeFill="background1"/>
            <w:noWrap/>
            <w:vAlign w:val="center"/>
          </w:tcPr>
          <w:p>
            <w:pPr>
              <w:widowControl/>
              <w:spacing w:line="360" w:lineRule="auto"/>
              <w:jc w:val="center"/>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数据接口</w:t>
            </w:r>
          </w:p>
        </w:tc>
        <w:tc>
          <w:tcPr>
            <w:tcW w:w="1842" w:type="dxa"/>
            <w:shd w:val="clear" w:color="auto" w:fill="FFFFFF" w:themeFill="background1"/>
            <w:vAlign w:val="center"/>
          </w:tcPr>
          <w:p>
            <w:pPr>
              <w:widowControl/>
              <w:spacing w:line="360" w:lineRule="auto"/>
              <w:jc w:val="center"/>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数据接口</w:t>
            </w:r>
          </w:p>
        </w:tc>
        <w:tc>
          <w:tcPr>
            <w:tcW w:w="4111" w:type="dxa"/>
            <w:shd w:val="clear" w:color="auto" w:fill="FFFFFF" w:themeFill="background1"/>
            <w:vAlign w:val="center"/>
          </w:tcPr>
          <w:p>
            <w:pPr>
              <w:widowControl/>
              <w:spacing w:line="360" w:lineRule="auto"/>
              <w:jc w:val="left"/>
              <w:rPr>
                <w:rFonts w:ascii="宋体" w:hAnsi="宋体" w:cs="宋体"/>
                <w:kern w:val="0"/>
                <w:sz w:val="22"/>
                <w:szCs w:val="22"/>
                <w:shd w:val="clear" w:color="auto" w:fill="FFFFFF" w:themeFill="background1"/>
              </w:rPr>
            </w:pPr>
            <w:r>
              <w:rPr>
                <w:rFonts w:hint="eastAsia" w:ascii="宋体" w:hAnsi="宋体" w:cs="宋体"/>
                <w:sz w:val="22"/>
                <w:szCs w:val="22"/>
              </w:rPr>
              <w:t>行业品类价格库，价格区间分析报告，廉洁风险共享中心，优质供应商名单等增值服务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93" w:type="dxa"/>
            <w:shd w:val="clear" w:color="auto" w:fill="auto"/>
            <w:noWrap/>
            <w:vAlign w:val="center"/>
          </w:tcPr>
          <w:p>
            <w:pPr>
              <w:widowControl/>
              <w:spacing w:line="360" w:lineRule="auto"/>
              <w:jc w:val="center"/>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5</w:t>
            </w:r>
          </w:p>
        </w:tc>
        <w:tc>
          <w:tcPr>
            <w:tcW w:w="1843" w:type="dxa"/>
            <w:vMerge w:val="restart"/>
            <w:shd w:val="clear" w:color="auto" w:fill="auto"/>
            <w:noWrap/>
            <w:vAlign w:val="center"/>
          </w:tcPr>
          <w:p>
            <w:pPr>
              <w:spacing w:line="360" w:lineRule="auto"/>
              <w:jc w:val="center"/>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采购决策</w:t>
            </w:r>
          </w:p>
        </w:tc>
        <w:tc>
          <w:tcPr>
            <w:tcW w:w="1842" w:type="dxa"/>
            <w:shd w:val="clear" w:color="auto" w:fill="auto"/>
            <w:vAlign w:val="center"/>
          </w:tcPr>
          <w:p>
            <w:pPr>
              <w:widowControl/>
              <w:spacing w:line="360" w:lineRule="auto"/>
              <w:jc w:val="center"/>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采购监督管理</w:t>
            </w:r>
          </w:p>
        </w:tc>
        <w:tc>
          <w:tcPr>
            <w:tcW w:w="4111" w:type="dxa"/>
            <w:shd w:val="clear" w:color="auto" w:fill="auto"/>
            <w:vAlign w:val="center"/>
          </w:tcPr>
          <w:p>
            <w:pPr>
              <w:widowControl/>
              <w:spacing w:line="360" w:lineRule="auto"/>
              <w:jc w:val="left"/>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监察监督人员在系统里查看实时项目的各类数据，还可以回溯查看历史项目的各环节数据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93" w:type="dxa"/>
            <w:shd w:val="clear" w:color="auto" w:fill="auto"/>
            <w:noWrap/>
            <w:vAlign w:val="center"/>
          </w:tcPr>
          <w:p>
            <w:pPr>
              <w:widowControl/>
              <w:spacing w:line="360" w:lineRule="auto"/>
              <w:jc w:val="center"/>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6</w:t>
            </w:r>
          </w:p>
        </w:tc>
        <w:tc>
          <w:tcPr>
            <w:tcW w:w="1843" w:type="dxa"/>
            <w:vMerge w:val="continue"/>
            <w:shd w:val="clear" w:color="auto" w:fill="auto"/>
            <w:noWrap/>
            <w:vAlign w:val="center"/>
          </w:tcPr>
          <w:p>
            <w:pPr>
              <w:widowControl/>
              <w:spacing w:line="360" w:lineRule="auto"/>
              <w:jc w:val="center"/>
              <w:rPr>
                <w:rFonts w:ascii="宋体" w:hAnsi="宋体" w:cs="宋体"/>
                <w:kern w:val="0"/>
                <w:sz w:val="22"/>
                <w:szCs w:val="22"/>
                <w:shd w:val="clear" w:color="auto" w:fill="FFFFFF" w:themeFill="background1"/>
              </w:rPr>
            </w:pPr>
          </w:p>
        </w:tc>
        <w:tc>
          <w:tcPr>
            <w:tcW w:w="1842" w:type="dxa"/>
            <w:shd w:val="clear" w:color="auto" w:fill="auto"/>
            <w:vAlign w:val="center"/>
          </w:tcPr>
          <w:p>
            <w:pPr>
              <w:widowControl/>
              <w:spacing w:line="360" w:lineRule="auto"/>
              <w:jc w:val="center"/>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风控管理</w:t>
            </w:r>
          </w:p>
        </w:tc>
        <w:tc>
          <w:tcPr>
            <w:tcW w:w="4111" w:type="dxa"/>
            <w:shd w:val="clear" w:color="auto" w:fill="auto"/>
            <w:vAlign w:val="center"/>
          </w:tcPr>
          <w:p>
            <w:pPr>
              <w:widowControl/>
              <w:spacing w:line="360" w:lineRule="auto"/>
              <w:jc w:val="left"/>
              <w:rPr>
                <w:rFonts w:ascii="宋体" w:hAnsi="宋体" w:cs="宋体"/>
                <w:kern w:val="0"/>
                <w:sz w:val="22"/>
                <w:szCs w:val="22"/>
                <w:shd w:val="clear" w:color="auto" w:fill="FFFFFF" w:themeFill="background1"/>
              </w:rPr>
            </w:pPr>
            <w:r>
              <w:rPr>
                <w:rFonts w:hint="eastAsia" w:ascii="宋体" w:hAnsi="宋体" w:cs="宋体"/>
                <w:kern w:val="0"/>
                <w:sz w:val="22"/>
                <w:szCs w:val="22"/>
                <w:shd w:val="clear" w:color="auto" w:fill="FFFFFF" w:themeFill="background1"/>
              </w:rPr>
              <w:t>在系统中设置风险模型，风险发生时触发模型，对采购风险进行实时预警</w:t>
            </w:r>
          </w:p>
        </w:tc>
      </w:tr>
      <w:bookmarkEnd w:id="1168"/>
    </w:tbl>
    <w:p>
      <w:pPr>
        <w:spacing w:line="360" w:lineRule="auto"/>
        <w:ind w:right="480"/>
        <w:jc w:val="left"/>
        <w:rPr>
          <w:rFonts w:cs="宋体" w:asciiTheme="minorEastAsia" w:hAnsiTheme="minorEastAsia"/>
          <w:bCs/>
          <w:sz w:val="24"/>
          <w:shd w:val="clear" w:color="auto" w:fill="FFFFFF" w:themeFill="background1"/>
        </w:rPr>
      </w:pPr>
    </w:p>
    <w:p>
      <w:pPr>
        <w:pStyle w:val="91"/>
        <w:spacing w:before="0" w:beforeAutospacing="0" w:after="0" w:line="360" w:lineRule="auto"/>
        <w:rPr>
          <w:rFonts w:ascii="宋体" w:hAnsi="宋体" w:cs="宋体"/>
          <w:sz w:val="22"/>
          <w:szCs w:val="22"/>
        </w:rPr>
      </w:pPr>
    </w:p>
    <w:p>
      <w:pPr>
        <w:spacing w:line="360" w:lineRule="auto"/>
        <w:rPr>
          <w:rFonts w:ascii="宋体" w:hAnsi="宋体" w:cs="宋体"/>
          <w:sz w:val="22"/>
          <w:szCs w:val="22"/>
        </w:rPr>
      </w:pPr>
      <w:r>
        <w:rPr>
          <w:rFonts w:hint="eastAsia" w:ascii="宋体" w:hAnsi="宋体" w:cs="宋体"/>
          <w:sz w:val="22"/>
          <w:szCs w:val="22"/>
        </w:rPr>
        <w:br w:type="page"/>
      </w:r>
    </w:p>
    <w:p>
      <w:pPr>
        <w:pStyle w:val="85"/>
        <w:ind w:firstLine="420"/>
      </w:pPr>
    </w:p>
    <w:p/>
    <w:p>
      <w:pPr>
        <w:pStyle w:val="2"/>
      </w:pPr>
    </w:p>
    <w:p/>
    <w:p>
      <w:pPr>
        <w:pStyle w:val="2"/>
      </w:pPr>
    </w:p>
    <w:p/>
    <w:p>
      <w:pPr>
        <w:pStyle w:val="2"/>
      </w:pPr>
    </w:p>
    <w:p>
      <w:pPr>
        <w:pStyle w:val="3"/>
        <w:numPr>
          <w:ilvl w:val="0"/>
          <w:numId w:val="54"/>
        </w:numPr>
        <w:jc w:val="center"/>
        <w:rPr>
          <w:rFonts w:ascii="宋体" w:hAnsi="宋体"/>
        </w:rPr>
      </w:pPr>
      <w:bookmarkStart w:id="1169" w:name="_Toc441844111"/>
      <w:bookmarkStart w:id="1170" w:name="_Toc19379"/>
      <w:bookmarkStart w:id="1171" w:name="_Toc14354"/>
      <w:bookmarkStart w:id="1172" w:name="_Toc21051"/>
      <w:bookmarkStart w:id="1173" w:name="_Toc20125"/>
      <w:bookmarkStart w:id="1174" w:name="_Toc10016"/>
      <w:bookmarkStart w:id="1175" w:name="_Toc79"/>
      <w:r>
        <w:rPr>
          <w:rFonts w:hint="eastAsia" w:ascii="宋体" w:hAnsi="宋体"/>
        </w:rPr>
        <w:t>投标文件格式</w:t>
      </w:r>
      <w:bookmarkEnd w:id="1169"/>
      <w:bookmarkEnd w:id="1170"/>
      <w:bookmarkEnd w:id="1171"/>
      <w:bookmarkEnd w:id="1172"/>
      <w:bookmarkEnd w:id="1173"/>
      <w:bookmarkEnd w:id="1174"/>
      <w:bookmarkEnd w:id="1175"/>
    </w:p>
    <w:p/>
    <w:p/>
    <w:p/>
    <w:p/>
    <w:p/>
    <w:p/>
    <w:p/>
    <w:p/>
    <w:p>
      <w:pPr>
        <w:widowControl/>
        <w:jc w:val="left"/>
        <w:rPr>
          <w:rFonts w:ascii="Times New Roman" w:hAnsi="宋体"/>
          <w:b/>
          <w:bCs/>
          <w:spacing w:val="-6"/>
          <w:sz w:val="48"/>
          <w:szCs w:val="48"/>
        </w:rPr>
      </w:pPr>
      <w:bookmarkStart w:id="1176" w:name="_Toc454875049"/>
      <w:bookmarkStart w:id="1177" w:name="_Toc210188803"/>
      <w:bookmarkStart w:id="1178" w:name="_Toc427232356"/>
      <w:bookmarkStart w:id="1179" w:name="_Toc441844139"/>
      <w:bookmarkStart w:id="1180" w:name="_Toc271551224"/>
      <w:bookmarkStart w:id="1181" w:name="_Toc88985379"/>
      <w:r>
        <w:rPr>
          <w:rFonts w:ascii="Times New Roman" w:hAnsi="宋体"/>
          <w:b/>
          <w:bCs/>
          <w:spacing w:val="-6"/>
          <w:sz w:val="48"/>
          <w:szCs w:val="48"/>
        </w:rPr>
        <w:br w:type="page"/>
      </w:r>
    </w:p>
    <w:p>
      <w:pPr>
        <w:spacing w:after="60" w:line="360" w:lineRule="auto"/>
        <w:ind w:left="2349" w:hanging="2349" w:hangingChars="500"/>
        <w:jc w:val="center"/>
        <w:outlineLvl w:val="1"/>
        <w:rPr>
          <w:rFonts w:ascii="Times New Roman" w:hAnsi="Times New Roman"/>
          <w:b/>
          <w:bCs/>
          <w:spacing w:val="-6"/>
          <w:sz w:val="48"/>
          <w:szCs w:val="48"/>
        </w:rPr>
      </w:pPr>
      <w:bookmarkStart w:id="1182" w:name="_Toc17045"/>
      <w:bookmarkStart w:id="1183" w:name="_Toc16819"/>
      <w:bookmarkStart w:id="1184" w:name="_Toc11101"/>
      <w:bookmarkStart w:id="1185" w:name="_Toc27198"/>
      <w:bookmarkStart w:id="1186" w:name="_Toc10908"/>
      <w:r>
        <w:rPr>
          <w:rFonts w:ascii="Times New Roman" w:hAnsi="宋体"/>
          <w:b/>
          <w:bCs/>
          <w:spacing w:val="-6"/>
          <w:sz w:val="48"/>
          <w:szCs w:val="48"/>
        </w:rPr>
        <w:t>一、价格部分文件</w:t>
      </w:r>
      <w:bookmarkEnd w:id="1176"/>
      <w:bookmarkEnd w:id="1182"/>
      <w:bookmarkEnd w:id="1183"/>
      <w:bookmarkEnd w:id="1184"/>
      <w:bookmarkEnd w:id="1185"/>
      <w:bookmarkEnd w:id="1186"/>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rPr>
          <w:rFonts w:hint="eastAsia" w:ascii="Times New Roman" w:hAnsi="Times New Roman" w:eastAsia="新宋体"/>
          <w:b/>
          <w:sz w:val="32"/>
          <w:szCs w:val="32"/>
          <w:u w:val="single"/>
          <w:lang w:eastAsia="zh-CN"/>
        </w:rPr>
      </w:pPr>
      <w:r>
        <w:rPr>
          <w:rFonts w:ascii="Times New Roman" w:hAnsi="新宋体" w:eastAsia="新宋体"/>
          <w:b/>
          <w:bCs/>
          <w:spacing w:val="-6"/>
          <w:sz w:val="32"/>
          <w:szCs w:val="32"/>
        </w:rPr>
        <w:t>项目名称</w:t>
      </w:r>
      <w:r>
        <w:rPr>
          <w:rFonts w:ascii="Times New Roman" w:hAnsi="Times New Roman" w:eastAsia="新宋体"/>
          <w:b/>
          <w:bCs/>
          <w:spacing w:val="-6"/>
          <w:sz w:val="32"/>
          <w:szCs w:val="32"/>
        </w:rPr>
        <w:t xml:space="preserve">: </w:t>
      </w:r>
      <w:r>
        <w:rPr>
          <w:rFonts w:hint="eastAsia" w:ascii="Times New Roman" w:hAnsi="Times New Roman" w:eastAsia="新宋体"/>
          <w:b/>
          <w:bCs/>
          <w:spacing w:val="-6"/>
          <w:sz w:val="32"/>
          <w:szCs w:val="32"/>
          <w:u w:val="single"/>
          <w:lang w:eastAsia="zh-CN"/>
        </w:rPr>
        <w:t>东莞市交通投资集团有限公司供应链服务平台项目</w:t>
      </w:r>
    </w:p>
    <w:p>
      <w:pPr>
        <w:spacing w:after="60" w:line="360" w:lineRule="auto"/>
        <w:rPr>
          <w:rFonts w:ascii="Times New Roman" w:hAnsi="Times New Roman" w:eastAsia="新宋体"/>
          <w:b/>
          <w:bCs/>
          <w:sz w:val="32"/>
          <w:szCs w:val="32"/>
        </w:rPr>
      </w:pPr>
    </w:p>
    <w:p>
      <w:pPr>
        <w:spacing w:after="60" w:line="360" w:lineRule="auto"/>
        <w:rPr>
          <w:rFonts w:ascii="Times New Roman" w:hAnsi="Times New Roman" w:eastAsia="新宋体"/>
          <w:b/>
          <w:sz w:val="32"/>
          <w:szCs w:val="32"/>
          <w:u w:val="single"/>
        </w:rPr>
      </w:pPr>
      <w:r>
        <w:rPr>
          <w:rFonts w:ascii="Times New Roman" w:hAnsi="新宋体" w:eastAsia="新宋体"/>
          <w:b/>
          <w:bCs/>
          <w:sz w:val="32"/>
          <w:szCs w:val="32"/>
        </w:rPr>
        <w:t>项目编号</w:t>
      </w:r>
      <w:r>
        <w:rPr>
          <w:rFonts w:ascii="Times New Roman" w:hAnsi="Times New Roman" w:eastAsia="新宋体"/>
          <w:b/>
          <w:bCs/>
          <w:sz w:val="32"/>
          <w:szCs w:val="32"/>
        </w:rPr>
        <w:t>:</w:t>
      </w:r>
      <w:r>
        <w:rPr>
          <w:rFonts w:hint="eastAsia" w:ascii="Times New Roman" w:hAnsi="Times New Roman" w:eastAsia="新宋体"/>
          <w:b/>
          <w:bCs/>
          <w:sz w:val="32"/>
          <w:szCs w:val="32"/>
          <w:u w:val="single"/>
        </w:rPr>
        <w:t xml:space="preserve"> SL-CG2022028          </w:t>
      </w:r>
    </w:p>
    <w:p>
      <w:pPr>
        <w:spacing w:after="60" w:line="360" w:lineRule="auto"/>
        <w:rPr>
          <w:rFonts w:ascii="Times New Roman" w:hAnsi="Times New Roman"/>
          <w:b/>
          <w:sz w:val="32"/>
          <w:szCs w:val="32"/>
          <w:u w:val="single"/>
        </w:rPr>
      </w:pPr>
    </w:p>
    <w:p>
      <w:pPr>
        <w:tabs>
          <w:tab w:val="left" w:pos="1440"/>
          <w:tab w:val="left" w:pos="1620"/>
        </w:tabs>
        <w:spacing w:after="60" w:line="360" w:lineRule="auto"/>
        <w:rPr>
          <w:rFonts w:ascii="Times New Roman" w:hAnsi="Times New Roman"/>
          <w:u w:val="single"/>
        </w:rPr>
      </w:pPr>
      <w:r>
        <w:rPr>
          <w:rFonts w:ascii="Times New Roman" w:hAnsi="宋体"/>
          <w:b/>
          <w:sz w:val="32"/>
          <w:szCs w:val="32"/>
        </w:rPr>
        <w:t>投</w:t>
      </w:r>
      <w:r>
        <w:rPr>
          <w:rFonts w:ascii="Times New Roman" w:hAnsi="Times New Roman"/>
          <w:b/>
          <w:sz w:val="32"/>
          <w:szCs w:val="32"/>
        </w:rPr>
        <w:t xml:space="preserve"> </w:t>
      </w:r>
      <w:r>
        <w:rPr>
          <w:rFonts w:ascii="Times New Roman" w:hAnsi="宋体"/>
          <w:b/>
          <w:sz w:val="32"/>
          <w:szCs w:val="32"/>
        </w:rPr>
        <w:t>标</w:t>
      </w:r>
      <w:r>
        <w:rPr>
          <w:rFonts w:ascii="Times New Roman" w:hAnsi="Times New Roman"/>
          <w:b/>
          <w:sz w:val="32"/>
          <w:szCs w:val="32"/>
        </w:rPr>
        <w:t xml:space="preserve"> </w:t>
      </w:r>
      <w:r>
        <w:rPr>
          <w:rFonts w:ascii="Times New Roman" w:hAnsi="宋体"/>
          <w:b/>
          <w:sz w:val="32"/>
          <w:szCs w:val="32"/>
        </w:rPr>
        <w:t>人</w:t>
      </w:r>
      <w:r>
        <w:rPr>
          <w:rFonts w:hint="eastAsia" w:ascii="Times New Roman" w:hAnsi="宋体"/>
          <w:b/>
          <w:sz w:val="32"/>
          <w:szCs w:val="32"/>
        </w:rPr>
        <w:t>（公章）</w:t>
      </w:r>
      <w:r>
        <w:rPr>
          <w:rFonts w:ascii="Times New Roman" w:hAnsi="Times New Roman"/>
          <w:b/>
          <w:sz w:val="32"/>
          <w:szCs w:val="32"/>
        </w:rPr>
        <w:t>:</w:t>
      </w:r>
      <w:r>
        <w:rPr>
          <w:rFonts w:hint="eastAsia" w:ascii="Times New Roman" w:hAnsi="Times New Roman"/>
          <w:b/>
          <w:sz w:val="32"/>
          <w:szCs w:val="32"/>
          <w:u w:val="single"/>
        </w:rPr>
        <w:t xml:space="preserve">          </w:t>
      </w:r>
      <w:r>
        <w:rPr>
          <w:rFonts w:hint="eastAsia" w:ascii="Times New Roman" w:hAnsi="Times New Roman"/>
          <w:sz w:val="32"/>
          <w:szCs w:val="32"/>
          <w:u w:val="single"/>
        </w:rPr>
        <w:t xml:space="preserve">                  </w:t>
      </w:r>
    </w:p>
    <w:p>
      <w:pPr>
        <w:spacing w:after="60" w:line="360" w:lineRule="auto"/>
        <w:rPr>
          <w:rFonts w:ascii="Times New Roman" w:hAnsi="Times New Roman"/>
          <w:b/>
          <w:sz w:val="32"/>
          <w:szCs w:val="32"/>
          <w:u w:val="single"/>
        </w:rPr>
      </w:pPr>
    </w:p>
    <w:p>
      <w:pPr>
        <w:spacing w:line="560" w:lineRule="exact"/>
        <w:rPr>
          <w:rFonts w:ascii="Times New Roman" w:hAnsi="Times New Roman"/>
          <w:b/>
          <w:sz w:val="32"/>
          <w:szCs w:val="32"/>
        </w:rPr>
      </w:pPr>
      <w:r>
        <w:rPr>
          <w:rFonts w:ascii="Times New Roman" w:hAnsi="Times New Roman"/>
          <w:b/>
          <w:sz w:val="32"/>
          <w:szCs w:val="32"/>
        </w:rPr>
        <w:t>投标人法定代表人或</w:t>
      </w:r>
      <w:r>
        <w:rPr>
          <w:rFonts w:hint="eastAsia" w:ascii="Times New Roman" w:hAnsi="Times New Roman"/>
          <w:b/>
          <w:sz w:val="32"/>
          <w:szCs w:val="32"/>
        </w:rPr>
        <w:t>授权代理</w:t>
      </w:r>
      <w:r>
        <w:rPr>
          <w:rFonts w:ascii="Times New Roman" w:hAnsi="Times New Roman"/>
          <w:b/>
          <w:sz w:val="32"/>
          <w:szCs w:val="32"/>
        </w:rPr>
        <w:t>人（签名）：</w:t>
      </w:r>
      <w:r>
        <w:rPr>
          <w:rFonts w:hint="eastAsia" w:ascii="Times New Roman" w:hAnsi="Times New Roman"/>
          <w:b/>
          <w:sz w:val="32"/>
          <w:szCs w:val="32"/>
          <w:u w:val="single"/>
        </w:rPr>
        <w:t xml:space="preserve">           </w:t>
      </w:r>
    </w:p>
    <w:p>
      <w:pPr>
        <w:spacing w:after="60" w:line="360" w:lineRule="auto"/>
        <w:rPr>
          <w:b/>
          <w:sz w:val="52"/>
        </w:rPr>
      </w:pPr>
    </w:p>
    <w:p>
      <w:pPr>
        <w:spacing w:after="60" w:line="360" w:lineRule="auto"/>
        <w:rPr>
          <w:b/>
          <w:sz w:val="52"/>
        </w:rPr>
      </w:pPr>
    </w:p>
    <w:p>
      <w:pPr>
        <w:spacing w:after="60" w:line="360" w:lineRule="auto"/>
        <w:jc w:val="center"/>
        <w:rPr>
          <w:rFonts w:ascii="Times New Roman" w:hAnsi="Times New Roman"/>
          <w:b/>
          <w:sz w:val="52"/>
        </w:rPr>
      </w:pPr>
      <w:r>
        <w:rPr>
          <w:rFonts w:hint="eastAsia" w:ascii="Times New Roman" w:hAnsi="宋体"/>
          <w:b/>
          <w:sz w:val="30"/>
          <w:szCs w:val="32"/>
        </w:rPr>
        <w:t>二〇二二年</w:t>
      </w:r>
      <w:r>
        <w:rPr>
          <w:rFonts w:ascii="Times New Roman" w:hAnsi="Times New Roman"/>
          <w:b/>
          <w:sz w:val="30"/>
          <w:szCs w:val="32"/>
        </w:rPr>
        <w:t xml:space="preserve">  </w:t>
      </w:r>
      <w:r>
        <w:rPr>
          <w:rFonts w:ascii="Times New Roman" w:hAnsi="宋体"/>
          <w:b/>
          <w:sz w:val="30"/>
          <w:szCs w:val="32"/>
        </w:rPr>
        <w:t>月</w:t>
      </w:r>
    </w:p>
    <w:p>
      <w:pPr>
        <w:rPr>
          <w:rFonts w:ascii="Times New Roman" w:hAnsi="Times New Roman"/>
        </w:rPr>
      </w:pPr>
    </w:p>
    <w:p>
      <w:pPr>
        <w:rPr>
          <w:rFonts w:ascii="Times New Roman" w:hAnsi="Times New Roman"/>
        </w:rPr>
      </w:pPr>
    </w:p>
    <w:p>
      <w:pPr>
        <w:widowControl/>
        <w:jc w:val="center"/>
        <w:outlineLvl w:val="2"/>
        <w:rPr>
          <w:rFonts w:ascii="宋体" w:hAnsi="宋体" w:cs="宋体"/>
          <w:b/>
          <w:sz w:val="22"/>
          <w:szCs w:val="22"/>
        </w:rPr>
      </w:pPr>
      <w:r>
        <w:rPr>
          <w:rFonts w:ascii="Times New Roman" w:hAnsi="Times New Roman"/>
          <w:b/>
          <w:szCs w:val="21"/>
        </w:rPr>
        <w:br w:type="page"/>
      </w:r>
      <w:bookmarkStart w:id="1187" w:name="_Toc6513"/>
      <w:bookmarkStart w:id="1188" w:name="_Toc17949"/>
      <w:bookmarkStart w:id="1189" w:name="_Toc347"/>
      <w:bookmarkStart w:id="1190" w:name="_Toc9252"/>
      <w:bookmarkStart w:id="1191" w:name="_Toc454875050"/>
      <w:bookmarkStart w:id="1192" w:name="_Toc29872"/>
      <w:r>
        <w:rPr>
          <w:rFonts w:hint="eastAsia" w:ascii="宋体" w:hAnsi="宋体" w:cs="宋体"/>
          <w:b/>
          <w:sz w:val="22"/>
          <w:szCs w:val="22"/>
        </w:rPr>
        <w:t>1、</w:t>
      </w:r>
      <w:r>
        <w:rPr>
          <w:rFonts w:hint="eastAsia" w:ascii="宋体" w:hAnsi="宋体" w:cs="宋体"/>
          <w:bCs/>
          <w:sz w:val="22"/>
          <w:szCs w:val="22"/>
        </w:rPr>
        <w:t xml:space="preserve"> </w:t>
      </w:r>
      <w:r>
        <w:rPr>
          <w:rFonts w:hint="eastAsia" w:ascii="宋体" w:hAnsi="宋体" w:cs="宋体"/>
          <w:b/>
          <w:sz w:val="22"/>
          <w:szCs w:val="22"/>
        </w:rPr>
        <w:t>投标报价一览表</w:t>
      </w:r>
      <w:bookmarkEnd w:id="1187"/>
      <w:bookmarkEnd w:id="1188"/>
      <w:bookmarkEnd w:id="1189"/>
      <w:bookmarkEnd w:id="1190"/>
      <w:bookmarkEnd w:id="1191"/>
      <w:bookmarkEnd w:id="1192"/>
    </w:p>
    <w:p>
      <w:pPr>
        <w:pStyle w:val="14"/>
        <w:spacing w:line="360" w:lineRule="auto"/>
        <w:jc w:val="left"/>
        <w:rPr>
          <w:rFonts w:hAnsi="宋体" w:cs="宋体"/>
          <w:sz w:val="22"/>
        </w:rPr>
      </w:pPr>
    </w:p>
    <w:p>
      <w:pPr>
        <w:adjustRightInd w:val="0"/>
        <w:spacing w:line="560" w:lineRule="exact"/>
        <w:rPr>
          <w:rFonts w:ascii="宋体" w:hAnsi="宋体" w:cs="宋体"/>
          <w:sz w:val="22"/>
          <w:szCs w:val="22"/>
        </w:rPr>
      </w:pPr>
      <w:r>
        <w:rPr>
          <w:rFonts w:hint="eastAsia" w:ascii="宋体" w:hAnsi="宋体" w:cs="宋体"/>
          <w:sz w:val="22"/>
          <w:szCs w:val="22"/>
        </w:rPr>
        <w:t>项目名称：</w:t>
      </w:r>
      <w:r>
        <w:rPr>
          <w:rFonts w:hint="eastAsia" w:ascii="宋体" w:hAnsi="宋体" w:cs="宋体"/>
          <w:sz w:val="22"/>
          <w:szCs w:val="22"/>
          <w:lang w:eastAsia="zh-CN"/>
        </w:rPr>
        <w:t>东莞市交通投资集团有限公司供应链服务平台项目</w:t>
      </w:r>
      <w:r>
        <w:rPr>
          <w:rFonts w:hint="eastAsia" w:ascii="宋体" w:hAnsi="宋体" w:cs="宋体"/>
          <w:sz w:val="22"/>
          <w:szCs w:val="22"/>
        </w:rPr>
        <w:t xml:space="preserve">  </w:t>
      </w:r>
    </w:p>
    <w:p>
      <w:pPr>
        <w:adjustRightInd w:val="0"/>
        <w:spacing w:line="560" w:lineRule="exact"/>
        <w:rPr>
          <w:rFonts w:ascii="宋体" w:hAnsi="宋体" w:cs="宋体"/>
          <w:sz w:val="22"/>
          <w:szCs w:val="22"/>
          <w:u w:val="single"/>
        </w:rPr>
      </w:pPr>
      <w:r>
        <w:rPr>
          <w:rFonts w:hint="eastAsia" w:ascii="宋体" w:hAnsi="宋体" w:cs="宋体"/>
          <w:sz w:val="22"/>
          <w:szCs w:val="22"/>
        </w:rPr>
        <w:t xml:space="preserve">项目编号：SL-CG2022028   </w:t>
      </w:r>
    </w:p>
    <w:p>
      <w:pPr>
        <w:pStyle w:val="14"/>
        <w:spacing w:line="360" w:lineRule="auto"/>
        <w:ind w:left="6820" w:hanging="6820" w:hangingChars="3100"/>
        <w:jc w:val="left"/>
        <w:rPr>
          <w:rFonts w:hAnsi="宋体" w:cs="宋体"/>
          <w:sz w:val="22"/>
        </w:rPr>
      </w:pPr>
      <w:r>
        <w:rPr>
          <w:rFonts w:hint="eastAsia" w:hAnsi="宋体" w:cs="宋体"/>
          <w:sz w:val="22"/>
        </w:rPr>
        <w:t xml:space="preserve">                                                     [货币单位：人民币元]</w:t>
      </w:r>
    </w:p>
    <w:tbl>
      <w:tblPr>
        <w:tblStyle w:val="34"/>
        <w:tblW w:w="92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8"/>
        <w:gridCol w:w="2457"/>
        <w:gridCol w:w="3038"/>
        <w:gridCol w:w="1958"/>
        <w:gridCol w:w="105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2"/>
                <w:szCs w:val="22"/>
              </w:rPr>
            </w:pPr>
            <w:r>
              <w:rPr>
                <w:rFonts w:hint="eastAsia" w:ascii="宋体" w:hAnsi="宋体" w:cs="宋体"/>
                <w:b/>
                <w:sz w:val="22"/>
                <w:szCs w:val="22"/>
              </w:rPr>
              <w:t>包号</w:t>
            </w:r>
          </w:p>
        </w:tc>
        <w:tc>
          <w:tcPr>
            <w:tcW w:w="24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2"/>
                <w:szCs w:val="22"/>
                <w:lang w:val="zh-CN"/>
              </w:rPr>
            </w:pPr>
            <w:r>
              <w:rPr>
                <w:rFonts w:hint="eastAsia" w:ascii="宋体" w:hAnsi="宋体" w:cs="宋体"/>
                <w:b/>
                <w:sz w:val="22"/>
                <w:szCs w:val="22"/>
                <w:lang w:val="zh-CN"/>
              </w:rPr>
              <w:t>项目名称</w:t>
            </w:r>
          </w:p>
        </w:tc>
        <w:tc>
          <w:tcPr>
            <w:tcW w:w="30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2"/>
                <w:szCs w:val="22"/>
                <w:lang w:val="zh-CN"/>
              </w:rPr>
            </w:pPr>
            <w:r>
              <w:rPr>
                <w:rFonts w:hint="eastAsia" w:ascii="宋体" w:hAnsi="宋体" w:cs="宋体"/>
                <w:b/>
                <w:sz w:val="22"/>
                <w:szCs w:val="22"/>
                <w:lang w:val="zh-CN"/>
              </w:rPr>
              <w:t>投标总报价</w:t>
            </w:r>
          </w:p>
        </w:tc>
        <w:tc>
          <w:tcPr>
            <w:tcW w:w="19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2"/>
                <w:szCs w:val="22"/>
                <w:lang w:val="zh-CN"/>
              </w:rPr>
            </w:pPr>
            <w:r>
              <w:rPr>
                <w:rFonts w:hint="eastAsia" w:ascii="宋体" w:hAnsi="宋体" w:cs="宋体"/>
                <w:b/>
                <w:sz w:val="22"/>
                <w:szCs w:val="22"/>
                <w:lang w:val="zh-CN"/>
              </w:rPr>
              <w:t>工期</w:t>
            </w:r>
          </w:p>
        </w:tc>
        <w:tc>
          <w:tcPr>
            <w:tcW w:w="10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2"/>
                <w:szCs w:val="22"/>
                <w:lang w:val="zh-CN"/>
              </w:rPr>
            </w:pPr>
            <w:r>
              <w:rPr>
                <w:rFonts w:hint="eastAsia" w:ascii="宋体" w:hAnsi="宋体" w:cs="宋体"/>
                <w:b/>
                <w:sz w:val="22"/>
                <w:szCs w:val="22"/>
                <w:lang w:val="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2"/>
                <w:szCs w:val="22"/>
                <w:lang w:val="zh-CN"/>
              </w:rPr>
            </w:pPr>
            <w:r>
              <w:rPr>
                <w:rFonts w:hint="eastAsia" w:ascii="宋体" w:hAnsi="宋体" w:cs="宋体"/>
                <w:sz w:val="22"/>
                <w:szCs w:val="22"/>
              </w:rPr>
              <w:t>A</w:t>
            </w:r>
          </w:p>
        </w:tc>
        <w:tc>
          <w:tcPr>
            <w:tcW w:w="245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2"/>
                <w:szCs w:val="22"/>
                <w:lang w:val="zh-CN"/>
              </w:rPr>
            </w:pPr>
            <w:r>
              <w:rPr>
                <w:rFonts w:hint="eastAsia" w:ascii="宋体" w:hAnsi="宋体" w:cs="宋体"/>
                <w:sz w:val="22"/>
                <w:szCs w:val="22"/>
                <w:lang w:val="zh-CN"/>
              </w:rPr>
              <w:t>东莞市交通投资集团有限公司供应链服务平台项目</w:t>
            </w:r>
          </w:p>
        </w:tc>
        <w:tc>
          <w:tcPr>
            <w:tcW w:w="303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2"/>
                <w:szCs w:val="22"/>
                <w:u w:val="single"/>
              </w:rPr>
            </w:pPr>
            <w:r>
              <w:rPr>
                <w:rFonts w:hint="eastAsia" w:ascii="宋体" w:hAnsi="宋体" w:cs="宋体"/>
                <w:sz w:val="22"/>
                <w:szCs w:val="22"/>
              </w:rPr>
              <w:t>大写：</w:t>
            </w:r>
            <w:r>
              <w:rPr>
                <w:rFonts w:hint="eastAsia" w:ascii="宋体" w:hAnsi="宋体" w:cs="宋体"/>
                <w:sz w:val="22"/>
                <w:szCs w:val="22"/>
                <w:u w:val="single"/>
              </w:rPr>
              <w:t xml:space="preserve">                  </w:t>
            </w:r>
          </w:p>
          <w:p>
            <w:pPr>
              <w:spacing w:line="360" w:lineRule="auto"/>
              <w:rPr>
                <w:rFonts w:ascii="宋体" w:hAnsi="宋体" w:cs="宋体"/>
                <w:sz w:val="22"/>
                <w:szCs w:val="22"/>
              </w:rPr>
            </w:pPr>
            <w:r>
              <w:rPr>
                <w:rFonts w:hint="eastAsia" w:ascii="宋体" w:hAnsi="宋体" w:cs="宋体"/>
                <w:sz w:val="22"/>
                <w:szCs w:val="22"/>
              </w:rPr>
              <w:t>小写：￥</w:t>
            </w:r>
            <w:r>
              <w:rPr>
                <w:rFonts w:hint="eastAsia" w:ascii="宋体" w:hAnsi="宋体" w:cs="宋体"/>
                <w:sz w:val="22"/>
                <w:szCs w:val="22"/>
                <w:u w:val="single"/>
              </w:rPr>
              <w:t xml:space="preserve">                </w:t>
            </w:r>
          </w:p>
        </w:tc>
        <w:tc>
          <w:tcPr>
            <w:tcW w:w="19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2"/>
                <w:szCs w:val="22"/>
                <w:lang w:val="zh-CN"/>
              </w:rPr>
            </w:pPr>
            <w:r>
              <w:rPr>
                <w:rFonts w:hint="eastAsia" w:ascii="宋体" w:hAnsi="宋体" w:cs="宋体"/>
                <w:sz w:val="22"/>
                <w:szCs w:val="22"/>
              </w:rPr>
              <w:t>合同签订后，4个月内完成系统功能上线，</w:t>
            </w:r>
            <w:r>
              <w:rPr>
                <w:rFonts w:hint="eastAsia" w:ascii="宋体" w:hAnsi="宋体" w:cs="宋体"/>
                <w:sz w:val="22"/>
                <w:szCs w:val="22"/>
                <w:lang w:eastAsia="zh-CN"/>
              </w:rPr>
              <w:t>运行维护期</w:t>
            </w:r>
            <w:r>
              <w:rPr>
                <w:rFonts w:hint="eastAsia" w:ascii="宋体" w:hAnsi="宋体" w:cs="宋体"/>
                <w:sz w:val="22"/>
                <w:szCs w:val="22"/>
                <w:lang w:val="en-US" w:eastAsia="zh-CN"/>
              </w:rPr>
              <w:t>4年</w:t>
            </w:r>
            <w:r>
              <w:rPr>
                <w:rFonts w:hint="eastAsia" w:ascii="宋体" w:hAnsi="宋体" w:cs="宋体"/>
                <w:sz w:val="22"/>
                <w:szCs w:val="22"/>
              </w:rPr>
              <w:t>。</w:t>
            </w:r>
          </w:p>
        </w:tc>
        <w:tc>
          <w:tcPr>
            <w:tcW w:w="10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2"/>
                <w:szCs w:val="22"/>
                <w:lang w:val="zh-CN"/>
              </w:rPr>
            </w:pPr>
          </w:p>
        </w:tc>
      </w:tr>
    </w:tbl>
    <w:p>
      <w:pPr>
        <w:spacing w:line="360" w:lineRule="auto"/>
        <w:ind w:left="2" w:leftChars="1"/>
        <w:rPr>
          <w:rFonts w:ascii="宋体" w:hAnsi="宋体" w:cs="宋体"/>
          <w:sz w:val="22"/>
          <w:szCs w:val="22"/>
          <w:lang w:val="zh-CN"/>
        </w:rPr>
      </w:pPr>
      <w:r>
        <w:rPr>
          <w:rFonts w:hint="eastAsia" w:ascii="宋体" w:hAnsi="宋体" w:cs="宋体"/>
          <w:sz w:val="22"/>
          <w:szCs w:val="22"/>
          <w:lang w:val="zh-CN"/>
        </w:rPr>
        <w:t>注：</w:t>
      </w:r>
    </w:p>
    <w:p>
      <w:pPr>
        <w:pStyle w:val="10"/>
        <w:ind w:firstLine="220" w:firstLineChars="100"/>
        <w:rPr>
          <w:rFonts w:ascii="宋体" w:hAnsi="宋体" w:cs="宋体"/>
          <w:sz w:val="22"/>
          <w:szCs w:val="22"/>
        </w:rPr>
      </w:pPr>
      <w:r>
        <w:rPr>
          <w:rFonts w:hint="eastAsia" w:ascii="宋体" w:hAnsi="宋体" w:cs="宋体"/>
          <w:sz w:val="22"/>
          <w:szCs w:val="22"/>
        </w:rPr>
        <w:t>1.此表的投标总价是所有需采购人支付的本次采购标的金额总数即</w:t>
      </w:r>
      <w:r>
        <w:rPr>
          <w:rFonts w:hint="eastAsia" w:ascii="宋体" w:hAnsi="宋体" w:cs="宋体"/>
          <w:b/>
          <w:sz w:val="22"/>
          <w:szCs w:val="22"/>
        </w:rPr>
        <w:t>投标总报价</w:t>
      </w:r>
      <w:r>
        <w:rPr>
          <w:rFonts w:hint="eastAsia" w:ascii="宋体" w:hAnsi="宋体" w:cs="宋体"/>
          <w:sz w:val="22"/>
          <w:szCs w:val="22"/>
        </w:rPr>
        <w:t>。</w:t>
      </w:r>
    </w:p>
    <w:p>
      <w:pPr>
        <w:pStyle w:val="10"/>
        <w:ind w:firstLine="220" w:firstLineChars="100"/>
        <w:rPr>
          <w:rFonts w:ascii="宋体" w:hAnsi="宋体" w:cs="宋体"/>
          <w:sz w:val="22"/>
          <w:szCs w:val="22"/>
        </w:rPr>
      </w:pPr>
      <w:r>
        <w:rPr>
          <w:rFonts w:hint="eastAsia" w:ascii="宋体" w:hAnsi="宋体" w:cs="宋体"/>
          <w:sz w:val="22"/>
          <w:szCs w:val="22"/>
        </w:rPr>
        <w:t>2.投标总价栏用文字和数字两种方式表示投标总价。</w:t>
      </w:r>
    </w:p>
    <w:p>
      <w:pPr>
        <w:pStyle w:val="10"/>
        <w:ind w:firstLine="220" w:firstLineChars="100"/>
        <w:rPr>
          <w:rFonts w:ascii="宋体" w:hAnsi="宋体" w:cs="宋体"/>
          <w:sz w:val="22"/>
          <w:szCs w:val="22"/>
        </w:rPr>
      </w:pPr>
      <w:r>
        <w:rPr>
          <w:rFonts w:hint="eastAsia" w:ascii="宋体" w:hAnsi="宋体" w:cs="宋体"/>
          <w:sz w:val="22"/>
          <w:szCs w:val="22"/>
        </w:rPr>
        <w:t>3.投标总价的大小写不一致的，以大写为准。</w:t>
      </w:r>
    </w:p>
    <w:p>
      <w:pPr>
        <w:pStyle w:val="14"/>
        <w:spacing w:line="360" w:lineRule="auto"/>
        <w:ind w:firstLine="220" w:firstLineChars="100"/>
        <w:rPr>
          <w:rFonts w:hAnsi="宋体" w:cs="宋体"/>
          <w:sz w:val="22"/>
        </w:rPr>
      </w:pPr>
      <w:r>
        <w:rPr>
          <w:rFonts w:hint="eastAsia" w:hAnsi="宋体" w:cs="宋体"/>
          <w:sz w:val="22"/>
        </w:rPr>
        <w:t>4.投标报价结果以人民币元为单位，保留到小数点后两位。</w:t>
      </w:r>
    </w:p>
    <w:p>
      <w:pPr>
        <w:overflowPunct w:val="0"/>
        <w:adjustRightInd w:val="0"/>
        <w:spacing w:line="360" w:lineRule="auto"/>
        <w:ind w:firstLine="220" w:firstLineChars="100"/>
        <w:rPr>
          <w:rFonts w:ascii="宋体" w:hAnsi="宋体" w:cs="宋体"/>
          <w:sz w:val="22"/>
          <w:szCs w:val="22"/>
        </w:rPr>
      </w:pPr>
      <w:r>
        <w:rPr>
          <w:rFonts w:hint="eastAsia" w:ascii="宋体" w:hAnsi="宋体" w:cs="宋体"/>
          <w:sz w:val="22"/>
          <w:szCs w:val="22"/>
        </w:rPr>
        <w:t>5.投标总价必须准确唯一。</w:t>
      </w:r>
    </w:p>
    <w:p>
      <w:pPr>
        <w:pStyle w:val="14"/>
        <w:spacing w:line="360" w:lineRule="auto"/>
        <w:ind w:firstLine="220" w:firstLineChars="100"/>
        <w:rPr>
          <w:rFonts w:hAnsi="宋体" w:cs="宋体"/>
          <w:bCs/>
          <w:sz w:val="22"/>
        </w:rPr>
      </w:pPr>
      <w:r>
        <w:rPr>
          <w:rFonts w:hint="eastAsia" w:hAnsi="宋体" w:cs="宋体"/>
          <w:sz w:val="22"/>
        </w:rPr>
        <w:t>6.本项目预算金额为</w:t>
      </w:r>
      <w:r>
        <w:rPr>
          <w:rFonts w:hint="eastAsia" w:hAnsi="宋体"/>
          <w:sz w:val="22"/>
          <w:u w:val="single"/>
        </w:rPr>
        <w:t>￥10,680,000‬.00元。</w:t>
      </w:r>
      <w:r>
        <w:rPr>
          <w:rFonts w:hint="eastAsia" w:hAnsi="宋体" w:cs="宋体"/>
          <w:sz w:val="22"/>
        </w:rPr>
        <w:t>投标人报价不能超过预算金额，否则做废标处理。</w:t>
      </w:r>
    </w:p>
    <w:p>
      <w:pPr>
        <w:snapToGrid w:val="0"/>
        <w:spacing w:line="360" w:lineRule="auto"/>
        <w:rPr>
          <w:rFonts w:ascii="宋体" w:hAnsi="宋体" w:cs="宋体"/>
          <w:bCs/>
          <w:sz w:val="22"/>
          <w:szCs w:val="22"/>
        </w:rPr>
      </w:pPr>
    </w:p>
    <w:p>
      <w:pPr>
        <w:snapToGrid w:val="0"/>
        <w:spacing w:line="360" w:lineRule="auto"/>
        <w:rPr>
          <w:rFonts w:ascii="宋体" w:hAnsi="宋体" w:cs="宋体"/>
          <w:bCs/>
          <w:sz w:val="22"/>
          <w:szCs w:val="22"/>
        </w:rPr>
      </w:pPr>
    </w:p>
    <w:p>
      <w:pPr>
        <w:pStyle w:val="10"/>
        <w:rPr>
          <w:rFonts w:ascii="宋体" w:hAnsi="宋体" w:cs="宋体"/>
          <w:bCs/>
          <w:sz w:val="22"/>
          <w:szCs w:val="22"/>
        </w:rPr>
      </w:pPr>
    </w:p>
    <w:p>
      <w:pPr>
        <w:pStyle w:val="11"/>
        <w:rPr>
          <w:rFonts w:ascii="宋体" w:hAnsi="宋体" w:cs="宋体"/>
          <w:bCs/>
          <w:sz w:val="22"/>
          <w:szCs w:val="22"/>
        </w:rPr>
      </w:pPr>
    </w:p>
    <w:p>
      <w:pPr>
        <w:pStyle w:val="11"/>
        <w:rPr>
          <w:rFonts w:ascii="宋体" w:hAnsi="宋体" w:cs="宋体"/>
          <w:bCs/>
          <w:sz w:val="22"/>
          <w:szCs w:val="22"/>
        </w:rPr>
      </w:pPr>
    </w:p>
    <w:p>
      <w:pPr>
        <w:pStyle w:val="11"/>
        <w:rPr>
          <w:rFonts w:ascii="宋体" w:hAnsi="宋体" w:cs="宋体"/>
          <w:bCs/>
          <w:sz w:val="22"/>
          <w:szCs w:val="22"/>
        </w:rPr>
      </w:pPr>
    </w:p>
    <w:p>
      <w:pPr>
        <w:snapToGrid w:val="0"/>
        <w:spacing w:line="360" w:lineRule="auto"/>
        <w:rPr>
          <w:rFonts w:ascii="宋体" w:hAnsi="宋体" w:cs="宋体"/>
          <w:bCs/>
          <w:sz w:val="22"/>
          <w:szCs w:val="22"/>
        </w:rPr>
      </w:pPr>
    </w:p>
    <w:p>
      <w:pPr>
        <w:pStyle w:val="47"/>
        <w:adjustRightInd w:val="0"/>
        <w:snapToGrid w:val="0"/>
        <w:spacing w:line="360" w:lineRule="auto"/>
        <w:ind w:firstLine="3520" w:firstLineChars="1600"/>
        <w:rPr>
          <w:rFonts w:ascii="宋体" w:eastAsia="宋体"/>
          <w:sz w:val="22"/>
          <w:szCs w:val="22"/>
        </w:rPr>
      </w:pPr>
      <w:r>
        <w:rPr>
          <w:rFonts w:ascii="宋体" w:eastAsia="宋体"/>
          <w:sz w:val="22"/>
          <w:szCs w:val="22"/>
        </w:rPr>
        <w:t>投标人名称（</w:t>
      </w:r>
      <w:r>
        <w:rPr>
          <w:rFonts w:hint="eastAsia" w:ascii="宋体" w:eastAsia="宋体"/>
          <w:sz w:val="22"/>
          <w:szCs w:val="22"/>
        </w:rPr>
        <w:t>加盖</w:t>
      </w:r>
      <w:r>
        <w:rPr>
          <w:rFonts w:ascii="宋体" w:eastAsia="宋体"/>
          <w:sz w:val="22"/>
          <w:szCs w:val="22"/>
        </w:rPr>
        <w:t>公章）：</w:t>
      </w:r>
    </w:p>
    <w:p>
      <w:pPr>
        <w:pStyle w:val="47"/>
        <w:adjustRightInd w:val="0"/>
        <w:snapToGrid w:val="0"/>
        <w:spacing w:line="360" w:lineRule="auto"/>
        <w:ind w:firstLine="3520" w:firstLineChars="1600"/>
        <w:rPr>
          <w:rFonts w:ascii="宋体" w:eastAsia="宋体"/>
          <w:sz w:val="22"/>
          <w:szCs w:val="22"/>
        </w:rPr>
      </w:pPr>
      <w:r>
        <w:rPr>
          <w:rFonts w:ascii="宋体" w:eastAsia="宋体"/>
          <w:sz w:val="22"/>
          <w:szCs w:val="22"/>
        </w:rPr>
        <w:t>投标人法定代表人或</w:t>
      </w:r>
      <w:r>
        <w:rPr>
          <w:rFonts w:hint="eastAsia" w:ascii="宋体" w:eastAsia="宋体"/>
          <w:sz w:val="22"/>
          <w:szCs w:val="22"/>
        </w:rPr>
        <w:t>被授权人</w:t>
      </w:r>
      <w:r>
        <w:rPr>
          <w:rFonts w:ascii="宋体" w:eastAsia="宋体"/>
          <w:sz w:val="22"/>
          <w:szCs w:val="22"/>
        </w:rPr>
        <w:t>（</w:t>
      </w:r>
      <w:r>
        <w:rPr>
          <w:rFonts w:hint="eastAsia" w:ascii="宋体" w:eastAsia="宋体"/>
          <w:sz w:val="22"/>
          <w:szCs w:val="22"/>
        </w:rPr>
        <w:t>签名或盖章</w:t>
      </w:r>
      <w:r>
        <w:rPr>
          <w:rFonts w:ascii="宋体" w:eastAsia="宋体"/>
          <w:sz w:val="22"/>
          <w:szCs w:val="22"/>
        </w:rPr>
        <w:t>）：</w:t>
      </w:r>
    </w:p>
    <w:p>
      <w:pPr>
        <w:pStyle w:val="47"/>
        <w:adjustRightInd w:val="0"/>
        <w:snapToGrid w:val="0"/>
        <w:spacing w:line="360" w:lineRule="auto"/>
        <w:ind w:firstLine="3520" w:firstLineChars="1600"/>
        <w:rPr>
          <w:rFonts w:ascii="宋体" w:eastAsia="宋体"/>
          <w:sz w:val="22"/>
          <w:szCs w:val="22"/>
        </w:rPr>
      </w:pPr>
      <w:r>
        <w:rPr>
          <w:rFonts w:ascii="宋体" w:eastAsia="宋体"/>
          <w:sz w:val="22"/>
          <w:szCs w:val="22"/>
        </w:rPr>
        <w:t>日期：　　年　　月　　日</w:t>
      </w:r>
    </w:p>
    <w:p>
      <w:pPr>
        <w:adjustRightInd w:val="0"/>
        <w:snapToGrid w:val="0"/>
        <w:spacing w:line="360" w:lineRule="auto"/>
        <w:ind w:firstLine="3520" w:firstLineChars="1600"/>
        <w:rPr>
          <w:rFonts w:ascii="宋体"/>
          <w:sz w:val="22"/>
          <w:szCs w:val="22"/>
        </w:rPr>
      </w:pPr>
      <w:r>
        <w:rPr>
          <w:rFonts w:ascii="宋体"/>
          <w:sz w:val="22"/>
          <w:szCs w:val="22"/>
        </w:rPr>
        <w:br w:type="page"/>
      </w:r>
    </w:p>
    <w:p/>
    <w:p>
      <w:pPr>
        <w:spacing w:after="60" w:line="360" w:lineRule="auto"/>
        <w:ind w:left="2349" w:hanging="2349" w:hangingChars="500"/>
        <w:jc w:val="center"/>
        <w:outlineLvl w:val="1"/>
        <w:rPr>
          <w:rFonts w:ascii="Times New Roman" w:hAnsi="Times New Roman"/>
          <w:b/>
          <w:bCs/>
          <w:spacing w:val="-6"/>
          <w:sz w:val="48"/>
          <w:szCs w:val="48"/>
        </w:rPr>
      </w:pPr>
      <w:bookmarkStart w:id="1193" w:name="_Toc4475"/>
      <w:bookmarkStart w:id="1194" w:name="_Toc1780"/>
      <w:bookmarkStart w:id="1195" w:name="_Toc26616"/>
      <w:bookmarkStart w:id="1196" w:name="_Toc20741"/>
      <w:bookmarkStart w:id="1197" w:name="_Toc12288"/>
      <w:bookmarkStart w:id="1198" w:name="_Toc454875052"/>
      <w:r>
        <w:rPr>
          <w:rFonts w:ascii="Times New Roman" w:hAnsi="宋体"/>
          <w:b/>
          <w:bCs/>
          <w:spacing w:val="-6"/>
          <w:sz w:val="48"/>
          <w:szCs w:val="48"/>
        </w:rPr>
        <w:t>二、商务、技术部分文件</w:t>
      </w:r>
      <w:bookmarkEnd w:id="1193"/>
      <w:bookmarkEnd w:id="1194"/>
      <w:bookmarkEnd w:id="1195"/>
      <w:bookmarkEnd w:id="1196"/>
      <w:bookmarkEnd w:id="1197"/>
      <w:bookmarkEnd w:id="1198"/>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rPr>
          <w:rFonts w:ascii="Times New Roman" w:hAnsi="Times New Roman"/>
          <w:b/>
          <w:sz w:val="32"/>
          <w:szCs w:val="32"/>
          <w:u w:val="single"/>
        </w:rPr>
      </w:pPr>
      <w:r>
        <w:rPr>
          <w:rFonts w:ascii="Times New Roman" w:hAnsi="新宋体" w:eastAsia="新宋体"/>
          <w:b/>
          <w:bCs/>
          <w:spacing w:val="-6"/>
          <w:sz w:val="32"/>
          <w:szCs w:val="32"/>
        </w:rPr>
        <w:t>项目名称</w:t>
      </w:r>
      <w:r>
        <w:rPr>
          <w:rFonts w:ascii="Times New Roman" w:hAnsi="Times New Roman" w:eastAsia="新宋体"/>
          <w:b/>
          <w:bCs/>
          <w:spacing w:val="-6"/>
          <w:sz w:val="32"/>
          <w:szCs w:val="32"/>
        </w:rPr>
        <w:t xml:space="preserve">: </w:t>
      </w:r>
      <w:r>
        <w:rPr>
          <w:rFonts w:hint="eastAsia" w:ascii="Times New Roman" w:hAnsi="Times New Roman" w:eastAsia="新宋体"/>
          <w:b/>
          <w:bCs/>
          <w:spacing w:val="-6"/>
          <w:sz w:val="32"/>
          <w:szCs w:val="32"/>
          <w:u w:val="single"/>
        </w:rPr>
        <w:t xml:space="preserve"> </w:t>
      </w:r>
      <w:r>
        <w:rPr>
          <w:rFonts w:hint="eastAsia" w:ascii="Times New Roman" w:hAnsi="Times New Roman" w:eastAsia="新宋体"/>
          <w:b/>
          <w:bCs/>
          <w:spacing w:val="-6"/>
          <w:sz w:val="32"/>
          <w:szCs w:val="32"/>
          <w:u w:val="single"/>
          <w:lang w:eastAsia="zh-CN"/>
        </w:rPr>
        <w:t>东莞市交通投资集团有限公司供应链服务平台项目</w:t>
      </w:r>
      <w:r>
        <w:rPr>
          <w:rFonts w:hint="eastAsia" w:ascii="Times New Roman" w:hAnsi="Times New Roman" w:eastAsia="新宋体"/>
          <w:b/>
          <w:bCs/>
          <w:spacing w:val="-6"/>
          <w:sz w:val="32"/>
          <w:szCs w:val="32"/>
          <w:u w:val="single"/>
        </w:rPr>
        <w:t xml:space="preserve"> </w:t>
      </w:r>
    </w:p>
    <w:p>
      <w:pPr>
        <w:spacing w:after="60" w:line="360" w:lineRule="auto"/>
        <w:rPr>
          <w:rFonts w:ascii="Times New Roman" w:hAnsi="Times New Roman" w:eastAsia="新宋体"/>
          <w:b/>
          <w:bCs/>
          <w:sz w:val="32"/>
          <w:szCs w:val="32"/>
        </w:rPr>
      </w:pPr>
    </w:p>
    <w:p>
      <w:pPr>
        <w:spacing w:after="60" w:line="360" w:lineRule="auto"/>
        <w:rPr>
          <w:rFonts w:ascii="Times New Roman" w:hAnsi="Times New Roman" w:eastAsia="新宋体"/>
          <w:b/>
          <w:bCs/>
          <w:sz w:val="32"/>
          <w:szCs w:val="32"/>
          <w:u w:val="single"/>
        </w:rPr>
      </w:pPr>
      <w:r>
        <w:rPr>
          <w:rFonts w:ascii="Times New Roman" w:hAnsi="新宋体" w:eastAsia="新宋体"/>
          <w:b/>
          <w:bCs/>
          <w:sz w:val="32"/>
          <w:szCs w:val="32"/>
        </w:rPr>
        <w:t>项目编号</w:t>
      </w:r>
      <w:r>
        <w:rPr>
          <w:rFonts w:ascii="Times New Roman" w:hAnsi="Times New Roman" w:eastAsia="新宋体"/>
          <w:b/>
          <w:bCs/>
          <w:sz w:val="32"/>
          <w:szCs w:val="32"/>
        </w:rPr>
        <w:t>:</w:t>
      </w:r>
      <w:r>
        <w:rPr>
          <w:rFonts w:ascii="Times New Roman" w:hAnsi="Times New Roman" w:eastAsia="新宋体"/>
          <w:b/>
          <w:sz w:val="32"/>
          <w:szCs w:val="32"/>
          <w:u w:val="single"/>
        </w:rPr>
        <w:t xml:space="preserve"> </w:t>
      </w:r>
      <w:r>
        <w:rPr>
          <w:rFonts w:hint="eastAsia" w:ascii="Times New Roman" w:hAnsi="Times New Roman" w:eastAsia="新宋体"/>
          <w:b/>
          <w:bCs/>
          <w:sz w:val="32"/>
          <w:szCs w:val="32"/>
          <w:u w:val="single"/>
        </w:rPr>
        <w:t xml:space="preserve"> SL-CG2022028       </w:t>
      </w:r>
    </w:p>
    <w:p>
      <w:pPr>
        <w:pStyle w:val="90"/>
        <w:rPr>
          <w:rFonts w:ascii="Times New Roman" w:hAnsi="Times New Roman" w:eastAsia="新宋体"/>
          <w:b/>
          <w:bCs/>
          <w:sz w:val="32"/>
          <w:szCs w:val="32"/>
          <w:u w:val="single"/>
        </w:rPr>
      </w:pPr>
    </w:p>
    <w:p>
      <w:pPr>
        <w:tabs>
          <w:tab w:val="left" w:pos="1440"/>
          <w:tab w:val="left" w:pos="1620"/>
        </w:tabs>
        <w:spacing w:after="60" w:line="360" w:lineRule="auto"/>
        <w:rPr>
          <w:rFonts w:ascii="Times New Roman" w:hAnsi="Times New Roman"/>
          <w:u w:val="single"/>
        </w:rPr>
      </w:pPr>
      <w:r>
        <w:rPr>
          <w:rFonts w:ascii="Times New Roman" w:hAnsi="宋体"/>
          <w:b/>
          <w:sz w:val="32"/>
          <w:szCs w:val="32"/>
        </w:rPr>
        <w:t>投</w:t>
      </w:r>
      <w:r>
        <w:rPr>
          <w:rFonts w:ascii="Times New Roman" w:hAnsi="Times New Roman"/>
          <w:b/>
          <w:sz w:val="32"/>
          <w:szCs w:val="32"/>
        </w:rPr>
        <w:t xml:space="preserve"> </w:t>
      </w:r>
      <w:r>
        <w:rPr>
          <w:rFonts w:ascii="Times New Roman" w:hAnsi="宋体"/>
          <w:b/>
          <w:sz w:val="32"/>
          <w:szCs w:val="32"/>
        </w:rPr>
        <w:t>标</w:t>
      </w:r>
      <w:r>
        <w:rPr>
          <w:rFonts w:ascii="Times New Roman" w:hAnsi="Times New Roman"/>
          <w:b/>
          <w:sz w:val="32"/>
          <w:szCs w:val="32"/>
        </w:rPr>
        <w:t xml:space="preserve"> </w:t>
      </w:r>
      <w:r>
        <w:rPr>
          <w:rFonts w:ascii="Times New Roman" w:hAnsi="宋体"/>
          <w:b/>
          <w:sz w:val="32"/>
          <w:szCs w:val="32"/>
        </w:rPr>
        <w:t>人</w:t>
      </w:r>
      <w:r>
        <w:rPr>
          <w:rFonts w:hint="eastAsia" w:ascii="Times New Roman" w:hAnsi="宋体"/>
          <w:b/>
          <w:sz w:val="32"/>
          <w:szCs w:val="32"/>
        </w:rPr>
        <w:t>（公章）</w:t>
      </w:r>
      <w:r>
        <w:rPr>
          <w:rFonts w:ascii="Times New Roman" w:hAnsi="Times New Roman"/>
          <w:b/>
          <w:sz w:val="32"/>
          <w:szCs w:val="32"/>
        </w:rPr>
        <w:t>:</w:t>
      </w:r>
      <w:r>
        <w:rPr>
          <w:rFonts w:hint="eastAsia" w:ascii="Times New Roman" w:hAnsi="Times New Roman"/>
          <w:b/>
          <w:sz w:val="32"/>
          <w:szCs w:val="32"/>
          <w:u w:val="single"/>
        </w:rPr>
        <w:t xml:space="preserve">                         </w:t>
      </w:r>
      <w:r>
        <w:rPr>
          <w:rFonts w:hint="eastAsia" w:ascii="Times New Roman" w:hAnsi="Times New Roman"/>
          <w:u w:val="single"/>
        </w:rPr>
        <w:t xml:space="preserve">      </w:t>
      </w:r>
    </w:p>
    <w:p>
      <w:pPr>
        <w:spacing w:after="60" w:line="360" w:lineRule="auto"/>
        <w:rPr>
          <w:rFonts w:ascii="Times New Roman" w:hAnsi="Times New Roman"/>
          <w:b/>
          <w:sz w:val="32"/>
          <w:szCs w:val="32"/>
          <w:u w:val="single"/>
        </w:rPr>
      </w:pPr>
    </w:p>
    <w:p>
      <w:pPr>
        <w:spacing w:line="560" w:lineRule="exact"/>
        <w:rPr>
          <w:rFonts w:ascii="Times New Roman" w:hAnsi="Times New Roman"/>
          <w:b/>
          <w:sz w:val="32"/>
          <w:szCs w:val="32"/>
        </w:rPr>
      </w:pPr>
      <w:r>
        <w:rPr>
          <w:rFonts w:ascii="Times New Roman" w:hAnsi="Times New Roman"/>
          <w:b/>
          <w:sz w:val="32"/>
          <w:szCs w:val="32"/>
        </w:rPr>
        <w:t>投标人法定代表人或</w:t>
      </w:r>
      <w:r>
        <w:rPr>
          <w:rFonts w:hint="eastAsia" w:ascii="Times New Roman" w:hAnsi="Times New Roman"/>
          <w:b/>
          <w:sz w:val="32"/>
          <w:szCs w:val="32"/>
        </w:rPr>
        <w:t>授权代理</w:t>
      </w:r>
      <w:r>
        <w:rPr>
          <w:rFonts w:ascii="Times New Roman" w:hAnsi="Times New Roman"/>
          <w:b/>
          <w:sz w:val="32"/>
          <w:szCs w:val="32"/>
        </w:rPr>
        <w:t>人（签名）：</w:t>
      </w:r>
      <w:r>
        <w:rPr>
          <w:rFonts w:hint="eastAsia" w:ascii="Times New Roman" w:hAnsi="Times New Roman"/>
          <w:b/>
          <w:sz w:val="32"/>
          <w:szCs w:val="32"/>
          <w:u w:val="single"/>
        </w:rPr>
        <w:t xml:space="preserve">              </w:t>
      </w:r>
    </w:p>
    <w:p>
      <w:pPr>
        <w:spacing w:after="60" w:line="360" w:lineRule="auto"/>
        <w:rPr>
          <w:b/>
          <w:sz w:val="52"/>
        </w:rPr>
      </w:pPr>
    </w:p>
    <w:p>
      <w:pPr>
        <w:spacing w:after="60" w:line="360" w:lineRule="auto"/>
        <w:rPr>
          <w:b/>
          <w:sz w:val="52"/>
        </w:rPr>
      </w:pPr>
    </w:p>
    <w:p>
      <w:pPr>
        <w:spacing w:after="60" w:line="360" w:lineRule="auto"/>
        <w:jc w:val="center"/>
        <w:rPr>
          <w:rFonts w:ascii="Times New Roman" w:hAnsi="Times New Roman"/>
          <w:b/>
          <w:sz w:val="30"/>
          <w:szCs w:val="32"/>
        </w:rPr>
      </w:pPr>
      <w:r>
        <w:rPr>
          <w:rFonts w:hint="eastAsia" w:ascii="Times New Roman" w:hAnsi="宋体"/>
          <w:b/>
          <w:sz w:val="30"/>
          <w:szCs w:val="32"/>
        </w:rPr>
        <w:t>二〇二二年</w:t>
      </w:r>
      <w:r>
        <w:rPr>
          <w:rFonts w:ascii="Times New Roman" w:hAnsi="Times New Roman"/>
          <w:b/>
          <w:sz w:val="30"/>
          <w:szCs w:val="32"/>
        </w:rPr>
        <w:t xml:space="preserve">  </w:t>
      </w:r>
      <w:r>
        <w:rPr>
          <w:rFonts w:ascii="Times New Roman" w:hAnsi="宋体"/>
          <w:b/>
          <w:sz w:val="30"/>
          <w:szCs w:val="32"/>
        </w:rPr>
        <w:t>月</w:t>
      </w:r>
    </w:p>
    <w:p>
      <w:pPr>
        <w:spacing w:after="60" w:line="360" w:lineRule="auto"/>
        <w:jc w:val="center"/>
        <w:rPr>
          <w:rFonts w:ascii="Times New Roman" w:hAnsi="Times New Roman"/>
          <w:b/>
          <w:sz w:val="22"/>
          <w:szCs w:val="22"/>
        </w:rPr>
      </w:pPr>
    </w:p>
    <w:p>
      <w:pPr>
        <w:widowControl/>
        <w:jc w:val="left"/>
        <w:rPr>
          <w:rFonts w:ascii="宋体" w:hAnsi="宋体"/>
          <w:b/>
          <w:bCs/>
          <w:sz w:val="22"/>
          <w:szCs w:val="22"/>
        </w:rPr>
      </w:pPr>
      <w:bookmarkStart w:id="1199" w:name="_Toc441844116"/>
      <w:bookmarkStart w:id="1200" w:name="_Toc401738102"/>
      <w:bookmarkStart w:id="1201" w:name="_Toc395863121"/>
      <w:bookmarkStart w:id="1202" w:name="_Toc427232350"/>
      <w:bookmarkStart w:id="1203" w:name="_Toc46502802"/>
      <w:bookmarkStart w:id="1204" w:name="_Toc321994781"/>
      <w:bookmarkStart w:id="1205" w:name="_Toc326689516"/>
      <w:bookmarkStart w:id="1206" w:name="_Toc454875054"/>
      <w:r>
        <w:rPr>
          <w:rFonts w:ascii="宋体" w:hAnsi="宋体"/>
          <w:sz w:val="22"/>
          <w:szCs w:val="22"/>
        </w:rPr>
        <w:br w:type="page"/>
      </w:r>
    </w:p>
    <w:p>
      <w:pPr>
        <w:jc w:val="center"/>
        <w:outlineLvl w:val="2"/>
        <w:rPr>
          <w:rFonts w:ascii="宋体" w:hAnsi="宋体"/>
          <w:b/>
          <w:bCs/>
          <w:sz w:val="22"/>
          <w:szCs w:val="22"/>
        </w:rPr>
      </w:pPr>
      <w:bookmarkStart w:id="1207" w:name="_Toc26775"/>
      <w:bookmarkStart w:id="1208" w:name="_Toc15486"/>
      <w:bookmarkStart w:id="1209" w:name="_Toc30754"/>
      <w:bookmarkStart w:id="1210" w:name="_Toc11852"/>
      <w:bookmarkStart w:id="1211" w:name="_Toc14933"/>
      <w:r>
        <w:rPr>
          <w:rFonts w:ascii="宋体" w:hAnsi="宋体"/>
          <w:b/>
          <w:bCs/>
          <w:sz w:val="22"/>
          <w:szCs w:val="22"/>
        </w:rPr>
        <w:t>1、投标函</w:t>
      </w:r>
      <w:bookmarkEnd w:id="1199"/>
      <w:bookmarkEnd w:id="1200"/>
      <w:bookmarkEnd w:id="1201"/>
      <w:bookmarkEnd w:id="1202"/>
      <w:bookmarkEnd w:id="1203"/>
      <w:bookmarkEnd w:id="1204"/>
      <w:bookmarkEnd w:id="1205"/>
      <w:bookmarkEnd w:id="1207"/>
      <w:bookmarkEnd w:id="1208"/>
      <w:bookmarkEnd w:id="1209"/>
      <w:bookmarkEnd w:id="1210"/>
      <w:bookmarkEnd w:id="1211"/>
    </w:p>
    <w:p>
      <w:pPr>
        <w:pStyle w:val="63"/>
        <w:adjustRightInd w:val="0"/>
        <w:snapToGrid w:val="0"/>
        <w:spacing w:before="156" w:after="156" w:line="360" w:lineRule="auto"/>
        <w:rPr>
          <w:rFonts w:ascii="宋体" w:eastAsia="宋体"/>
          <w:sz w:val="22"/>
          <w:szCs w:val="22"/>
        </w:rPr>
      </w:pPr>
      <w:r>
        <w:rPr>
          <w:rFonts w:ascii="宋体" w:eastAsia="宋体"/>
          <w:sz w:val="22"/>
          <w:szCs w:val="22"/>
        </w:rPr>
        <w:t>致：</w:t>
      </w:r>
      <w:r>
        <w:rPr>
          <w:rFonts w:hint="eastAsia" w:ascii="宋体" w:eastAsia="宋体" w:cs="宋体"/>
          <w:i/>
          <w:sz w:val="22"/>
          <w:szCs w:val="22"/>
          <w:u w:val="single"/>
        </w:rPr>
        <w:t>（采购代理机构名称）</w:t>
      </w:r>
    </w:p>
    <w:p>
      <w:pPr>
        <w:spacing w:line="360" w:lineRule="auto"/>
        <w:rPr>
          <w:rFonts w:ascii="宋体"/>
          <w:sz w:val="22"/>
          <w:szCs w:val="22"/>
        </w:rPr>
      </w:pPr>
      <w:r>
        <w:rPr>
          <w:rFonts w:ascii="宋体"/>
          <w:sz w:val="22"/>
          <w:szCs w:val="22"/>
        </w:rPr>
        <w:t>我方确认收到贵方提供的</w:t>
      </w:r>
      <w:r>
        <w:rPr>
          <w:rFonts w:ascii="宋体"/>
          <w:sz w:val="22"/>
          <w:szCs w:val="22"/>
          <w:u w:val="single"/>
        </w:rPr>
        <w:t>　　　　　</w:t>
      </w:r>
      <w:r>
        <w:rPr>
          <w:rFonts w:ascii="宋体"/>
          <w:sz w:val="22"/>
          <w:szCs w:val="22"/>
        </w:rPr>
        <w:t>等相关</w:t>
      </w:r>
      <w:r>
        <w:rPr>
          <w:rFonts w:hint="eastAsia" w:ascii="宋体"/>
          <w:sz w:val="22"/>
          <w:szCs w:val="22"/>
        </w:rPr>
        <w:t>服务</w:t>
      </w:r>
      <w:r>
        <w:rPr>
          <w:rFonts w:ascii="宋体"/>
          <w:sz w:val="22"/>
          <w:szCs w:val="22"/>
        </w:rPr>
        <w:t>的招标文件（</w:t>
      </w:r>
      <w:r>
        <w:rPr>
          <w:rFonts w:hint="eastAsia" w:ascii="宋体"/>
          <w:sz w:val="22"/>
          <w:szCs w:val="22"/>
        </w:rPr>
        <w:t>项目</w:t>
      </w:r>
      <w:r>
        <w:rPr>
          <w:rFonts w:ascii="宋体"/>
          <w:sz w:val="22"/>
          <w:szCs w:val="22"/>
        </w:rPr>
        <w:t>编号:</w:t>
      </w:r>
      <w:r>
        <w:rPr>
          <w:rFonts w:hint="eastAsia" w:ascii="宋体" w:hAnsi="宋体" w:cs="宋体"/>
          <w:sz w:val="22"/>
          <w:szCs w:val="22"/>
          <w:lang w:val="zh-CN"/>
        </w:rPr>
        <w:t>SL-CG2022028</w:t>
      </w:r>
      <w:r>
        <w:rPr>
          <w:rFonts w:ascii="宋体"/>
          <w:sz w:val="22"/>
          <w:szCs w:val="22"/>
        </w:rPr>
        <w:t>）的全部内容，我方：</w:t>
      </w:r>
      <w:r>
        <w:rPr>
          <w:rFonts w:ascii="宋体"/>
          <w:sz w:val="22"/>
          <w:szCs w:val="22"/>
          <w:u w:val="single"/>
        </w:rPr>
        <w:t>（投标人名称）</w:t>
      </w:r>
      <w:r>
        <w:rPr>
          <w:rFonts w:ascii="宋体"/>
          <w:sz w:val="22"/>
          <w:szCs w:val="22"/>
        </w:rPr>
        <w:t>作为投标人正式委托</w:t>
      </w:r>
      <w:r>
        <w:rPr>
          <w:rFonts w:ascii="宋体"/>
          <w:sz w:val="22"/>
          <w:szCs w:val="22"/>
          <w:u w:val="single"/>
        </w:rPr>
        <w:t>　   （受委托人全名，职务）</w:t>
      </w:r>
      <w:r>
        <w:rPr>
          <w:rFonts w:ascii="宋体"/>
          <w:sz w:val="22"/>
          <w:szCs w:val="22"/>
        </w:rPr>
        <w:t>代表我方进行有关本投标的一切事宜。</w:t>
      </w:r>
    </w:p>
    <w:p>
      <w:pPr>
        <w:pStyle w:val="47"/>
        <w:adjustRightInd w:val="0"/>
        <w:snapToGrid w:val="0"/>
        <w:spacing w:line="360" w:lineRule="auto"/>
        <w:ind w:firstLine="440" w:firstLineChars="200"/>
        <w:rPr>
          <w:rFonts w:ascii="宋体" w:eastAsia="宋体"/>
          <w:sz w:val="22"/>
          <w:szCs w:val="22"/>
        </w:rPr>
      </w:pPr>
      <w:r>
        <w:rPr>
          <w:rFonts w:ascii="宋体" w:eastAsia="宋体"/>
          <w:sz w:val="22"/>
          <w:szCs w:val="22"/>
        </w:rPr>
        <w:t>在此提交的投标文件，正本</w:t>
      </w:r>
      <w:r>
        <w:rPr>
          <w:rFonts w:ascii="宋体" w:eastAsia="宋体"/>
          <w:sz w:val="22"/>
          <w:szCs w:val="22"/>
          <w:u w:val="single"/>
        </w:rPr>
        <w:t>1</w:t>
      </w:r>
      <w:r>
        <w:rPr>
          <w:rFonts w:ascii="宋体" w:eastAsia="宋体"/>
          <w:sz w:val="22"/>
          <w:szCs w:val="22"/>
        </w:rPr>
        <w:t>套，副本</w:t>
      </w:r>
      <w:r>
        <w:rPr>
          <w:rFonts w:hint="eastAsia" w:ascii="宋体" w:eastAsia="宋体"/>
          <w:sz w:val="22"/>
          <w:szCs w:val="22"/>
          <w:u w:val="single"/>
        </w:rPr>
        <w:t>7</w:t>
      </w:r>
      <w:r>
        <w:rPr>
          <w:rFonts w:ascii="宋体" w:eastAsia="宋体"/>
          <w:sz w:val="22"/>
          <w:szCs w:val="22"/>
        </w:rPr>
        <w:t>套，唱标信封</w:t>
      </w:r>
      <w:r>
        <w:rPr>
          <w:rFonts w:ascii="宋体" w:eastAsia="宋体"/>
          <w:sz w:val="22"/>
          <w:szCs w:val="22"/>
          <w:u w:val="single"/>
        </w:rPr>
        <w:t>1</w:t>
      </w:r>
      <w:r>
        <w:rPr>
          <w:rFonts w:ascii="宋体" w:eastAsia="宋体"/>
          <w:sz w:val="22"/>
          <w:szCs w:val="22"/>
        </w:rPr>
        <w:t>份，包括如下等内容：</w:t>
      </w:r>
    </w:p>
    <w:p>
      <w:pPr>
        <w:pStyle w:val="47"/>
        <w:adjustRightInd w:val="0"/>
        <w:snapToGrid w:val="0"/>
        <w:spacing w:line="360" w:lineRule="auto"/>
        <w:ind w:firstLine="453"/>
        <w:rPr>
          <w:rFonts w:ascii="宋体" w:eastAsia="宋体"/>
          <w:sz w:val="22"/>
          <w:szCs w:val="22"/>
        </w:rPr>
      </w:pPr>
      <w:r>
        <w:rPr>
          <w:rFonts w:ascii="宋体" w:eastAsia="宋体"/>
          <w:sz w:val="22"/>
          <w:szCs w:val="22"/>
        </w:rPr>
        <w:t>1．价格部分文件；</w:t>
      </w:r>
    </w:p>
    <w:p>
      <w:pPr>
        <w:pStyle w:val="47"/>
        <w:adjustRightInd w:val="0"/>
        <w:snapToGrid w:val="0"/>
        <w:spacing w:line="360" w:lineRule="auto"/>
        <w:ind w:firstLine="453"/>
        <w:rPr>
          <w:rFonts w:ascii="宋体" w:eastAsia="宋体"/>
          <w:sz w:val="22"/>
          <w:szCs w:val="22"/>
        </w:rPr>
      </w:pPr>
      <w:r>
        <w:rPr>
          <w:rFonts w:ascii="宋体" w:eastAsia="宋体"/>
          <w:sz w:val="22"/>
          <w:szCs w:val="22"/>
        </w:rPr>
        <w:t>2．商务</w:t>
      </w:r>
      <w:r>
        <w:rPr>
          <w:rFonts w:hint="eastAsia" w:ascii="宋体" w:eastAsia="宋体"/>
          <w:sz w:val="22"/>
          <w:szCs w:val="22"/>
        </w:rPr>
        <w:t>、技术</w:t>
      </w:r>
      <w:r>
        <w:rPr>
          <w:rFonts w:ascii="宋体" w:eastAsia="宋体"/>
          <w:sz w:val="22"/>
          <w:szCs w:val="22"/>
        </w:rPr>
        <w:t>部分文件；</w:t>
      </w:r>
    </w:p>
    <w:p>
      <w:pPr>
        <w:pStyle w:val="47"/>
        <w:adjustRightInd w:val="0"/>
        <w:snapToGrid w:val="0"/>
        <w:spacing w:line="360" w:lineRule="auto"/>
        <w:ind w:firstLine="440" w:firstLineChars="200"/>
        <w:rPr>
          <w:rFonts w:ascii="宋体" w:eastAsia="宋体"/>
          <w:sz w:val="22"/>
          <w:szCs w:val="22"/>
        </w:rPr>
      </w:pPr>
      <w:r>
        <w:rPr>
          <w:rFonts w:ascii="宋体" w:eastAsia="宋体"/>
          <w:sz w:val="22"/>
          <w:szCs w:val="22"/>
        </w:rPr>
        <w:t>3．唱标信封（内含电子版投标文件）；</w:t>
      </w:r>
    </w:p>
    <w:p>
      <w:pPr>
        <w:pStyle w:val="47"/>
        <w:adjustRightInd w:val="0"/>
        <w:snapToGrid w:val="0"/>
        <w:spacing w:line="360" w:lineRule="auto"/>
        <w:ind w:firstLine="453"/>
        <w:rPr>
          <w:rFonts w:ascii="宋体" w:eastAsia="宋体"/>
          <w:sz w:val="22"/>
          <w:szCs w:val="22"/>
        </w:rPr>
      </w:pPr>
      <w:r>
        <w:rPr>
          <w:rFonts w:ascii="宋体" w:eastAsia="宋体"/>
          <w:sz w:val="22"/>
          <w:szCs w:val="22"/>
        </w:rPr>
        <w:t xml:space="preserve"> 我方己完全明白招标文件的所有条款要求，并重申以下几点：</w:t>
      </w:r>
    </w:p>
    <w:p>
      <w:pPr>
        <w:pStyle w:val="47"/>
        <w:adjustRightInd w:val="0"/>
        <w:snapToGrid w:val="0"/>
        <w:spacing w:line="360" w:lineRule="auto"/>
        <w:ind w:firstLine="453"/>
        <w:rPr>
          <w:rFonts w:ascii="宋体" w:eastAsia="宋体"/>
          <w:sz w:val="22"/>
          <w:szCs w:val="22"/>
        </w:rPr>
      </w:pPr>
      <w:r>
        <w:rPr>
          <w:rFonts w:ascii="宋体" w:eastAsia="宋体"/>
          <w:sz w:val="22"/>
          <w:szCs w:val="22"/>
        </w:rPr>
        <w:t>（—）我方决定参加</w:t>
      </w:r>
      <w:r>
        <w:rPr>
          <w:rFonts w:hint="eastAsia" w:ascii="宋体" w:eastAsia="宋体"/>
          <w:sz w:val="22"/>
          <w:szCs w:val="22"/>
        </w:rPr>
        <w:t>项目</w:t>
      </w:r>
      <w:r>
        <w:rPr>
          <w:rFonts w:ascii="宋体" w:eastAsia="宋体"/>
          <w:sz w:val="22"/>
          <w:szCs w:val="22"/>
        </w:rPr>
        <w:t>编号为的投标；</w:t>
      </w:r>
    </w:p>
    <w:p>
      <w:pPr>
        <w:pStyle w:val="47"/>
        <w:adjustRightInd w:val="0"/>
        <w:snapToGrid w:val="0"/>
        <w:spacing w:line="360" w:lineRule="auto"/>
        <w:ind w:firstLine="453"/>
        <w:rPr>
          <w:rFonts w:ascii="宋体" w:eastAsia="宋体"/>
          <w:sz w:val="22"/>
          <w:szCs w:val="22"/>
        </w:rPr>
      </w:pPr>
      <w:r>
        <w:rPr>
          <w:rFonts w:ascii="宋体" w:eastAsia="宋体"/>
          <w:sz w:val="22"/>
          <w:szCs w:val="22"/>
        </w:rPr>
        <w:t>（二）</w:t>
      </w:r>
      <w:r>
        <w:rPr>
          <w:rFonts w:hint="eastAsia" w:ascii="宋体" w:eastAsia="宋体"/>
          <w:sz w:val="22"/>
          <w:szCs w:val="22"/>
        </w:rPr>
        <w:t>全部有关服务的投标总价</w:t>
      </w:r>
      <w:r>
        <w:rPr>
          <w:rFonts w:ascii="宋体" w:eastAsia="宋体"/>
          <w:sz w:val="22"/>
          <w:szCs w:val="22"/>
        </w:rPr>
        <w:t>（详见</w:t>
      </w:r>
      <w:r>
        <w:rPr>
          <w:rFonts w:hint="eastAsia" w:ascii="宋体" w:eastAsia="宋体"/>
          <w:sz w:val="22"/>
          <w:szCs w:val="22"/>
        </w:rPr>
        <w:t>投标报价一览表</w:t>
      </w:r>
      <w:r>
        <w:rPr>
          <w:rFonts w:ascii="宋体" w:eastAsia="宋体"/>
          <w:sz w:val="22"/>
          <w:szCs w:val="22"/>
        </w:rPr>
        <w:t>）；</w:t>
      </w:r>
    </w:p>
    <w:p>
      <w:pPr>
        <w:pStyle w:val="47"/>
        <w:adjustRightInd w:val="0"/>
        <w:snapToGrid w:val="0"/>
        <w:spacing w:line="360" w:lineRule="auto"/>
        <w:ind w:firstLine="453"/>
        <w:rPr>
          <w:rFonts w:ascii="宋体" w:eastAsia="宋体"/>
          <w:sz w:val="22"/>
          <w:szCs w:val="22"/>
        </w:rPr>
      </w:pPr>
      <w:r>
        <w:rPr>
          <w:rFonts w:ascii="宋体" w:eastAsia="宋体"/>
          <w:sz w:val="22"/>
          <w:szCs w:val="22"/>
        </w:rPr>
        <w:t>（三）本投标文件的有效期自投标截止日后</w:t>
      </w:r>
      <w:r>
        <w:rPr>
          <w:rFonts w:hint="eastAsia" w:ascii="宋体" w:eastAsia="宋体"/>
          <w:sz w:val="22"/>
          <w:szCs w:val="22"/>
        </w:rPr>
        <w:t>120</w:t>
      </w:r>
      <w:r>
        <w:rPr>
          <w:rFonts w:ascii="宋体" w:eastAsia="宋体"/>
          <w:sz w:val="22"/>
          <w:szCs w:val="22"/>
        </w:rPr>
        <w:t>天有效，如中标，有效期将延至合同终止日为止；</w:t>
      </w:r>
    </w:p>
    <w:p>
      <w:pPr>
        <w:pStyle w:val="47"/>
        <w:adjustRightInd w:val="0"/>
        <w:snapToGrid w:val="0"/>
        <w:spacing w:line="360" w:lineRule="auto"/>
        <w:ind w:firstLine="453"/>
        <w:rPr>
          <w:rFonts w:ascii="宋体" w:eastAsia="宋体"/>
          <w:sz w:val="22"/>
          <w:szCs w:val="22"/>
        </w:rPr>
      </w:pPr>
      <w:r>
        <w:rPr>
          <w:rFonts w:ascii="宋体" w:eastAsia="宋体"/>
          <w:sz w:val="22"/>
          <w:szCs w:val="22"/>
        </w:rPr>
        <w:t>（四）我方已详细研究了招标文件的所有内容包括相关资料及修正文（如果有），对本项目招标文件的所有内容已清楚，接受本招标文件的所有条款及要求；</w:t>
      </w:r>
    </w:p>
    <w:p>
      <w:pPr>
        <w:pStyle w:val="47"/>
        <w:adjustRightInd w:val="0"/>
        <w:snapToGrid w:val="0"/>
        <w:spacing w:line="360" w:lineRule="auto"/>
        <w:ind w:firstLine="453"/>
        <w:rPr>
          <w:rFonts w:ascii="宋体" w:eastAsia="宋体"/>
          <w:sz w:val="22"/>
          <w:szCs w:val="22"/>
        </w:rPr>
      </w:pPr>
      <w:r>
        <w:rPr>
          <w:rFonts w:ascii="宋体" w:eastAsia="宋体"/>
          <w:sz w:val="22"/>
          <w:szCs w:val="22"/>
        </w:rPr>
        <w:t>（五）我方明白并愿意在规定的开标时间和日期之后，投标有效期之内撤回投标，则投标保证金将被贵方</w:t>
      </w:r>
      <w:r>
        <w:rPr>
          <w:rFonts w:hint="eastAsia" w:ascii="宋体" w:eastAsia="宋体"/>
          <w:sz w:val="22"/>
          <w:szCs w:val="22"/>
        </w:rPr>
        <w:t>不予退还</w:t>
      </w:r>
      <w:r>
        <w:rPr>
          <w:rFonts w:ascii="宋体" w:eastAsia="宋体"/>
          <w:sz w:val="22"/>
          <w:szCs w:val="22"/>
        </w:rPr>
        <w:t>；</w:t>
      </w:r>
    </w:p>
    <w:p>
      <w:pPr>
        <w:pStyle w:val="47"/>
        <w:adjustRightInd w:val="0"/>
        <w:snapToGrid w:val="0"/>
        <w:spacing w:line="360" w:lineRule="auto"/>
        <w:ind w:firstLine="453"/>
        <w:rPr>
          <w:rFonts w:ascii="宋体" w:eastAsia="宋体"/>
          <w:sz w:val="22"/>
          <w:szCs w:val="22"/>
        </w:rPr>
      </w:pPr>
      <w:r>
        <w:rPr>
          <w:rFonts w:ascii="宋体" w:eastAsia="宋体"/>
          <w:sz w:val="22"/>
          <w:szCs w:val="22"/>
        </w:rPr>
        <w:t>（六）我方同意按照贵方可能提出的要求而提供与投标有关的任何其它数据或信息；</w:t>
      </w:r>
    </w:p>
    <w:p>
      <w:pPr>
        <w:pStyle w:val="47"/>
        <w:adjustRightInd w:val="0"/>
        <w:snapToGrid w:val="0"/>
        <w:spacing w:line="360" w:lineRule="auto"/>
        <w:ind w:firstLine="453"/>
        <w:rPr>
          <w:rFonts w:ascii="宋体" w:eastAsia="宋体"/>
          <w:sz w:val="22"/>
          <w:szCs w:val="22"/>
        </w:rPr>
      </w:pPr>
      <w:r>
        <w:rPr>
          <w:rFonts w:ascii="宋体" w:eastAsia="宋体"/>
          <w:sz w:val="22"/>
          <w:szCs w:val="22"/>
        </w:rPr>
        <w:t>（七）我方理解贵方不一定接受最低标价或任何贵方可能收到的投标；</w:t>
      </w:r>
    </w:p>
    <w:p>
      <w:pPr>
        <w:pStyle w:val="47"/>
        <w:adjustRightInd w:val="0"/>
        <w:snapToGrid w:val="0"/>
        <w:spacing w:line="360" w:lineRule="auto"/>
        <w:ind w:firstLine="453"/>
        <w:rPr>
          <w:rFonts w:ascii="宋体" w:eastAsia="宋体"/>
          <w:sz w:val="22"/>
          <w:szCs w:val="22"/>
        </w:rPr>
      </w:pPr>
      <w:r>
        <w:rPr>
          <w:rFonts w:ascii="宋体" w:eastAsia="宋体"/>
          <w:sz w:val="22"/>
          <w:szCs w:val="22"/>
        </w:rPr>
        <w:t>（八）我方如果中标，将保证履行招标文件以及招标文件修改书（如果有的话）中的全部责任和义务，按质、按量、按期完成《合同书》中的全部任务；</w:t>
      </w:r>
    </w:p>
    <w:p>
      <w:pPr>
        <w:pStyle w:val="47"/>
        <w:adjustRightInd w:val="0"/>
        <w:snapToGrid w:val="0"/>
        <w:spacing w:line="360" w:lineRule="auto"/>
        <w:ind w:firstLine="453"/>
        <w:rPr>
          <w:rFonts w:ascii="宋体" w:eastAsia="宋体"/>
          <w:sz w:val="22"/>
          <w:szCs w:val="22"/>
        </w:rPr>
      </w:pPr>
      <w:r>
        <w:rPr>
          <w:rFonts w:ascii="宋体" w:eastAsia="宋体"/>
          <w:sz w:val="22"/>
          <w:szCs w:val="22"/>
        </w:rPr>
        <w:t>（九）所有与本投标有关的函件请发往下列地址：</w:t>
      </w:r>
    </w:p>
    <w:p>
      <w:pPr>
        <w:adjustRightInd w:val="0"/>
        <w:snapToGrid w:val="0"/>
        <w:spacing w:line="360" w:lineRule="auto"/>
        <w:rPr>
          <w:rFonts w:ascii="宋体" w:hAnsi="宋体"/>
          <w:sz w:val="22"/>
          <w:szCs w:val="22"/>
        </w:rPr>
      </w:pPr>
      <w:r>
        <w:rPr>
          <w:rFonts w:ascii="宋体" w:hAnsi="宋体"/>
          <w:sz w:val="22"/>
          <w:szCs w:val="22"/>
        </w:rPr>
        <w:t>地  　址：</w:t>
      </w:r>
      <w:r>
        <w:rPr>
          <w:rFonts w:ascii="宋体" w:hAnsi="宋体"/>
          <w:sz w:val="22"/>
          <w:szCs w:val="22"/>
          <w:u w:val="single"/>
        </w:rPr>
        <w:t>　　　　　　　　　　</w:t>
      </w:r>
      <w:r>
        <w:rPr>
          <w:rFonts w:ascii="宋体" w:hAnsi="宋体"/>
          <w:sz w:val="22"/>
          <w:szCs w:val="22"/>
        </w:rPr>
        <w:t>　 邮政编码：　　　　　</w:t>
      </w:r>
    </w:p>
    <w:p>
      <w:pPr>
        <w:adjustRightInd w:val="0"/>
        <w:snapToGrid w:val="0"/>
        <w:spacing w:line="360" w:lineRule="auto"/>
        <w:rPr>
          <w:rFonts w:ascii="宋体" w:hAnsi="宋体"/>
          <w:sz w:val="22"/>
          <w:szCs w:val="22"/>
          <w:u w:val="single"/>
        </w:rPr>
      </w:pPr>
      <w:r>
        <w:rPr>
          <w:rFonts w:ascii="宋体" w:hAnsi="宋体"/>
          <w:sz w:val="22"/>
          <w:szCs w:val="22"/>
        </w:rPr>
        <w:t>联系人：</w:t>
      </w:r>
    </w:p>
    <w:p>
      <w:pPr>
        <w:adjustRightInd w:val="0"/>
        <w:snapToGrid w:val="0"/>
        <w:spacing w:line="360" w:lineRule="auto"/>
        <w:rPr>
          <w:rFonts w:ascii="宋体" w:hAnsi="宋体"/>
          <w:sz w:val="22"/>
          <w:szCs w:val="22"/>
          <w:u w:val="single"/>
        </w:rPr>
      </w:pPr>
      <w:r>
        <w:rPr>
          <w:rFonts w:ascii="宋体" w:hAnsi="宋体"/>
          <w:sz w:val="22"/>
          <w:szCs w:val="22"/>
        </w:rPr>
        <w:t>联系电话：</w:t>
      </w:r>
      <w:r>
        <w:rPr>
          <w:rFonts w:ascii="宋体" w:hAnsi="宋体"/>
          <w:sz w:val="22"/>
          <w:szCs w:val="22"/>
          <w:u w:val="single"/>
        </w:rPr>
        <w:t>　　　　　　　　　　</w:t>
      </w:r>
      <w:r>
        <w:rPr>
          <w:rFonts w:ascii="宋体" w:hAnsi="宋体"/>
          <w:sz w:val="22"/>
          <w:szCs w:val="22"/>
        </w:rPr>
        <w:t xml:space="preserve">   传　　真：</w:t>
      </w:r>
      <w:r>
        <w:rPr>
          <w:rFonts w:ascii="宋体" w:hAnsi="宋体"/>
          <w:sz w:val="22"/>
          <w:szCs w:val="22"/>
          <w:u w:val="single"/>
        </w:rPr>
        <w:t xml:space="preserve">　　　　　　   </w:t>
      </w:r>
    </w:p>
    <w:p>
      <w:pPr>
        <w:pStyle w:val="47"/>
        <w:adjustRightInd w:val="0"/>
        <w:snapToGrid w:val="0"/>
        <w:spacing w:line="360" w:lineRule="auto"/>
        <w:ind w:firstLine="3520" w:firstLineChars="1600"/>
        <w:rPr>
          <w:rFonts w:ascii="Times New Roman" w:hAnsi="Times New Roman" w:eastAsia="宋体"/>
          <w:sz w:val="22"/>
          <w:szCs w:val="22"/>
        </w:rPr>
      </w:pPr>
      <w:r>
        <w:rPr>
          <w:rFonts w:ascii="Times New Roman" w:hAnsi="Times New Roman" w:eastAsia="宋体"/>
          <w:sz w:val="22"/>
          <w:szCs w:val="22"/>
        </w:rPr>
        <w:t>投标人名称（</w:t>
      </w:r>
      <w:r>
        <w:rPr>
          <w:rFonts w:hint="eastAsia" w:ascii="Times New Roman" w:hAnsi="Times New Roman" w:eastAsia="宋体"/>
          <w:sz w:val="22"/>
          <w:szCs w:val="22"/>
        </w:rPr>
        <w:t>加盖</w:t>
      </w:r>
      <w:r>
        <w:rPr>
          <w:rFonts w:ascii="Times New Roman" w:hAnsi="Times New Roman" w:eastAsia="宋体"/>
          <w:sz w:val="22"/>
          <w:szCs w:val="22"/>
        </w:rPr>
        <w:t>公章）：</w:t>
      </w:r>
    </w:p>
    <w:p>
      <w:pPr>
        <w:pStyle w:val="47"/>
        <w:adjustRightInd w:val="0"/>
        <w:snapToGrid w:val="0"/>
        <w:spacing w:line="360" w:lineRule="auto"/>
        <w:ind w:firstLine="3520" w:firstLineChars="1600"/>
        <w:rPr>
          <w:rFonts w:ascii="Times New Roman" w:hAnsi="Times New Roman" w:eastAsia="宋体"/>
          <w:sz w:val="22"/>
          <w:szCs w:val="22"/>
        </w:rPr>
      </w:pPr>
      <w:r>
        <w:rPr>
          <w:rFonts w:ascii="Times New Roman" w:hAnsi="Times New Roman" w:eastAsia="宋体"/>
          <w:sz w:val="22"/>
          <w:szCs w:val="22"/>
        </w:rPr>
        <w:t>投标人地址：</w:t>
      </w:r>
    </w:p>
    <w:p>
      <w:pPr>
        <w:pStyle w:val="47"/>
        <w:adjustRightInd w:val="0"/>
        <w:snapToGrid w:val="0"/>
        <w:spacing w:line="360" w:lineRule="auto"/>
        <w:ind w:firstLine="3520" w:firstLineChars="1600"/>
        <w:rPr>
          <w:rFonts w:ascii="Times New Roman" w:hAnsi="Times New Roman" w:eastAsia="宋体"/>
          <w:sz w:val="22"/>
          <w:szCs w:val="22"/>
        </w:rPr>
      </w:pPr>
      <w:r>
        <w:rPr>
          <w:rFonts w:hint="eastAsia" w:ascii="Times New Roman" w:hAnsi="Times New Roman" w:eastAsia="宋体"/>
          <w:sz w:val="22"/>
          <w:szCs w:val="22"/>
        </w:rPr>
        <w:t>投标人法定代表人或被授权人（签名或盖私章）</w:t>
      </w:r>
      <w:r>
        <w:rPr>
          <w:rFonts w:ascii="Times New Roman" w:hAnsi="Times New Roman" w:eastAsia="宋体"/>
          <w:sz w:val="22"/>
          <w:szCs w:val="22"/>
        </w:rPr>
        <w:t>：</w:t>
      </w:r>
    </w:p>
    <w:p>
      <w:pPr>
        <w:pStyle w:val="47"/>
        <w:adjustRightInd w:val="0"/>
        <w:snapToGrid w:val="0"/>
        <w:spacing w:line="360" w:lineRule="auto"/>
        <w:ind w:firstLine="3520" w:firstLineChars="1600"/>
        <w:rPr>
          <w:rFonts w:ascii="宋体" w:eastAsia="宋体"/>
          <w:sz w:val="22"/>
          <w:szCs w:val="22"/>
        </w:rPr>
      </w:pPr>
      <w:r>
        <w:rPr>
          <w:rFonts w:ascii="Times New Roman" w:hAnsi="Times New Roman" w:eastAsia="宋体"/>
          <w:sz w:val="22"/>
          <w:szCs w:val="22"/>
        </w:rPr>
        <w:t>日　　　期：</w:t>
      </w:r>
      <w:r>
        <w:rPr>
          <w:rFonts w:ascii="宋体" w:eastAsia="宋体"/>
          <w:sz w:val="22"/>
          <w:szCs w:val="22"/>
        </w:rPr>
        <w:t>　年　　月　　日</w:t>
      </w:r>
    </w:p>
    <w:bookmarkEnd w:id="1206"/>
    <w:p>
      <w:pPr>
        <w:pStyle w:val="5"/>
        <w:adjustRightInd w:val="0"/>
        <w:snapToGrid w:val="0"/>
        <w:spacing w:line="360" w:lineRule="auto"/>
        <w:jc w:val="center"/>
        <w:rPr>
          <w:rFonts w:ascii="宋体" w:hAnsi="宋体"/>
          <w:sz w:val="22"/>
          <w:szCs w:val="22"/>
        </w:rPr>
      </w:pPr>
      <w:bookmarkStart w:id="1212" w:name="_Toc441844117"/>
      <w:bookmarkStart w:id="1213" w:name="_Toc46502803"/>
      <w:bookmarkStart w:id="1214" w:name="_Toc28324"/>
      <w:bookmarkStart w:id="1215" w:name="_Toc913"/>
      <w:bookmarkStart w:id="1216" w:name="_Toc13300"/>
      <w:bookmarkStart w:id="1217" w:name="_Toc28153"/>
      <w:bookmarkStart w:id="1218" w:name="_Toc11758"/>
      <w:r>
        <w:rPr>
          <w:rFonts w:ascii="宋体" w:hAnsi="宋体"/>
          <w:sz w:val="22"/>
          <w:szCs w:val="22"/>
        </w:rPr>
        <w:t>2、承诺书</w:t>
      </w:r>
      <w:bookmarkEnd w:id="1212"/>
      <w:bookmarkEnd w:id="1213"/>
      <w:r>
        <w:rPr>
          <w:rFonts w:ascii="宋体" w:hAnsi="宋体"/>
          <w:sz w:val="22"/>
          <w:szCs w:val="22"/>
        </w:rPr>
        <w:cr/>
      </w:r>
      <w:bookmarkEnd w:id="1214"/>
      <w:bookmarkEnd w:id="1215"/>
      <w:bookmarkEnd w:id="1216"/>
      <w:bookmarkEnd w:id="1217"/>
      <w:bookmarkEnd w:id="1218"/>
    </w:p>
    <w:p>
      <w:pPr>
        <w:adjustRightInd w:val="0"/>
        <w:snapToGrid w:val="0"/>
        <w:spacing w:line="360" w:lineRule="auto"/>
        <w:rPr>
          <w:rFonts w:ascii="宋体" w:hAnsi="宋体"/>
          <w:sz w:val="22"/>
          <w:szCs w:val="22"/>
        </w:rPr>
      </w:pPr>
      <w:r>
        <w:rPr>
          <w:rFonts w:ascii="宋体" w:hAnsi="宋体"/>
          <w:sz w:val="22"/>
          <w:szCs w:val="22"/>
        </w:rPr>
        <w:t>致：</w:t>
      </w:r>
      <w:r>
        <w:rPr>
          <w:rFonts w:hint="eastAsia" w:ascii="宋体" w:hAnsi="宋体" w:cs="宋体"/>
          <w:i/>
          <w:sz w:val="22"/>
          <w:szCs w:val="22"/>
          <w:u w:val="single"/>
        </w:rPr>
        <w:t>（采购代理机构名称）</w:t>
      </w:r>
    </w:p>
    <w:p>
      <w:pPr>
        <w:adjustRightInd w:val="0"/>
        <w:snapToGrid w:val="0"/>
        <w:spacing w:line="360" w:lineRule="auto"/>
        <w:ind w:firstLine="420"/>
        <w:rPr>
          <w:rFonts w:ascii="宋体" w:hAnsi="宋体"/>
          <w:sz w:val="22"/>
          <w:szCs w:val="22"/>
        </w:rPr>
      </w:pPr>
      <w:r>
        <w:rPr>
          <w:rFonts w:ascii="宋体" w:hAnsi="宋体"/>
          <w:sz w:val="22"/>
          <w:szCs w:val="22"/>
        </w:rPr>
        <w:t>我方已完整阅读了项目（</w:t>
      </w:r>
      <w:r>
        <w:rPr>
          <w:rFonts w:hint="eastAsia" w:ascii="宋体" w:hAnsi="宋体"/>
          <w:sz w:val="22"/>
          <w:szCs w:val="22"/>
        </w:rPr>
        <w:t>项目</w:t>
      </w:r>
      <w:r>
        <w:rPr>
          <w:rFonts w:ascii="宋体" w:hAnsi="宋体"/>
          <w:sz w:val="22"/>
          <w:szCs w:val="22"/>
        </w:rPr>
        <w:t>编号：）招标文件的所有内容（包括澄清，以及所有已提供的参考资料和有关附件），并完全理解上述文件所表达的意思，该项目递交投标文件时间截止后，我方承诺不再对上述文件内容进行询问或质疑。</w:t>
      </w:r>
      <w:r>
        <w:rPr>
          <w:rFonts w:ascii="宋体" w:hAnsi="宋体"/>
          <w:sz w:val="22"/>
          <w:szCs w:val="22"/>
        </w:rPr>
        <w:cr/>
      </w:r>
    </w:p>
    <w:p>
      <w:pPr>
        <w:adjustRightInd w:val="0"/>
        <w:snapToGrid w:val="0"/>
        <w:spacing w:line="360" w:lineRule="auto"/>
        <w:ind w:firstLine="420"/>
        <w:rPr>
          <w:rFonts w:ascii="宋体" w:hAnsi="宋体"/>
          <w:sz w:val="22"/>
          <w:szCs w:val="22"/>
        </w:rPr>
      </w:pPr>
    </w:p>
    <w:p>
      <w:pPr>
        <w:adjustRightInd w:val="0"/>
        <w:snapToGrid w:val="0"/>
        <w:spacing w:line="360" w:lineRule="auto"/>
        <w:ind w:firstLine="420"/>
        <w:rPr>
          <w:rFonts w:ascii="宋体" w:hAnsi="宋体"/>
          <w:sz w:val="22"/>
          <w:szCs w:val="22"/>
        </w:rPr>
      </w:pPr>
    </w:p>
    <w:p>
      <w:pPr>
        <w:adjustRightInd w:val="0"/>
        <w:snapToGrid w:val="0"/>
        <w:spacing w:line="360" w:lineRule="auto"/>
        <w:ind w:firstLine="420"/>
        <w:rPr>
          <w:rFonts w:ascii="宋体" w:hAnsi="宋体"/>
          <w:sz w:val="22"/>
          <w:szCs w:val="22"/>
        </w:rPr>
      </w:pPr>
    </w:p>
    <w:p>
      <w:pPr>
        <w:pStyle w:val="47"/>
        <w:adjustRightInd w:val="0"/>
        <w:snapToGrid w:val="0"/>
        <w:spacing w:line="360" w:lineRule="auto"/>
        <w:ind w:firstLine="3520" w:firstLineChars="1600"/>
        <w:rPr>
          <w:rFonts w:ascii="宋体" w:eastAsia="宋体"/>
          <w:sz w:val="22"/>
          <w:szCs w:val="22"/>
        </w:rPr>
      </w:pPr>
      <w:r>
        <w:rPr>
          <w:rFonts w:ascii="宋体" w:eastAsia="宋体"/>
          <w:sz w:val="22"/>
          <w:szCs w:val="22"/>
        </w:rPr>
        <w:t>投标人名称（</w:t>
      </w:r>
      <w:r>
        <w:rPr>
          <w:rFonts w:hint="eastAsia" w:ascii="宋体" w:eastAsia="宋体"/>
          <w:sz w:val="22"/>
          <w:szCs w:val="22"/>
        </w:rPr>
        <w:t>加盖</w:t>
      </w:r>
      <w:r>
        <w:rPr>
          <w:rFonts w:ascii="宋体" w:eastAsia="宋体"/>
          <w:sz w:val="22"/>
          <w:szCs w:val="22"/>
        </w:rPr>
        <w:t>公章）：</w:t>
      </w:r>
    </w:p>
    <w:p>
      <w:pPr>
        <w:pStyle w:val="47"/>
        <w:adjustRightInd w:val="0"/>
        <w:snapToGrid w:val="0"/>
        <w:spacing w:line="360" w:lineRule="auto"/>
        <w:ind w:firstLine="3520" w:firstLineChars="1600"/>
        <w:rPr>
          <w:rFonts w:ascii="宋体" w:eastAsia="宋体"/>
          <w:sz w:val="22"/>
          <w:szCs w:val="22"/>
        </w:rPr>
      </w:pPr>
      <w:r>
        <w:rPr>
          <w:rFonts w:ascii="宋体" w:eastAsia="宋体"/>
          <w:sz w:val="22"/>
          <w:szCs w:val="22"/>
        </w:rPr>
        <w:t>投标人法定代表人或</w:t>
      </w:r>
      <w:r>
        <w:rPr>
          <w:rFonts w:hint="eastAsia" w:ascii="宋体" w:eastAsia="宋体"/>
          <w:sz w:val="22"/>
          <w:szCs w:val="22"/>
        </w:rPr>
        <w:t>被授权人</w:t>
      </w:r>
      <w:r>
        <w:rPr>
          <w:rFonts w:ascii="宋体" w:eastAsia="宋体"/>
          <w:sz w:val="22"/>
          <w:szCs w:val="22"/>
        </w:rPr>
        <w:t>（</w:t>
      </w:r>
      <w:r>
        <w:rPr>
          <w:rFonts w:hint="eastAsia" w:ascii="宋体" w:eastAsia="宋体"/>
          <w:sz w:val="22"/>
          <w:szCs w:val="22"/>
        </w:rPr>
        <w:t>签名或盖章</w:t>
      </w:r>
      <w:r>
        <w:rPr>
          <w:rFonts w:ascii="宋体" w:eastAsia="宋体"/>
          <w:sz w:val="22"/>
          <w:szCs w:val="22"/>
        </w:rPr>
        <w:t>）：</w:t>
      </w:r>
    </w:p>
    <w:p>
      <w:pPr>
        <w:pStyle w:val="47"/>
        <w:adjustRightInd w:val="0"/>
        <w:snapToGrid w:val="0"/>
        <w:spacing w:line="360" w:lineRule="auto"/>
        <w:ind w:firstLine="3520" w:firstLineChars="1600"/>
        <w:rPr>
          <w:rFonts w:ascii="宋体" w:eastAsia="宋体"/>
          <w:sz w:val="22"/>
          <w:szCs w:val="22"/>
        </w:rPr>
      </w:pPr>
      <w:r>
        <w:rPr>
          <w:rFonts w:ascii="宋体" w:eastAsia="宋体"/>
          <w:sz w:val="22"/>
          <w:szCs w:val="22"/>
        </w:rPr>
        <w:t>日期：　　年　　月　　日</w:t>
      </w: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widowControl/>
        <w:jc w:val="left"/>
        <w:rPr>
          <w:rFonts w:ascii="宋体" w:hAnsi="宋体" w:cs="宋体"/>
          <w:b/>
          <w:bCs/>
          <w:sz w:val="22"/>
          <w:szCs w:val="22"/>
        </w:rPr>
      </w:pPr>
      <w:bookmarkStart w:id="1219" w:name="_Toc454875055"/>
      <w:r>
        <w:rPr>
          <w:rFonts w:ascii="宋体" w:hAnsi="宋体" w:cs="宋体"/>
          <w:sz w:val="22"/>
          <w:szCs w:val="22"/>
        </w:rPr>
        <w:br w:type="page"/>
      </w:r>
    </w:p>
    <w:p>
      <w:pPr>
        <w:pStyle w:val="5"/>
        <w:jc w:val="center"/>
        <w:rPr>
          <w:rFonts w:ascii="宋体" w:hAnsi="宋体" w:cs="宋体"/>
          <w:b w:val="0"/>
          <w:sz w:val="22"/>
          <w:szCs w:val="22"/>
        </w:rPr>
      </w:pPr>
      <w:bookmarkStart w:id="1220" w:name="_Toc24536"/>
      <w:bookmarkStart w:id="1221" w:name="_Toc3717"/>
      <w:bookmarkStart w:id="1222" w:name="_Toc12280"/>
      <w:bookmarkStart w:id="1223" w:name="_Toc21730"/>
      <w:bookmarkStart w:id="1224" w:name="_Toc13687"/>
      <w:r>
        <w:rPr>
          <w:rFonts w:hint="eastAsia" w:ascii="宋体" w:hAnsi="宋体" w:cs="宋体"/>
          <w:sz w:val="22"/>
          <w:szCs w:val="22"/>
        </w:rPr>
        <w:t>3、法定代表人身份证明书</w:t>
      </w:r>
      <w:bookmarkEnd w:id="1219"/>
      <w:bookmarkEnd w:id="1220"/>
      <w:bookmarkEnd w:id="1221"/>
      <w:bookmarkEnd w:id="1222"/>
      <w:bookmarkEnd w:id="1223"/>
      <w:bookmarkEnd w:id="1224"/>
    </w:p>
    <w:p>
      <w:pPr>
        <w:spacing w:line="560" w:lineRule="exact"/>
        <w:jc w:val="center"/>
        <w:rPr>
          <w:rFonts w:ascii="宋体" w:hAnsi="宋体" w:cs="宋体"/>
          <w:b/>
          <w:sz w:val="22"/>
          <w:szCs w:val="22"/>
        </w:rPr>
      </w:pPr>
    </w:p>
    <w:p>
      <w:pPr>
        <w:spacing w:line="560" w:lineRule="exact"/>
        <w:rPr>
          <w:rFonts w:ascii="宋体" w:hAnsi="宋体" w:cs="宋体"/>
          <w:sz w:val="22"/>
          <w:szCs w:val="22"/>
        </w:rPr>
      </w:pPr>
      <w:r>
        <w:rPr>
          <w:rFonts w:hint="eastAsia" w:ascii="宋体" w:hAnsi="宋体" w:cs="宋体"/>
          <w:sz w:val="22"/>
          <w:szCs w:val="22"/>
        </w:rPr>
        <w:t>致：</w:t>
      </w:r>
      <w:r>
        <w:rPr>
          <w:rFonts w:hint="eastAsia" w:ascii="宋体" w:hAnsi="宋体" w:cs="宋体"/>
          <w:sz w:val="22"/>
          <w:szCs w:val="22"/>
          <w:u w:val="single"/>
        </w:rPr>
        <w:t xml:space="preserve">   </w:t>
      </w:r>
      <w:r>
        <w:rPr>
          <w:rFonts w:hint="eastAsia" w:ascii="宋体" w:hAnsi="宋体" w:cs="宋体"/>
          <w:i/>
          <w:sz w:val="22"/>
          <w:szCs w:val="22"/>
          <w:u w:val="single"/>
        </w:rPr>
        <w:t>（采购代理机构名称）</w:t>
      </w:r>
      <w:r>
        <w:rPr>
          <w:rFonts w:hint="eastAsia" w:ascii="宋体" w:hAnsi="宋体" w:cs="宋体"/>
          <w:sz w:val="22"/>
          <w:szCs w:val="22"/>
          <w:u w:val="single"/>
        </w:rPr>
        <w:t xml:space="preserve">     </w:t>
      </w:r>
    </w:p>
    <w:p>
      <w:pPr>
        <w:pStyle w:val="47"/>
        <w:spacing w:line="560" w:lineRule="exact"/>
        <w:ind w:firstLine="563" w:firstLineChars="256"/>
        <w:rPr>
          <w:rFonts w:ascii="宋体" w:eastAsia="宋体" w:cs="宋体"/>
          <w:sz w:val="22"/>
          <w:szCs w:val="22"/>
        </w:rPr>
      </w:pPr>
      <w:r>
        <w:rPr>
          <w:rFonts w:hint="eastAsia" w:ascii="宋体" w:eastAsia="宋体" w:cs="宋体"/>
          <w:sz w:val="22"/>
          <w:szCs w:val="22"/>
        </w:rPr>
        <w:t>本证明书声明：注册于（国家名称）的</w:t>
      </w:r>
      <w:r>
        <w:rPr>
          <w:rFonts w:hint="eastAsia" w:ascii="宋体" w:eastAsia="宋体" w:cs="宋体"/>
          <w:sz w:val="22"/>
          <w:szCs w:val="22"/>
          <w:u w:val="single"/>
        </w:rPr>
        <w:t xml:space="preserve">　     </w:t>
      </w:r>
      <w:r>
        <w:rPr>
          <w:rFonts w:hint="eastAsia" w:ascii="宋体" w:eastAsia="宋体" w:cs="宋体"/>
          <w:i/>
          <w:sz w:val="22"/>
          <w:szCs w:val="22"/>
          <w:u w:val="single"/>
        </w:rPr>
        <w:t xml:space="preserve"> （投标人名称）</w:t>
      </w:r>
      <w:r>
        <w:rPr>
          <w:rFonts w:hint="eastAsia" w:ascii="宋体" w:eastAsia="宋体" w:cs="宋体"/>
          <w:sz w:val="22"/>
          <w:szCs w:val="22"/>
          <w:u w:val="single"/>
        </w:rPr>
        <w:t xml:space="preserve">   　   </w:t>
      </w:r>
      <w:r>
        <w:rPr>
          <w:rFonts w:hint="eastAsia" w:ascii="宋体" w:eastAsia="宋体" w:cs="宋体"/>
          <w:sz w:val="22"/>
          <w:szCs w:val="22"/>
        </w:rPr>
        <w:t>在下面签字的</w:t>
      </w:r>
      <w:r>
        <w:rPr>
          <w:rFonts w:hint="eastAsia" w:ascii="宋体" w:eastAsia="宋体" w:cs="宋体"/>
          <w:sz w:val="22"/>
          <w:szCs w:val="22"/>
          <w:u w:val="single"/>
        </w:rPr>
        <w:t>　</w:t>
      </w:r>
      <w:r>
        <w:rPr>
          <w:rFonts w:hint="eastAsia" w:ascii="宋体" w:eastAsia="宋体" w:cs="宋体"/>
          <w:i/>
          <w:sz w:val="22"/>
          <w:szCs w:val="22"/>
          <w:u w:val="single"/>
        </w:rPr>
        <w:t xml:space="preserve">（法定代表人姓名、职务）  </w:t>
      </w:r>
      <w:r>
        <w:rPr>
          <w:rFonts w:hint="eastAsia" w:ascii="宋体" w:eastAsia="宋体" w:cs="宋体"/>
          <w:sz w:val="22"/>
          <w:szCs w:val="22"/>
        </w:rPr>
        <w:t>为本公司的合法代表人（</w:t>
      </w:r>
      <w:r>
        <w:rPr>
          <w:rFonts w:hint="eastAsia" w:ascii="宋体" w:eastAsia="宋体" w:cs="宋体"/>
          <w:b/>
          <w:sz w:val="22"/>
          <w:szCs w:val="22"/>
        </w:rPr>
        <w:t>相关身份证复印件须附后</w:t>
      </w:r>
      <w:r>
        <w:rPr>
          <w:rFonts w:hint="eastAsia" w:ascii="宋体" w:eastAsia="宋体" w:cs="宋体"/>
          <w:sz w:val="22"/>
          <w:szCs w:val="22"/>
        </w:rPr>
        <w:t>）。</w:t>
      </w:r>
    </w:p>
    <w:p>
      <w:pPr>
        <w:spacing w:line="560" w:lineRule="exact"/>
        <w:ind w:firstLine="440" w:firstLineChars="200"/>
        <w:rPr>
          <w:rFonts w:ascii="宋体" w:hAnsi="宋体" w:cs="宋体"/>
          <w:sz w:val="22"/>
          <w:szCs w:val="22"/>
        </w:rPr>
      </w:pPr>
      <w:r>
        <w:rPr>
          <w:rFonts w:hint="eastAsia" w:ascii="宋体" w:hAnsi="宋体" w:cs="宋体"/>
          <w:sz w:val="22"/>
          <w:szCs w:val="22"/>
        </w:rPr>
        <w:t>特此证明</w:t>
      </w:r>
    </w:p>
    <w:p>
      <w:pPr>
        <w:spacing w:line="560" w:lineRule="exact"/>
        <w:ind w:firstLine="440" w:firstLineChars="200"/>
        <w:rPr>
          <w:rFonts w:ascii="宋体" w:hAnsi="宋体" w:cs="宋体"/>
          <w:sz w:val="22"/>
          <w:szCs w:val="22"/>
        </w:rPr>
      </w:pPr>
    </w:p>
    <w:p>
      <w:pPr>
        <w:spacing w:line="560" w:lineRule="exact"/>
        <w:ind w:firstLine="440" w:firstLineChars="200"/>
        <w:rPr>
          <w:rFonts w:ascii="宋体" w:hAnsi="宋体" w:cs="宋体"/>
          <w:sz w:val="22"/>
          <w:szCs w:val="22"/>
        </w:rPr>
      </w:pPr>
    </w:p>
    <w:p>
      <w:pPr>
        <w:spacing w:line="560" w:lineRule="exact"/>
        <w:ind w:left="4320" w:leftChars="2057"/>
        <w:rPr>
          <w:rFonts w:ascii="宋体" w:hAnsi="宋体" w:cs="宋体"/>
          <w:sz w:val="22"/>
          <w:szCs w:val="22"/>
        </w:rPr>
      </w:pPr>
      <w:r>
        <w:rPr>
          <w:rFonts w:hint="eastAsia" w:ascii="宋体" w:hAnsi="宋体" w:cs="宋体"/>
          <w:sz w:val="22"/>
          <w:szCs w:val="22"/>
        </w:rPr>
        <w:t>投标人名称（公章）：</w:t>
      </w:r>
    </w:p>
    <w:p>
      <w:pPr>
        <w:spacing w:line="560" w:lineRule="exact"/>
        <w:ind w:left="4320" w:leftChars="2057"/>
        <w:rPr>
          <w:rFonts w:ascii="宋体" w:hAnsi="宋体" w:cs="宋体"/>
          <w:sz w:val="22"/>
          <w:szCs w:val="22"/>
        </w:rPr>
      </w:pPr>
      <w:r>
        <w:rPr>
          <w:rFonts w:hint="eastAsia" w:ascii="宋体" w:hAnsi="宋体" w:cs="宋体"/>
          <w:sz w:val="22"/>
          <w:szCs w:val="22"/>
        </w:rPr>
        <w:t>投标人地址：</w:t>
      </w:r>
    </w:p>
    <w:p>
      <w:pPr>
        <w:spacing w:line="560" w:lineRule="exact"/>
        <w:ind w:left="4320" w:leftChars="2057"/>
        <w:rPr>
          <w:rFonts w:ascii="宋体" w:hAnsi="宋体" w:cs="宋体"/>
          <w:sz w:val="22"/>
          <w:szCs w:val="22"/>
        </w:rPr>
      </w:pPr>
      <w:r>
        <w:rPr>
          <w:rFonts w:hint="eastAsia" w:ascii="宋体" w:hAnsi="宋体" w:cs="宋体"/>
          <w:sz w:val="22"/>
          <w:szCs w:val="22"/>
        </w:rPr>
        <w:t>法定代表人（</w:t>
      </w:r>
      <w:r>
        <w:rPr>
          <w:rFonts w:hint="eastAsia" w:ascii="宋体"/>
          <w:sz w:val="22"/>
          <w:szCs w:val="22"/>
        </w:rPr>
        <w:t>签名或盖章</w:t>
      </w:r>
      <w:r>
        <w:rPr>
          <w:rFonts w:hint="eastAsia" w:ascii="宋体" w:hAnsi="宋体" w:cs="宋体"/>
          <w:sz w:val="22"/>
          <w:szCs w:val="22"/>
        </w:rPr>
        <w:t>）：</w:t>
      </w:r>
    </w:p>
    <w:p>
      <w:pPr>
        <w:spacing w:line="560" w:lineRule="exact"/>
        <w:ind w:left="4320" w:leftChars="2057"/>
        <w:rPr>
          <w:rFonts w:ascii="宋体" w:hAnsi="宋体" w:cs="宋体"/>
          <w:sz w:val="22"/>
          <w:szCs w:val="22"/>
        </w:rPr>
      </w:pPr>
      <w:r>
        <w:rPr>
          <w:rFonts w:hint="eastAsia" w:ascii="宋体" w:hAnsi="宋体" w:cs="宋体"/>
          <w:sz w:val="22"/>
          <w:szCs w:val="22"/>
        </w:rPr>
        <w:t>职　　　务：</w:t>
      </w:r>
    </w:p>
    <w:p>
      <w:pPr>
        <w:spacing w:line="560" w:lineRule="exact"/>
        <w:ind w:left="4320" w:leftChars="2057"/>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560" w:lineRule="exact"/>
        <w:rPr>
          <w:rFonts w:ascii="宋体" w:hAnsi="宋体" w:cs="宋体"/>
          <w:sz w:val="22"/>
          <w:szCs w:val="22"/>
        </w:rPr>
      </w:pPr>
    </w:p>
    <w:p>
      <w:pPr>
        <w:pStyle w:val="5"/>
        <w:jc w:val="center"/>
        <w:rPr>
          <w:rFonts w:ascii="宋体" w:hAnsi="宋体" w:cs="宋体"/>
          <w:bCs w:val="0"/>
          <w:sz w:val="22"/>
          <w:szCs w:val="22"/>
        </w:rPr>
      </w:pPr>
      <w:bookmarkStart w:id="1225" w:name="_Toc401738104"/>
      <w:bookmarkStart w:id="1226" w:name="_Toc26718"/>
      <w:bookmarkStart w:id="1227" w:name="_Toc326689518"/>
      <w:bookmarkStart w:id="1228" w:name="_Toc4147"/>
      <w:bookmarkStart w:id="1229" w:name="_Toc395863123"/>
      <w:bookmarkStart w:id="1230" w:name="_Toc46502805"/>
      <w:bookmarkStart w:id="1231" w:name="_Toc321994783"/>
      <w:bookmarkStart w:id="1232" w:name="_Toc25889"/>
      <w:bookmarkStart w:id="1233" w:name="_Toc427232352"/>
      <w:bookmarkStart w:id="1234" w:name="_Toc26823"/>
      <w:bookmarkStart w:id="1235" w:name="_Toc441844119"/>
      <w:bookmarkStart w:id="1236" w:name="_Toc13703"/>
      <w:bookmarkStart w:id="1237" w:name="_Toc454875057"/>
      <w:r>
        <w:rPr>
          <w:rFonts w:hint="eastAsia" w:ascii="宋体" w:hAnsi="宋体" w:cs="宋体"/>
          <w:bCs w:val="0"/>
          <w:sz w:val="22"/>
          <w:szCs w:val="22"/>
        </w:rPr>
        <w:t>4、法定代表人授权委托书</w:t>
      </w:r>
      <w:bookmarkEnd w:id="1225"/>
      <w:bookmarkEnd w:id="1226"/>
      <w:bookmarkEnd w:id="1227"/>
      <w:bookmarkEnd w:id="1228"/>
      <w:bookmarkEnd w:id="1229"/>
      <w:bookmarkEnd w:id="1230"/>
      <w:bookmarkEnd w:id="1231"/>
      <w:bookmarkEnd w:id="1232"/>
      <w:bookmarkEnd w:id="1233"/>
      <w:bookmarkEnd w:id="1234"/>
      <w:bookmarkEnd w:id="1235"/>
      <w:bookmarkEnd w:id="1236"/>
    </w:p>
    <w:p>
      <w:pPr>
        <w:spacing w:line="560" w:lineRule="exact"/>
        <w:jc w:val="center"/>
        <w:rPr>
          <w:rFonts w:ascii="Times New Roman" w:hAnsi="Times New Roman"/>
          <w:b/>
          <w:sz w:val="24"/>
        </w:rPr>
      </w:pPr>
    </w:p>
    <w:p>
      <w:pPr>
        <w:spacing w:line="360" w:lineRule="auto"/>
        <w:rPr>
          <w:rFonts w:ascii="宋体" w:hAnsi="宋体"/>
          <w:sz w:val="22"/>
          <w:szCs w:val="22"/>
        </w:rPr>
      </w:pPr>
      <w:r>
        <w:rPr>
          <w:rFonts w:ascii="宋体" w:hAnsi="宋体"/>
          <w:sz w:val="22"/>
          <w:szCs w:val="22"/>
        </w:rPr>
        <w:t>致：</w:t>
      </w:r>
      <w:r>
        <w:rPr>
          <w:rFonts w:hint="eastAsia" w:ascii="宋体" w:hAnsi="宋体" w:cs="宋体"/>
          <w:i/>
          <w:sz w:val="22"/>
          <w:szCs w:val="22"/>
          <w:u w:val="single"/>
        </w:rPr>
        <w:t>（采购代理机构名称）</w:t>
      </w:r>
    </w:p>
    <w:p>
      <w:pPr>
        <w:pStyle w:val="47"/>
        <w:spacing w:line="360" w:lineRule="auto"/>
        <w:ind w:firstLine="453"/>
        <w:rPr>
          <w:rFonts w:ascii="宋体" w:eastAsia="宋体"/>
          <w:sz w:val="22"/>
          <w:szCs w:val="22"/>
        </w:rPr>
      </w:pPr>
      <w:r>
        <w:rPr>
          <w:rFonts w:ascii="宋体" w:eastAsia="宋体"/>
          <w:sz w:val="22"/>
          <w:szCs w:val="22"/>
        </w:rPr>
        <w:t>本委托书声明：在下面签字的（法定代表人姓名、职务）代表（投标人名称）委托在下面签字的（受委托人的姓名、职务）为本公司的合法代表人，就项目（</w:t>
      </w:r>
      <w:r>
        <w:rPr>
          <w:rFonts w:hint="eastAsia" w:ascii="宋体" w:eastAsia="宋体"/>
          <w:sz w:val="22"/>
          <w:szCs w:val="22"/>
        </w:rPr>
        <w:t>项目</w:t>
      </w:r>
      <w:r>
        <w:rPr>
          <w:rFonts w:ascii="宋体" w:eastAsia="宋体"/>
          <w:sz w:val="22"/>
          <w:szCs w:val="22"/>
        </w:rPr>
        <w:t>编号：）的投标及合同的执行，以我方的名义处理一切与之有关的事宜（</w:t>
      </w:r>
      <w:r>
        <w:rPr>
          <w:rFonts w:ascii="宋体" w:eastAsia="宋体"/>
          <w:b/>
          <w:sz w:val="22"/>
          <w:szCs w:val="22"/>
        </w:rPr>
        <w:t>相关身份证复印件须附后</w:t>
      </w:r>
      <w:r>
        <w:rPr>
          <w:rFonts w:ascii="宋体" w:eastAsia="宋体"/>
          <w:sz w:val="22"/>
          <w:szCs w:val="22"/>
        </w:rPr>
        <w:t>）。</w:t>
      </w:r>
    </w:p>
    <w:p>
      <w:pPr>
        <w:pStyle w:val="47"/>
        <w:spacing w:line="360" w:lineRule="auto"/>
        <w:ind w:firstLine="453"/>
        <w:rPr>
          <w:rFonts w:ascii="宋体" w:eastAsia="宋体"/>
          <w:sz w:val="22"/>
          <w:szCs w:val="22"/>
        </w:rPr>
      </w:pPr>
    </w:p>
    <w:p>
      <w:pPr>
        <w:pStyle w:val="47"/>
        <w:spacing w:line="360" w:lineRule="auto"/>
        <w:ind w:firstLine="453"/>
        <w:rPr>
          <w:rFonts w:ascii="宋体" w:eastAsia="宋体"/>
          <w:sz w:val="22"/>
          <w:szCs w:val="22"/>
        </w:rPr>
      </w:pPr>
      <w:r>
        <w:rPr>
          <w:rFonts w:ascii="宋体" w:eastAsia="宋体"/>
          <w:sz w:val="22"/>
          <w:szCs w:val="22"/>
        </w:rPr>
        <w:t>本委托书于</w:t>
      </w:r>
      <w:r>
        <w:rPr>
          <w:rFonts w:ascii="宋体" w:eastAsia="宋体"/>
          <w:sz w:val="22"/>
          <w:szCs w:val="22"/>
          <w:u w:val="single"/>
        </w:rPr>
        <w:t xml:space="preserve">　  </w:t>
      </w:r>
      <w:r>
        <w:rPr>
          <w:rFonts w:ascii="宋体" w:eastAsia="宋体"/>
          <w:sz w:val="22"/>
          <w:szCs w:val="22"/>
        </w:rPr>
        <w:t>年</w:t>
      </w:r>
      <w:r>
        <w:rPr>
          <w:rFonts w:ascii="宋体" w:eastAsia="宋体"/>
          <w:sz w:val="22"/>
          <w:szCs w:val="22"/>
          <w:u w:val="single"/>
        </w:rPr>
        <w:t xml:space="preserve">　  </w:t>
      </w:r>
      <w:r>
        <w:rPr>
          <w:rFonts w:ascii="宋体" w:eastAsia="宋体"/>
          <w:sz w:val="22"/>
          <w:szCs w:val="22"/>
        </w:rPr>
        <w:t>月</w:t>
      </w:r>
      <w:r>
        <w:rPr>
          <w:rFonts w:ascii="宋体" w:eastAsia="宋体"/>
          <w:sz w:val="22"/>
          <w:szCs w:val="22"/>
          <w:u w:val="single"/>
        </w:rPr>
        <w:t xml:space="preserve">　  </w:t>
      </w:r>
      <w:r>
        <w:rPr>
          <w:rFonts w:ascii="宋体" w:eastAsia="宋体"/>
          <w:sz w:val="22"/>
          <w:szCs w:val="22"/>
        </w:rPr>
        <w:t>日签字生效。</w:t>
      </w:r>
    </w:p>
    <w:p>
      <w:pPr>
        <w:pStyle w:val="47"/>
        <w:spacing w:line="360" w:lineRule="auto"/>
        <w:ind w:firstLine="453"/>
        <w:rPr>
          <w:rFonts w:ascii="宋体" w:eastAsia="宋体"/>
          <w:sz w:val="22"/>
          <w:szCs w:val="22"/>
        </w:rPr>
      </w:pPr>
    </w:p>
    <w:p>
      <w:pPr>
        <w:pStyle w:val="47"/>
        <w:spacing w:line="360" w:lineRule="auto"/>
        <w:ind w:firstLine="3520" w:firstLineChars="1600"/>
        <w:rPr>
          <w:rFonts w:ascii="宋体" w:eastAsia="宋体"/>
          <w:sz w:val="22"/>
          <w:szCs w:val="22"/>
        </w:rPr>
      </w:pPr>
      <w:r>
        <w:rPr>
          <w:rFonts w:ascii="宋体" w:eastAsia="宋体"/>
          <w:sz w:val="22"/>
          <w:szCs w:val="22"/>
        </w:rPr>
        <w:t>投标人名称（</w:t>
      </w:r>
      <w:r>
        <w:rPr>
          <w:rFonts w:hint="eastAsia" w:ascii="宋体" w:eastAsia="宋体"/>
          <w:sz w:val="22"/>
          <w:szCs w:val="22"/>
        </w:rPr>
        <w:t>加盖</w:t>
      </w:r>
      <w:r>
        <w:rPr>
          <w:rFonts w:ascii="宋体" w:eastAsia="宋体"/>
          <w:sz w:val="22"/>
          <w:szCs w:val="22"/>
        </w:rPr>
        <w:t>公章）：</w:t>
      </w:r>
    </w:p>
    <w:p>
      <w:pPr>
        <w:pStyle w:val="47"/>
        <w:spacing w:line="360" w:lineRule="auto"/>
        <w:ind w:firstLine="3520" w:firstLineChars="1600"/>
        <w:rPr>
          <w:rFonts w:ascii="宋体" w:eastAsia="宋体"/>
          <w:sz w:val="22"/>
          <w:szCs w:val="22"/>
        </w:rPr>
      </w:pPr>
      <w:r>
        <w:rPr>
          <w:rFonts w:ascii="宋体" w:eastAsia="宋体"/>
          <w:sz w:val="22"/>
          <w:szCs w:val="22"/>
        </w:rPr>
        <w:t>投标人地址：</w:t>
      </w:r>
    </w:p>
    <w:p>
      <w:pPr>
        <w:pStyle w:val="47"/>
        <w:spacing w:line="360" w:lineRule="auto"/>
        <w:ind w:firstLine="3520" w:firstLineChars="1600"/>
        <w:rPr>
          <w:rFonts w:ascii="宋体" w:eastAsia="宋体"/>
          <w:sz w:val="22"/>
          <w:szCs w:val="22"/>
        </w:rPr>
      </w:pPr>
      <w:r>
        <w:rPr>
          <w:rFonts w:ascii="宋体" w:eastAsia="宋体"/>
          <w:sz w:val="22"/>
          <w:szCs w:val="22"/>
        </w:rPr>
        <w:t>法定代表人（</w:t>
      </w:r>
      <w:r>
        <w:rPr>
          <w:rFonts w:hint="eastAsia" w:ascii="宋体" w:eastAsia="宋体"/>
          <w:sz w:val="22"/>
          <w:szCs w:val="22"/>
        </w:rPr>
        <w:t>签名或盖章</w:t>
      </w:r>
      <w:r>
        <w:rPr>
          <w:rFonts w:ascii="宋体" w:eastAsia="宋体"/>
          <w:sz w:val="22"/>
          <w:szCs w:val="22"/>
        </w:rPr>
        <w:t>）：</w:t>
      </w:r>
    </w:p>
    <w:p>
      <w:pPr>
        <w:pStyle w:val="47"/>
        <w:spacing w:line="360" w:lineRule="auto"/>
        <w:ind w:firstLine="3520" w:firstLineChars="1600"/>
        <w:rPr>
          <w:rFonts w:ascii="宋体" w:eastAsia="宋体"/>
          <w:sz w:val="22"/>
          <w:szCs w:val="22"/>
        </w:rPr>
      </w:pPr>
      <w:r>
        <w:rPr>
          <w:rFonts w:ascii="宋体" w:eastAsia="宋体"/>
          <w:sz w:val="22"/>
          <w:szCs w:val="22"/>
        </w:rPr>
        <w:t>职　　　务：</w:t>
      </w:r>
    </w:p>
    <w:p>
      <w:pPr>
        <w:pStyle w:val="47"/>
        <w:spacing w:line="360" w:lineRule="auto"/>
        <w:ind w:firstLine="3520" w:firstLineChars="1600"/>
        <w:rPr>
          <w:rFonts w:ascii="宋体" w:eastAsia="宋体"/>
          <w:sz w:val="22"/>
          <w:szCs w:val="22"/>
        </w:rPr>
      </w:pPr>
      <w:r>
        <w:rPr>
          <w:rFonts w:hint="eastAsia" w:ascii="宋体" w:eastAsia="宋体"/>
          <w:sz w:val="22"/>
          <w:szCs w:val="22"/>
        </w:rPr>
        <w:t>被授权</w:t>
      </w:r>
      <w:r>
        <w:rPr>
          <w:rFonts w:ascii="宋体" w:eastAsia="宋体"/>
          <w:sz w:val="22"/>
          <w:szCs w:val="22"/>
        </w:rPr>
        <w:t>人（</w:t>
      </w:r>
      <w:r>
        <w:rPr>
          <w:rFonts w:hint="eastAsia" w:ascii="宋体" w:eastAsia="宋体"/>
          <w:sz w:val="22"/>
          <w:szCs w:val="22"/>
        </w:rPr>
        <w:t>签名或盖章</w:t>
      </w:r>
      <w:r>
        <w:rPr>
          <w:rFonts w:ascii="宋体" w:eastAsia="宋体"/>
          <w:sz w:val="22"/>
          <w:szCs w:val="22"/>
        </w:rPr>
        <w:t>）：</w:t>
      </w:r>
    </w:p>
    <w:p>
      <w:pPr>
        <w:pStyle w:val="47"/>
        <w:spacing w:line="360" w:lineRule="auto"/>
        <w:ind w:firstLine="3520" w:firstLineChars="1600"/>
        <w:rPr>
          <w:rFonts w:ascii="宋体" w:eastAsia="宋体"/>
          <w:sz w:val="22"/>
          <w:szCs w:val="22"/>
        </w:rPr>
      </w:pPr>
      <w:r>
        <w:rPr>
          <w:rFonts w:ascii="宋体" w:eastAsia="宋体"/>
          <w:sz w:val="22"/>
          <w:szCs w:val="22"/>
        </w:rPr>
        <w:t>职　　　务：</w:t>
      </w:r>
    </w:p>
    <w:p>
      <w:pPr>
        <w:pStyle w:val="47"/>
        <w:spacing w:line="360" w:lineRule="auto"/>
        <w:ind w:firstLine="453"/>
        <w:rPr>
          <w:rFonts w:ascii="宋体" w:eastAsia="宋体"/>
          <w:sz w:val="22"/>
          <w:szCs w:val="22"/>
        </w:rPr>
      </w:pPr>
    </w:p>
    <w:p>
      <w:pPr>
        <w:spacing w:line="360" w:lineRule="auto"/>
        <w:rPr>
          <w:rFonts w:ascii="宋体" w:hAnsi="宋体"/>
          <w:sz w:val="22"/>
          <w:szCs w:val="22"/>
        </w:rPr>
      </w:pPr>
      <w:r>
        <w:rPr>
          <w:rFonts w:ascii="宋体" w:hAnsi="宋体"/>
          <w:sz w:val="22"/>
          <w:szCs w:val="22"/>
        </w:rPr>
        <w:t>　　　　　　</w:t>
      </w:r>
    </w:p>
    <w:p>
      <w:pPr>
        <w:spacing w:line="360" w:lineRule="auto"/>
        <w:rPr>
          <w:rFonts w:ascii="宋体" w:hAnsi="宋体"/>
          <w:b/>
          <w:sz w:val="22"/>
          <w:szCs w:val="22"/>
        </w:rPr>
      </w:pPr>
      <w:r>
        <w:rPr>
          <w:rFonts w:ascii="宋体" w:hAnsi="宋体"/>
          <w:b/>
          <w:sz w:val="22"/>
          <w:szCs w:val="22"/>
        </w:rPr>
        <w:t>注：如法定代表人投标不需附</w:t>
      </w:r>
      <w:r>
        <w:rPr>
          <w:rFonts w:hint="eastAsia" w:ascii="宋体" w:hAnsi="宋体" w:cs="宋体"/>
          <w:b/>
          <w:sz w:val="22"/>
          <w:szCs w:val="22"/>
        </w:rPr>
        <w:t>此委托书</w:t>
      </w:r>
      <w:r>
        <w:rPr>
          <w:rFonts w:ascii="宋体" w:hAnsi="宋体"/>
          <w:b/>
          <w:sz w:val="22"/>
          <w:szCs w:val="22"/>
        </w:rPr>
        <w:t>。</w:t>
      </w:r>
    </w:p>
    <w:p>
      <w:pPr>
        <w:spacing w:line="360" w:lineRule="auto"/>
        <w:rPr>
          <w:rFonts w:ascii="宋体" w:hAnsi="宋体"/>
          <w:b/>
          <w:sz w:val="22"/>
          <w:szCs w:val="22"/>
        </w:rPr>
      </w:pPr>
    </w:p>
    <w:p>
      <w:pPr>
        <w:widowControl/>
        <w:jc w:val="left"/>
        <w:rPr>
          <w:rFonts w:ascii="宋体" w:hAnsi="宋体"/>
          <w:b/>
          <w:bCs/>
          <w:sz w:val="22"/>
          <w:szCs w:val="22"/>
        </w:rPr>
      </w:pPr>
      <w:r>
        <w:rPr>
          <w:rFonts w:ascii="宋体" w:hAnsi="宋体"/>
          <w:sz w:val="22"/>
          <w:szCs w:val="22"/>
        </w:rPr>
        <w:br w:type="page"/>
      </w:r>
    </w:p>
    <w:bookmarkEnd w:id="1237"/>
    <w:p>
      <w:pPr>
        <w:pStyle w:val="5"/>
        <w:spacing w:line="360" w:lineRule="auto"/>
        <w:jc w:val="center"/>
        <w:rPr>
          <w:rFonts w:ascii="宋体" w:hAnsi="宋体"/>
          <w:sz w:val="22"/>
          <w:szCs w:val="22"/>
        </w:rPr>
      </w:pPr>
      <w:bookmarkStart w:id="1238" w:name="_Toc23685"/>
      <w:bookmarkStart w:id="1239" w:name="_Toc2722"/>
      <w:bookmarkStart w:id="1240" w:name="_Toc25408"/>
      <w:bookmarkStart w:id="1241" w:name="_Toc22986"/>
      <w:bookmarkStart w:id="1242" w:name="_Toc32133"/>
      <w:bookmarkStart w:id="1243" w:name="_Toc46502806"/>
      <w:r>
        <w:rPr>
          <w:rFonts w:ascii="宋体" w:hAnsi="宋体"/>
          <w:sz w:val="22"/>
          <w:szCs w:val="22"/>
        </w:rPr>
        <w:t>5、资格文件声明函</w:t>
      </w:r>
      <w:bookmarkEnd w:id="1238"/>
      <w:bookmarkEnd w:id="1239"/>
      <w:bookmarkEnd w:id="1240"/>
      <w:bookmarkEnd w:id="1241"/>
      <w:bookmarkEnd w:id="1242"/>
      <w:bookmarkEnd w:id="1243"/>
    </w:p>
    <w:p>
      <w:pPr>
        <w:pStyle w:val="14"/>
        <w:spacing w:line="360" w:lineRule="auto"/>
        <w:jc w:val="center"/>
        <w:rPr>
          <w:rFonts w:hAnsi="宋体"/>
          <w:sz w:val="22"/>
        </w:rPr>
      </w:pPr>
    </w:p>
    <w:p>
      <w:pPr>
        <w:pStyle w:val="14"/>
        <w:spacing w:line="360" w:lineRule="auto"/>
        <w:rPr>
          <w:rFonts w:hAnsi="宋体"/>
          <w:sz w:val="22"/>
        </w:rPr>
      </w:pPr>
      <w:r>
        <w:rPr>
          <w:rFonts w:hAnsi="宋体"/>
          <w:sz w:val="22"/>
        </w:rPr>
        <w:t>致:</w:t>
      </w:r>
      <w:r>
        <w:rPr>
          <w:rFonts w:hint="eastAsia" w:hAnsi="宋体" w:cs="宋体"/>
          <w:i/>
          <w:sz w:val="22"/>
          <w:u w:val="single"/>
        </w:rPr>
        <w:t>（采购代理机构名称）</w:t>
      </w:r>
    </w:p>
    <w:p>
      <w:pPr>
        <w:pStyle w:val="14"/>
        <w:spacing w:line="360" w:lineRule="auto"/>
        <w:rPr>
          <w:rFonts w:hAnsi="宋体"/>
          <w:sz w:val="22"/>
        </w:rPr>
      </w:pPr>
    </w:p>
    <w:p>
      <w:pPr>
        <w:spacing w:line="360" w:lineRule="auto"/>
        <w:ind w:firstLine="440" w:firstLineChars="200"/>
        <w:rPr>
          <w:rFonts w:ascii="宋体" w:hAnsi="宋体"/>
          <w:sz w:val="22"/>
          <w:szCs w:val="22"/>
        </w:rPr>
      </w:pPr>
      <w:r>
        <w:rPr>
          <w:rFonts w:ascii="宋体" w:hAnsi="宋体"/>
          <w:sz w:val="22"/>
          <w:szCs w:val="22"/>
        </w:rPr>
        <w:t>关于贵方</w:t>
      </w:r>
      <w:r>
        <w:rPr>
          <w:rFonts w:hint="eastAsia" w:ascii="宋体" w:hAnsi="宋体"/>
          <w:sz w:val="22"/>
          <w:szCs w:val="22"/>
        </w:rPr>
        <w:t xml:space="preserve">  </w:t>
      </w:r>
      <w:r>
        <w:rPr>
          <w:rFonts w:ascii="宋体" w:hAnsi="宋体"/>
          <w:sz w:val="22"/>
          <w:szCs w:val="22"/>
        </w:rPr>
        <w:t>年</w:t>
      </w:r>
      <w:r>
        <w:rPr>
          <w:rFonts w:hint="eastAsia" w:ascii="宋体" w:hAnsi="宋体"/>
          <w:sz w:val="22"/>
          <w:szCs w:val="22"/>
        </w:rPr>
        <w:t xml:space="preserve">  </w:t>
      </w:r>
      <w:r>
        <w:rPr>
          <w:rFonts w:ascii="宋体" w:hAnsi="宋体"/>
          <w:sz w:val="22"/>
          <w:szCs w:val="22"/>
        </w:rPr>
        <w:t>月</w:t>
      </w:r>
      <w:r>
        <w:rPr>
          <w:rFonts w:hint="eastAsia" w:ascii="宋体" w:hAnsi="宋体"/>
          <w:sz w:val="22"/>
          <w:szCs w:val="22"/>
        </w:rPr>
        <w:t xml:space="preserve">  </w:t>
      </w:r>
      <w:r>
        <w:rPr>
          <w:rFonts w:ascii="宋体" w:hAnsi="宋体"/>
          <w:sz w:val="22"/>
          <w:szCs w:val="22"/>
        </w:rPr>
        <w:t>日</w:t>
      </w:r>
      <w:r>
        <w:rPr>
          <w:rFonts w:hint="eastAsia" w:ascii="宋体" w:hAnsi="宋体"/>
          <w:sz w:val="22"/>
          <w:szCs w:val="22"/>
        </w:rPr>
        <w:t xml:space="preserve">    </w:t>
      </w:r>
      <w:r>
        <w:rPr>
          <w:rFonts w:hint="eastAsia" w:ascii="宋体"/>
          <w:sz w:val="22"/>
          <w:szCs w:val="22"/>
          <w:u w:val="single"/>
        </w:rPr>
        <w:t>项目</w:t>
      </w:r>
      <w:r>
        <w:rPr>
          <w:rFonts w:ascii="宋体" w:hAnsi="宋体"/>
          <w:sz w:val="22"/>
          <w:szCs w:val="22"/>
        </w:rPr>
        <w:t>（</w:t>
      </w:r>
      <w:r>
        <w:rPr>
          <w:rFonts w:hint="eastAsia" w:ascii="宋体" w:hAnsi="宋体"/>
          <w:sz w:val="22"/>
          <w:szCs w:val="22"/>
        </w:rPr>
        <w:t>项目</w:t>
      </w:r>
      <w:r>
        <w:rPr>
          <w:rFonts w:ascii="宋体" w:hAnsi="宋体"/>
          <w:sz w:val="22"/>
          <w:szCs w:val="22"/>
        </w:rPr>
        <w:t>编号：</w:t>
      </w:r>
      <w:r>
        <w:rPr>
          <w:rFonts w:hint="eastAsia" w:ascii="宋体" w:hAnsi="宋体" w:cs="宋体"/>
          <w:sz w:val="22"/>
          <w:szCs w:val="22"/>
          <w:lang w:val="zh-CN"/>
        </w:rPr>
        <w:t>SL-CG2022028</w:t>
      </w:r>
      <w:r>
        <w:rPr>
          <w:rFonts w:ascii="宋体" w:hAnsi="宋体"/>
          <w:sz w:val="22"/>
          <w:szCs w:val="22"/>
        </w:rPr>
        <w:t>）的招标邀请，本签字人</w:t>
      </w:r>
      <w:r>
        <w:rPr>
          <w:rFonts w:ascii="宋体" w:hAnsi="宋体"/>
          <w:sz w:val="22"/>
          <w:szCs w:val="22"/>
          <w:u w:val="single"/>
        </w:rPr>
        <w:t>(法定代表人)</w:t>
      </w:r>
      <w:r>
        <w:rPr>
          <w:rFonts w:ascii="宋体" w:hAnsi="宋体"/>
          <w:sz w:val="22"/>
          <w:szCs w:val="22"/>
        </w:rPr>
        <w:t>愿意参加投标,提供招标</w:t>
      </w:r>
      <w:r>
        <w:rPr>
          <w:rFonts w:hint="eastAsia" w:ascii="宋体" w:hAnsi="宋体"/>
          <w:sz w:val="22"/>
          <w:szCs w:val="22"/>
        </w:rPr>
        <w:t>文件</w:t>
      </w:r>
      <w:r>
        <w:rPr>
          <w:rFonts w:ascii="宋体" w:hAnsi="宋体"/>
          <w:sz w:val="22"/>
          <w:szCs w:val="22"/>
        </w:rPr>
        <w:t>中规定的</w:t>
      </w:r>
      <w:r>
        <w:rPr>
          <w:rFonts w:hint="eastAsia" w:ascii="宋体" w:hAnsi="宋体"/>
          <w:sz w:val="22"/>
          <w:szCs w:val="22"/>
        </w:rPr>
        <w:t>服务</w:t>
      </w:r>
      <w:r>
        <w:rPr>
          <w:rFonts w:ascii="宋体" w:hAnsi="宋体"/>
          <w:sz w:val="22"/>
          <w:szCs w:val="22"/>
        </w:rPr>
        <w:t>项目，并证明提交的资格文件和说明是准确、真实、有效的，并已清楚招标文件的要求及有关文件规定。并承诺在本次招标采购活动中，如有违法、违规、弄虚作假行为，所造成的损失、不良后果及法律责任，一律由我公司（企业）承担。</w:t>
      </w:r>
    </w:p>
    <w:p>
      <w:pPr>
        <w:spacing w:line="360" w:lineRule="auto"/>
        <w:rPr>
          <w:rFonts w:ascii="宋体" w:hAnsi="宋体"/>
          <w:sz w:val="22"/>
          <w:szCs w:val="22"/>
        </w:rPr>
      </w:pPr>
      <w:r>
        <w:rPr>
          <w:rFonts w:ascii="宋体" w:hAnsi="宋体"/>
          <w:sz w:val="22"/>
          <w:szCs w:val="22"/>
        </w:rPr>
        <w:t xml:space="preserve">    特此声明！</w:t>
      </w:r>
    </w:p>
    <w:p>
      <w:pPr>
        <w:pStyle w:val="14"/>
        <w:spacing w:line="360" w:lineRule="auto"/>
        <w:rPr>
          <w:rFonts w:hAnsi="宋体"/>
          <w:sz w:val="22"/>
        </w:rPr>
      </w:pPr>
    </w:p>
    <w:p>
      <w:pPr>
        <w:pStyle w:val="14"/>
        <w:spacing w:line="360" w:lineRule="auto"/>
        <w:rPr>
          <w:rFonts w:hAnsi="宋体"/>
          <w:sz w:val="22"/>
        </w:rPr>
      </w:pPr>
    </w:p>
    <w:p>
      <w:pPr>
        <w:pStyle w:val="14"/>
        <w:spacing w:line="360" w:lineRule="auto"/>
        <w:rPr>
          <w:rFonts w:hAnsi="宋体"/>
          <w:sz w:val="22"/>
        </w:rPr>
      </w:pPr>
    </w:p>
    <w:p>
      <w:pPr>
        <w:pStyle w:val="14"/>
        <w:spacing w:line="360" w:lineRule="auto"/>
        <w:rPr>
          <w:rFonts w:hAnsi="宋体"/>
          <w:sz w:val="22"/>
        </w:rPr>
      </w:pPr>
    </w:p>
    <w:p>
      <w:pPr>
        <w:pStyle w:val="14"/>
        <w:spacing w:line="360" w:lineRule="auto"/>
        <w:rPr>
          <w:rFonts w:hAnsi="宋体"/>
          <w:sz w:val="22"/>
        </w:rPr>
      </w:pPr>
    </w:p>
    <w:p>
      <w:pPr>
        <w:pStyle w:val="14"/>
        <w:spacing w:line="360" w:lineRule="auto"/>
        <w:rPr>
          <w:rFonts w:hAnsi="宋体"/>
          <w:sz w:val="22"/>
        </w:rPr>
      </w:pPr>
    </w:p>
    <w:p>
      <w:pPr>
        <w:pStyle w:val="14"/>
        <w:spacing w:line="360" w:lineRule="auto"/>
        <w:rPr>
          <w:rFonts w:hAnsi="宋体"/>
          <w:sz w:val="22"/>
        </w:rPr>
      </w:pPr>
    </w:p>
    <w:p>
      <w:pPr>
        <w:pStyle w:val="47"/>
        <w:spacing w:line="360" w:lineRule="auto"/>
        <w:ind w:firstLine="3964" w:firstLineChars="1802"/>
        <w:rPr>
          <w:rFonts w:ascii="宋体" w:eastAsia="宋体"/>
          <w:sz w:val="22"/>
          <w:szCs w:val="22"/>
          <w:u w:val="single"/>
        </w:rPr>
      </w:pPr>
      <w:r>
        <w:rPr>
          <w:rFonts w:hint="eastAsia" w:ascii="宋体" w:eastAsia="宋体"/>
          <w:sz w:val="22"/>
          <w:szCs w:val="22"/>
        </w:rPr>
        <w:t xml:space="preserve">投标人名称（加盖公章）： </w:t>
      </w:r>
    </w:p>
    <w:p>
      <w:pPr>
        <w:pStyle w:val="47"/>
        <w:spacing w:line="360" w:lineRule="auto"/>
        <w:ind w:firstLine="3964" w:firstLineChars="1802"/>
        <w:rPr>
          <w:rFonts w:ascii="宋体" w:eastAsia="宋体"/>
          <w:sz w:val="22"/>
          <w:szCs w:val="22"/>
        </w:rPr>
      </w:pPr>
      <w:r>
        <w:rPr>
          <w:rFonts w:hint="eastAsia" w:ascii="宋体" w:eastAsia="宋体"/>
          <w:sz w:val="22"/>
          <w:szCs w:val="22"/>
        </w:rPr>
        <w:t>投标人法定代表人或被授权人（签名或盖私章）：</w:t>
      </w:r>
    </w:p>
    <w:p>
      <w:pPr>
        <w:pStyle w:val="47"/>
        <w:spacing w:line="360" w:lineRule="auto"/>
        <w:ind w:firstLine="3964" w:firstLineChars="1802"/>
        <w:rPr>
          <w:rFonts w:ascii="宋体" w:eastAsia="宋体"/>
          <w:sz w:val="22"/>
          <w:szCs w:val="22"/>
          <w:u w:val="single"/>
        </w:rPr>
      </w:pPr>
      <w:r>
        <w:rPr>
          <w:rFonts w:hint="eastAsia" w:ascii="宋体" w:eastAsia="宋体"/>
          <w:sz w:val="22"/>
          <w:szCs w:val="22"/>
        </w:rPr>
        <w:t>日期：</w:t>
      </w:r>
      <w:r>
        <w:rPr>
          <w:rFonts w:hint="eastAsia" w:ascii="宋体" w:eastAsia="宋体"/>
          <w:sz w:val="22"/>
          <w:szCs w:val="22"/>
          <w:u w:val="single"/>
        </w:rPr>
        <w:t xml:space="preserve">     年     月      日</w:t>
      </w:r>
    </w:p>
    <w:p>
      <w:pPr>
        <w:spacing w:line="560" w:lineRule="exact"/>
        <w:rPr>
          <w:rFonts w:ascii="宋体" w:hAnsi="宋体" w:cs="宋体"/>
          <w:sz w:val="22"/>
          <w:szCs w:val="22"/>
        </w:rPr>
      </w:pPr>
    </w:p>
    <w:p>
      <w:pPr>
        <w:spacing w:line="560" w:lineRule="exact"/>
        <w:rPr>
          <w:rFonts w:ascii="宋体" w:hAnsi="宋体" w:cs="宋体"/>
          <w:sz w:val="22"/>
          <w:szCs w:val="22"/>
        </w:rPr>
      </w:pPr>
    </w:p>
    <w:p>
      <w:pPr>
        <w:spacing w:line="560" w:lineRule="exact"/>
        <w:rPr>
          <w:rFonts w:ascii="宋体" w:hAnsi="宋体" w:cs="宋体"/>
          <w:sz w:val="22"/>
          <w:szCs w:val="22"/>
        </w:rPr>
      </w:pPr>
    </w:p>
    <w:p>
      <w:pPr>
        <w:spacing w:line="560" w:lineRule="exact"/>
        <w:rPr>
          <w:rFonts w:ascii="宋体" w:hAnsi="宋体" w:cs="宋体"/>
          <w:sz w:val="22"/>
          <w:szCs w:val="22"/>
        </w:rPr>
      </w:pPr>
    </w:p>
    <w:p>
      <w:pPr>
        <w:spacing w:line="560" w:lineRule="exact"/>
        <w:rPr>
          <w:rFonts w:ascii="宋体" w:hAnsi="宋体" w:cs="宋体"/>
          <w:sz w:val="22"/>
          <w:szCs w:val="22"/>
        </w:rPr>
      </w:pPr>
    </w:p>
    <w:p>
      <w:pPr>
        <w:spacing w:line="560" w:lineRule="exact"/>
        <w:rPr>
          <w:rFonts w:ascii="宋体" w:hAnsi="宋体" w:cs="宋体"/>
          <w:sz w:val="22"/>
          <w:szCs w:val="22"/>
        </w:rPr>
      </w:pPr>
    </w:p>
    <w:p>
      <w:pPr>
        <w:rPr>
          <w:rFonts w:ascii="宋体" w:hAnsi="宋体"/>
          <w:sz w:val="22"/>
          <w:szCs w:val="22"/>
        </w:rPr>
      </w:pPr>
      <w:bookmarkStart w:id="1244" w:name="_Toc46502807"/>
      <w:r>
        <w:rPr>
          <w:rFonts w:ascii="宋体" w:hAnsi="宋体"/>
          <w:sz w:val="22"/>
          <w:szCs w:val="22"/>
        </w:rPr>
        <w:br w:type="page"/>
      </w:r>
    </w:p>
    <w:p>
      <w:pPr>
        <w:pStyle w:val="5"/>
        <w:spacing w:line="360" w:lineRule="auto"/>
        <w:jc w:val="center"/>
        <w:rPr>
          <w:rFonts w:ascii="宋体" w:hAnsi="宋体"/>
          <w:sz w:val="22"/>
          <w:szCs w:val="22"/>
        </w:rPr>
      </w:pPr>
      <w:bookmarkStart w:id="1245" w:name="_Toc13393"/>
      <w:bookmarkStart w:id="1246" w:name="_Toc15259"/>
      <w:bookmarkStart w:id="1247" w:name="_Toc6050"/>
      <w:bookmarkStart w:id="1248" w:name="_Toc16930"/>
      <w:bookmarkStart w:id="1249" w:name="_Toc10313"/>
      <w:r>
        <w:rPr>
          <w:rFonts w:ascii="宋体" w:hAnsi="宋体"/>
          <w:sz w:val="22"/>
          <w:szCs w:val="22"/>
        </w:rPr>
        <w:t>6、投标单位基本情况</w:t>
      </w:r>
      <w:r>
        <w:rPr>
          <w:rFonts w:hint="eastAsia" w:ascii="宋体" w:hAnsi="宋体"/>
          <w:sz w:val="22"/>
          <w:szCs w:val="22"/>
        </w:rPr>
        <w:t>、简介</w:t>
      </w:r>
      <w:bookmarkEnd w:id="1244"/>
      <w:bookmarkEnd w:id="1245"/>
      <w:bookmarkEnd w:id="1246"/>
      <w:bookmarkEnd w:id="1247"/>
      <w:bookmarkEnd w:id="1248"/>
      <w:bookmarkEnd w:id="1249"/>
    </w:p>
    <w:tbl>
      <w:tblPr>
        <w:tblStyle w:val="34"/>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1794"/>
        <w:gridCol w:w="860"/>
        <w:gridCol w:w="934"/>
        <w:gridCol w:w="1329"/>
        <w:gridCol w:w="465"/>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Align w:val="bottom"/>
          </w:tcPr>
          <w:p>
            <w:pPr>
              <w:pStyle w:val="14"/>
              <w:adjustRightInd w:val="0"/>
              <w:snapToGrid w:val="0"/>
              <w:spacing w:line="360" w:lineRule="auto"/>
              <w:jc w:val="center"/>
              <w:rPr>
                <w:rFonts w:hAnsi="宋体" w:cs="宋体"/>
                <w:snapToGrid w:val="0"/>
                <w:sz w:val="22"/>
              </w:rPr>
            </w:pPr>
            <w:r>
              <w:rPr>
                <w:rFonts w:hint="eastAsia" w:hAnsi="宋体" w:cs="宋体"/>
                <w:snapToGrid w:val="0"/>
                <w:sz w:val="22"/>
              </w:rPr>
              <w:t>投标人全称</w:t>
            </w:r>
          </w:p>
        </w:tc>
        <w:tc>
          <w:tcPr>
            <w:tcW w:w="1472" w:type="pct"/>
            <w:gridSpan w:val="2"/>
            <w:vAlign w:val="bottom"/>
          </w:tcPr>
          <w:p>
            <w:pPr>
              <w:pStyle w:val="14"/>
              <w:adjustRightInd w:val="0"/>
              <w:snapToGrid w:val="0"/>
              <w:spacing w:line="360" w:lineRule="auto"/>
              <w:jc w:val="center"/>
              <w:rPr>
                <w:rFonts w:hAnsi="宋体" w:cs="宋体"/>
                <w:snapToGrid w:val="0"/>
                <w:sz w:val="22"/>
              </w:rPr>
            </w:pPr>
          </w:p>
        </w:tc>
        <w:tc>
          <w:tcPr>
            <w:tcW w:w="1255" w:type="pct"/>
            <w:gridSpan w:val="2"/>
            <w:vAlign w:val="bottom"/>
          </w:tcPr>
          <w:p>
            <w:pPr>
              <w:pStyle w:val="14"/>
              <w:adjustRightInd w:val="0"/>
              <w:snapToGrid w:val="0"/>
              <w:spacing w:line="360" w:lineRule="auto"/>
              <w:jc w:val="center"/>
              <w:rPr>
                <w:rFonts w:hAnsi="宋体" w:cs="宋体"/>
                <w:snapToGrid w:val="0"/>
                <w:sz w:val="22"/>
              </w:rPr>
            </w:pPr>
            <w:r>
              <w:rPr>
                <w:rFonts w:hint="eastAsia" w:hAnsi="宋体" w:cs="宋体"/>
                <w:snapToGrid w:val="0"/>
                <w:sz w:val="22"/>
              </w:rPr>
              <w:t>企业性质</w:t>
            </w:r>
          </w:p>
        </w:tc>
        <w:tc>
          <w:tcPr>
            <w:tcW w:w="1255" w:type="pct"/>
            <w:gridSpan w:val="2"/>
            <w:vAlign w:val="center"/>
          </w:tcPr>
          <w:p>
            <w:pPr>
              <w:pStyle w:val="14"/>
              <w:adjustRightInd w:val="0"/>
              <w:snapToGrid w:val="0"/>
              <w:spacing w:line="360" w:lineRule="auto"/>
              <w:jc w:val="center"/>
              <w:rPr>
                <w:rFonts w:hAnsi="宋体" w:cs="宋体"/>
                <w:snapToGrid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Align w:val="bottom"/>
          </w:tcPr>
          <w:p>
            <w:pPr>
              <w:pStyle w:val="14"/>
              <w:adjustRightInd w:val="0"/>
              <w:snapToGrid w:val="0"/>
              <w:spacing w:line="360" w:lineRule="auto"/>
              <w:jc w:val="center"/>
              <w:rPr>
                <w:rFonts w:hAnsi="宋体" w:cs="宋体"/>
                <w:snapToGrid w:val="0"/>
                <w:sz w:val="22"/>
              </w:rPr>
            </w:pPr>
            <w:r>
              <w:rPr>
                <w:rFonts w:hint="eastAsia" w:hAnsi="宋体" w:cs="宋体"/>
                <w:snapToGrid w:val="0"/>
                <w:sz w:val="22"/>
              </w:rPr>
              <w:t>地址</w:t>
            </w:r>
          </w:p>
        </w:tc>
        <w:tc>
          <w:tcPr>
            <w:tcW w:w="1472" w:type="pct"/>
            <w:gridSpan w:val="2"/>
            <w:vAlign w:val="bottom"/>
          </w:tcPr>
          <w:p>
            <w:pPr>
              <w:pStyle w:val="14"/>
              <w:adjustRightInd w:val="0"/>
              <w:snapToGrid w:val="0"/>
              <w:spacing w:line="360" w:lineRule="auto"/>
              <w:jc w:val="center"/>
              <w:rPr>
                <w:rFonts w:hAnsi="宋体" w:cs="宋体"/>
                <w:snapToGrid w:val="0"/>
                <w:sz w:val="22"/>
              </w:rPr>
            </w:pPr>
          </w:p>
        </w:tc>
        <w:tc>
          <w:tcPr>
            <w:tcW w:w="1255" w:type="pct"/>
            <w:gridSpan w:val="2"/>
            <w:vAlign w:val="bottom"/>
          </w:tcPr>
          <w:p>
            <w:pPr>
              <w:pStyle w:val="14"/>
              <w:adjustRightInd w:val="0"/>
              <w:snapToGrid w:val="0"/>
              <w:spacing w:line="360" w:lineRule="auto"/>
              <w:jc w:val="center"/>
              <w:rPr>
                <w:rFonts w:hAnsi="宋体" w:cs="宋体"/>
                <w:snapToGrid w:val="0"/>
                <w:sz w:val="22"/>
              </w:rPr>
            </w:pPr>
            <w:r>
              <w:rPr>
                <w:rFonts w:hint="eastAsia" w:hAnsi="宋体" w:cs="宋体"/>
                <w:snapToGrid w:val="0"/>
                <w:sz w:val="22"/>
              </w:rPr>
              <w:t>电话/传真</w:t>
            </w:r>
          </w:p>
        </w:tc>
        <w:tc>
          <w:tcPr>
            <w:tcW w:w="1255" w:type="pct"/>
            <w:gridSpan w:val="2"/>
            <w:vAlign w:val="center"/>
          </w:tcPr>
          <w:p>
            <w:pPr>
              <w:pStyle w:val="14"/>
              <w:adjustRightInd w:val="0"/>
              <w:snapToGrid w:val="0"/>
              <w:spacing w:line="360" w:lineRule="auto"/>
              <w:jc w:val="center"/>
              <w:rPr>
                <w:rFonts w:hAnsi="宋体" w:cs="宋体"/>
                <w:snapToGrid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Align w:val="bottom"/>
          </w:tcPr>
          <w:p>
            <w:pPr>
              <w:pStyle w:val="14"/>
              <w:adjustRightInd w:val="0"/>
              <w:snapToGrid w:val="0"/>
              <w:spacing w:line="360" w:lineRule="auto"/>
              <w:jc w:val="center"/>
              <w:rPr>
                <w:rFonts w:hAnsi="宋体" w:cs="宋体"/>
                <w:snapToGrid w:val="0"/>
                <w:sz w:val="22"/>
              </w:rPr>
            </w:pPr>
            <w:r>
              <w:rPr>
                <w:rFonts w:hint="eastAsia" w:hAnsi="宋体" w:cs="宋体"/>
                <w:snapToGrid w:val="0"/>
                <w:sz w:val="22"/>
              </w:rPr>
              <w:t>成立年月</w:t>
            </w:r>
          </w:p>
        </w:tc>
        <w:tc>
          <w:tcPr>
            <w:tcW w:w="1472" w:type="pct"/>
            <w:gridSpan w:val="2"/>
            <w:vAlign w:val="bottom"/>
          </w:tcPr>
          <w:p>
            <w:pPr>
              <w:pStyle w:val="14"/>
              <w:adjustRightInd w:val="0"/>
              <w:snapToGrid w:val="0"/>
              <w:spacing w:line="360" w:lineRule="auto"/>
              <w:jc w:val="center"/>
              <w:rPr>
                <w:rFonts w:hAnsi="宋体" w:cs="宋体"/>
                <w:snapToGrid w:val="0"/>
                <w:sz w:val="22"/>
              </w:rPr>
            </w:pPr>
          </w:p>
        </w:tc>
        <w:tc>
          <w:tcPr>
            <w:tcW w:w="1255" w:type="pct"/>
            <w:gridSpan w:val="2"/>
            <w:vMerge w:val="restart"/>
            <w:vAlign w:val="center"/>
          </w:tcPr>
          <w:p>
            <w:pPr>
              <w:pStyle w:val="14"/>
              <w:adjustRightInd w:val="0"/>
              <w:snapToGrid w:val="0"/>
              <w:spacing w:line="360" w:lineRule="auto"/>
              <w:jc w:val="center"/>
              <w:rPr>
                <w:rFonts w:hAnsi="宋体" w:cs="宋体"/>
                <w:snapToGrid w:val="0"/>
                <w:sz w:val="22"/>
              </w:rPr>
            </w:pPr>
            <w:r>
              <w:rPr>
                <w:rFonts w:hint="eastAsia" w:hAnsi="宋体" w:cs="宋体"/>
                <w:snapToGrid w:val="0"/>
                <w:sz w:val="22"/>
              </w:rPr>
              <w:t>经营范围</w:t>
            </w:r>
          </w:p>
        </w:tc>
        <w:tc>
          <w:tcPr>
            <w:tcW w:w="1255" w:type="pct"/>
            <w:gridSpan w:val="2"/>
            <w:vMerge w:val="restart"/>
            <w:vAlign w:val="center"/>
          </w:tcPr>
          <w:p>
            <w:pPr>
              <w:pStyle w:val="14"/>
              <w:adjustRightInd w:val="0"/>
              <w:snapToGrid w:val="0"/>
              <w:spacing w:line="360" w:lineRule="auto"/>
              <w:jc w:val="center"/>
              <w:rPr>
                <w:rFonts w:hAnsi="宋体" w:cs="宋体"/>
                <w:snapToGrid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Align w:val="bottom"/>
          </w:tcPr>
          <w:p>
            <w:pPr>
              <w:pStyle w:val="14"/>
              <w:adjustRightInd w:val="0"/>
              <w:snapToGrid w:val="0"/>
              <w:spacing w:line="360" w:lineRule="auto"/>
              <w:jc w:val="center"/>
              <w:rPr>
                <w:rFonts w:hAnsi="宋体" w:cs="宋体"/>
                <w:snapToGrid w:val="0"/>
                <w:sz w:val="22"/>
              </w:rPr>
            </w:pPr>
            <w:r>
              <w:rPr>
                <w:rFonts w:hint="eastAsia" w:hAnsi="宋体" w:cs="宋体"/>
                <w:snapToGrid w:val="0"/>
                <w:sz w:val="22"/>
              </w:rPr>
              <w:t>营业执照号码</w:t>
            </w:r>
          </w:p>
        </w:tc>
        <w:tc>
          <w:tcPr>
            <w:tcW w:w="1472" w:type="pct"/>
            <w:gridSpan w:val="2"/>
            <w:vAlign w:val="bottom"/>
          </w:tcPr>
          <w:p>
            <w:pPr>
              <w:pStyle w:val="14"/>
              <w:adjustRightInd w:val="0"/>
              <w:snapToGrid w:val="0"/>
              <w:spacing w:line="360" w:lineRule="auto"/>
              <w:jc w:val="center"/>
              <w:rPr>
                <w:rFonts w:hAnsi="宋体" w:cs="宋体"/>
                <w:snapToGrid w:val="0"/>
                <w:sz w:val="22"/>
              </w:rPr>
            </w:pPr>
          </w:p>
        </w:tc>
        <w:tc>
          <w:tcPr>
            <w:tcW w:w="1255" w:type="pct"/>
            <w:gridSpan w:val="2"/>
            <w:vMerge w:val="continue"/>
            <w:vAlign w:val="bottom"/>
          </w:tcPr>
          <w:p>
            <w:pPr>
              <w:pStyle w:val="14"/>
              <w:adjustRightInd w:val="0"/>
              <w:snapToGrid w:val="0"/>
              <w:spacing w:line="360" w:lineRule="auto"/>
              <w:jc w:val="center"/>
              <w:rPr>
                <w:rFonts w:hAnsi="宋体" w:cs="宋体"/>
                <w:snapToGrid w:val="0"/>
                <w:sz w:val="22"/>
              </w:rPr>
            </w:pPr>
          </w:p>
        </w:tc>
        <w:tc>
          <w:tcPr>
            <w:tcW w:w="1255" w:type="pct"/>
            <w:gridSpan w:val="2"/>
            <w:vMerge w:val="continue"/>
            <w:vAlign w:val="center"/>
          </w:tcPr>
          <w:p>
            <w:pPr>
              <w:pStyle w:val="14"/>
              <w:adjustRightInd w:val="0"/>
              <w:snapToGrid w:val="0"/>
              <w:spacing w:line="360" w:lineRule="auto"/>
              <w:jc w:val="center"/>
              <w:rPr>
                <w:rFonts w:hAnsi="宋体" w:cs="宋体"/>
                <w:snapToGrid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Align w:val="bottom"/>
          </w:tcPr>
          <w:p>
            <w:pPr>
              <w:pStyle w:val="14"/>
              <w:adjustRightInd w:val="0"/>
              <w:snapToGrid w:val="0"/>
              <w:spacing w:line="360" w:lineRule="auto"/>
              <w:jc w:val="center"/>
              <w:rPr>
                <w:rFonts w:hAnsi="宋体" w:cs="宋体"/>
                <w:snapToGrid w:val="0"/>
                <w:sz w:val="22"/>
              </w:rPr>
            </w:pPr>
            <w:r>
              <w:rPr>
                <w:rFonts w:hint="eastAsia" w:hAnsi="宋体" w:cs="宋体"/>
                <w:snapToGrid w:val="0"/>
                <w:sz w:val="22"/>
              </w:rPr>
              <w:t>注册资金</w:t>
            </w:r>
          </w:p>
        </w:tc>
        <w:tc>
          <w:tcPr>
            <w:tcW w:w="1472" w:type="pct"/>
            <w:gridSpan w:val="2"/>
            <w:vAlign w:val="bottom"/>
          </w:tcPr>
          <w:p>
            <w:pPr>
              <w:pStyle w:val="14"/>
              <w:adjustRightInd w:val="0"/>
              <w:snapToGrid w:val="0"/>
              <w:spacing w:line="360" w:lineRule="auto"/>
              <w:jc w:val="center"/>
              <w:rPr>
                <w:rFonts w:hAnsi="宋体" w:cs="宋体"/>
                <w:snapToGrid w:val="0"/>
                <w:sz w:val="22"/>
              </w:rPr>
            </w:pPr>
          </w:p>
        </w:tc>
        <w:tc>
          <w:tcPr>
            <w:tcW w:w="1255" w:type="pct"/>
            <w:gridSpan w:val="2"/>
            <w:vAlign w:val="bottom"/>
          </w:tcPr>
          <w:p>
            <w:pPr>
              <w:pStyle w:val="14"/>
              <w:adjustRightInd w:val="0"/>
              <w:snapToGrid w:val="0"/>
              <w:spacing w:line="360" w:lineRule="auto"/>
              <w:jc w:val="center"/>
              <w:rPr>
                <w:rFonts w:hAnsi="宋体" w:cs="宋体"/>
                <w:snapToGrid w:val="0"/>
                <w:sz w:val="22"/>
              </w:rPr>
            </w:pPr>
            <w:r>
              <w:rPr>
                <w:rFonts w:hint="eastAsia" w:hAnsi="宋体" w:cs="宋体"/>
                <w:snapToGrid w:val="0"/>
                <w:sz w:val="22"/>
              </w:rPr>
              <w:t>职工人数</w:t>
            </w:r>
          </w:p>
        </w:tc>
        <w:tc>
          <w:tcPr>
            <w:tcW w:w="1255" w:type="pct"/>
            <w:gridSpan w:val="2"/>
            <w:vAlign w:val="center"/>
          </w:tcPr>
          <w:p>
            <w:pPr>
              <w:pStyle w:val="14"/>
              <w:adjustRightInd w:val="0"/>
              <w:snapToGrid w:val="0"/>
              <w:spacing w:line="360" w:lineRule="auto"/>
              <w:jc w:val="center"/>
              <w:rPr>
                <w:rFonts w:hAnsi="宋体" w:cs="宋体"/>
                <w:snapToGrid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Merge w:val="restart"/>
            <w:vAlign w:val="center"/>
          </w:tcPr>
          <w:p>
            <w:pPr>
              <w:pStyle w:val="14"/>
              <w:adjustRightInd w:val="0"/>
              <w:snapToGrid w:val="0"/>
              <w:spacing w:line="360" w:lineRule="auto"/>
              <w:jc w:val="center"/>
              <w:rPr>
                <w:rFonts w:hAnsi="宋体" w:cs="宋体"/>
                <w:snapToGrid w:val="0"/>
                <w:sz w:val="22"/>
              </w:rPr>
            </w:pPr>
            <w:r>
              <w:rPr>
                <w:rFonts w:hint="eastAsia" w:hAnsi="宋体" w:cs="宋体"/>
                <w:snapToGrid w:val="0"/>
                <w:sz w:val="22"/>
              </w:rPr>
              <w:t>公司所获证书</w:t>
            </w:r>
          </w:p>
        </w:tc>
        <w:tc>
          <w:tcPr>
            <w:tcW w:w="995" w:type="pct"/>
            <w:vAlign w:val="center"/>
          </w:tcPr>
          <w:p>
            <w:pPr>
              <w:spacing w:line="360" w:lineRule="auto"/>
              <w:jc w:val="center"/>
              <w:rPr>
                <w:rFonts w:ascii="宋体" w:hAnsi="宋体" w:cs="宋体"/>
                <w:sz w:val="22"/>
                <w:szCs w:val="22"/>
              </w:rPr>
            </w:pPr>
            <w:r>
              <w:rPr>
                <w:rFonts w:hint="eastAsia" w:ascii="宋体" w:hAnsi="宋体" w:cs="宋体"/>
                <w:sz w:val="22"/>
                <w:szCs w:val="22"/>
              </w:rPr>
              <w:t>证书名称</w:t>
            </w:r>
          </w:p>
        </w:tc>
        <w:tc>
          <w:tcPr>
            <w:tcW w:w="995" w:type="pct"/>
            <w:gridSpan w:val="2"/>
            <w:vAlign w:val="center"/>
          </w:tcPr>
          <w:p>
            <w:pPr>
              <w:spacing w:line="360" w:lineRule="auto"/>
              <w:jc w:val="center"/>
              <w:rPr>
                <w:rFonts w:ascii="宋体" w:hAnsi="宋体" w:cs="宋体"/>
                <w:sz w:val="22"/>
                <w:szCs w:val="22"/>
              </w:rPr>
            </w:pPr>
            <w:r>
              <w:rPr>
                <w:rFonts w:hint="eastAsia" w:ascii="宋体" w:hAnsi="宋体" w:cs="宋体"/>
                <w:sz w:val="22"/>
                <w:szCs w:val="22"/>
              </w:rPr>
              <w:t>发证单位</w:t>
            </w:r>
          </w:p>
        </w:tc>
        <w:tc>
          <w:tcPr>
            <w:tcW w:w="995" w:type="pct"/>
            <w:gridSpan w:val="2"/>
            <w:vAlign w:val="center"/>
          </w:tcPr>
          <w:p>
            <w:pPr>
              <w:spacing w:line="360" w:lineRule="auto"/>
              <w:jc w:val="center"/>
              <w:rPr>
                <w:rFonts w:ascii="宋体" w:hAnsi="宋体" w:cs="宋体"/>
                <w:sz w:val="22"/>
                <w:szCs w:val="22"/>
              </w:rPr>
            </w:pPr>
            <w:r>
              <w:rPr>
                <w:rFonts w:hint="eastAsia" w:ascii="宋体" w:hAnsi="宋体" w:cs="宋体"/>
                <w:sz w:val="22"/>
                <w:szCs w:val="22"/>
              </w:rPr>
              <w:t>证书等级</w:t>
            </w:r>
          </w:p>
        </w:tc>
        <w:tc>
          <w:tcPr>
            <w:tcW w:w="997" w:type="pct"/>
            <w:vAlign w:val="center"/>
          </w:tcPr>
          <w:p>
            <w:pPr>
              <w:spacing w:line="360" w:lineRule="auto"/>
              <w:jc w:val="center"/>
              <w:rPr>
                <w:rFonts w:ascii="宋体" w:hAnsi="宋体" w:cs="宋体"/>
                <w:sz w:val="22"/>
                <w:szCs w:val="22"/>
              </w:rPr>
            </w:pPr>
            <w:r>
              <w:rPr>
                <w:rFonts w:hint="eastAsia" w:ascii="宋体" w:hAnsi="宋体" w:cs="宋体"/>
                <w:sz w:val="22"/>
                <w:szCs w:val="22"/>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Merge w:val="continue"/>
            <w:vAlign w:val="center"/>
          </w:tcPr>
          <w:p>
            <w:pPr>
              <w:pStyle w:val="14"/>
              <w:adjustRightInd w:val="0"/>
              <w:snapToGrid w:val="0"/>
              <w:spacing w:line="360" w:lineRule="auto"/>
              <w:jc w:val="center"/>
              <w:rPr>
                <w:rFonts w:hAnsi="宋体" w:cs="宋体"/>
                <w:snapToGrid w:val="0"/>
                <w:sz w:val="22"/>
              </w:rPr>
            </w:pPr>
          </w:p>
        </w:tc>
        <w:tc>
          <w:tcPr>
            <w:tcW w:w="995" w:type="pct"/>
            <w:vAlign w:val="center"/>
          </w:tcPr>
          <w:p>
            <w:pPr>
              <w:pStyle w:val="14"/>
              <w:adjustRightInd w:val="0"/>
              <w:snapToGrid w:val="0"/>
              <w:spacing w:line="360" w:lineRule="auto"/>
              <w:jc w:val="center"/>
              <w:rPr>
                <w:rFonts w:hAnsi="宋体" w:cs="宋体"/>
                <w:snapToGrid w:val="0"/>
                <w:sz w:val="22"/>
              </w:rPr>
            </w:pPr>
          </w:p>
        </w:tc>
        <w:tc>
          <w:tcPr>
            <w:tcW w:w="995" w:type="pct"/>
            <w:gridSpan w:val="2"/>
            <w:vAlign w:val="center"/>
          </w:tcPr>
          <w:p>
            <w:pPr>
              <w:pStyle w:val="14"/>
              <w:adjustRightInd w:val="0"/>
              <w:snapToGrid w:val="0"/>
              <w:spacing w:line="360" w:lineRule="auto"/>
              <w:jc w:val="center"/>
              <w:rPr>
                <w:rFonts w:hAnsi="宋体" w:cs="宋体"/>
                <w:snapToGrid w:val="0"/>
                <w:sz w:val="22"/>
              </w:rPr>
            </w:pPr>
          </w:p>
        </w:tc>
        <w:tc>
          <w:tcPr>
            <w:tcW w:w="995" w:type="pct"/>
            <w:gridSpan w:val="2"/>
            <w:vAlign w:val="center"/>
          </w:tcPr>
          <w:p>
            <w:pPr>
              <w:pStyle w:val="14"/>
              <w:adjustRightInd w:val="0"/>
              <w:snapToGrid w:val="0"/>
              <w:spacing w:line="360" w:lineRule="auto"/>
              <w:jc w:val="center"/>
              <w:rPr>
                <w:rFonts w:hAnsi="宋体" w:cs="宋体"/>
                <w:snapToGrid w:val="0"/>
                <w:sz w:val="22"/>
              </w:rPr>
            </w:pPr>
          </w:p>
        </w:tc>
        <w:tc>
          <w:tcPr>
            <w:tcW w:w="997" w:type="pct"/>
            <w:vAlign w:val="center"/>
          </w:tcPr>
          <w:p>
            <w:pPr>
              <w:pStyle w:val="14"/>
              <w:adjustRightInd w:val="0"/>
              <w:snapToGrid w:val="0"/>
              <w:spacing w:line="360" w:lineRule="auto"/>
              <w:jc w:val="center"/>
              <w:rPr>
                <w:rFonts w:hAnsi="宋体" w:cs="宋体"/>
                <w:snapToGrid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Merge w:val="continue"/>
            <w:vAlign w:val="center"/>
          </w:tcPr>
          <w:p>
            <w:pPr>
              <w:pStyle w:val="14"/>
              <w:adjustRightInd w:val="0"/>
              <w:snapToGrid w:val="0"/>
              <w:spacing w:line="360" w:lineRule="auto"/>
              <w:jc w:val="center"/>
              <w:rPr>
                <w:rFonts w:hAnsi="宋体" w:cs="宋体"/>
                <w:snapToGrid w:val="0"/>
                <w:sz w:val="22"/>
              </w:rPr>
            </w:pPr>
          </w:p>
        </w:tc>
        <w:tc>
          <w:tcPr>
            <w:tcW w:w="995" w:type="pct"/>
            <w:vAlign w:val="center"/>
          </w:tcPr>
          <w:p>
            <w:pPr>
              <w:pStyle w:val="14"/>
              <w:adjustRightInd w:val="0"/>
              <w:snapToGrid w:val="0"/>
              <w:spacing w:line="360" w:lineRule="auto"/>
              <w:jc w:val="center"/>
              <w:rPr>
                <w:rFonts w:hAnsi="宋体" w:cs="宋体"/>
                <w:snapToGrid w:val="0"/>
                <w:sz w:val="22"/>
              </w:rPr>
            </w:pPr>
          </w:p>
        </w:tc>
        <w:tc>
          <w:tcPr>
            <w:tcW w:w="995" w:type="pct"/>
            <w:gridSpan w:val="2"/>
            <w:vAlign w:val="center"/>
          </w:tcPr>
          <w:p>
            <w:pPr>
              <w:pStyle w:val="14"/>
              <w:adjustRightInd w:val="0"/>
              <w:snapToGrid w:val="0"/>
              <w:spacing w:line="360" w:lineRule="auto"/>
              <w:jc w:val="center"/>
              <w:rPr>
                <w:rFonts w:hAnsi="宋体" w:cs="宋体"/>
                <w:snapToGrid w:val="0"/>
                <w:sz w:val="22"/>
              </w:rPr>
            </w:pPr>
          </w:p>
        </w:tc>
        <w:tc>
          <w:tcPr>
            <w:tcW w:w="995" w:type="pct"/>
            <w:gridSpan w:val="2"/>
            <w:vAlign w:val="center"/>
          </w:tcPr>
          <w:p>
            <w:pPr>
              <w:pStyle w:val="14"/>
              <w:adjustRightInd w:val="0"/>
              <w:snapToGrid w:val="0"/>
              <w:spacing w:line="360" w:lineRule="auto"/>
              <w:jc w:val="center"/>
              <w:rPr>
                <w:rFonts w:hAnsi="宋体" w:cs="宋体"/>
                <w:snapToGrid w:val="0"/>
                <w:sz w:val="22"/>
              </w:rPr>
            </w:pPr>
          </w:p>
        </w:tc>
        <w:tc>
          <w:tcPr>
            <w:tcW w:w="997" w:type="pct"/>
            <w:vAlign w:val="center"/>
          </w:tcPr>
          <w:p>
            <w:pPr>
              <w:pStyle w:val="14"/>
              <w:adjustRightInd w:val="0"/>
              <w:snapToGrid w:val="0"/>
              <w:spacing w:line="360" w:lineRule="auto"/>
              <w:jc w:val="center"/>
              <w:rPr>
                <w:rFonts w:hAnsi="宋体" w:cs="宋体"/>
                <w:snapToGrid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trPr>
        <w:tc>
          <w:tcPr>
            <w:tcW w:w="1018" w:type="pct"/>
            <w:vMerge w:val="restart"/>
            <w:vAlign w:val="center"/>
          </w:tcPr>
          <w:p>
            <w:pPr>
              <w:pStyle w:val="14"/>
              <w:adjustRightInd w:val="0"/>
              <w:snapToGrid w:val="0"/>
              <w:spacing w:line="360" w:lineRule="auto"/>
              <w:jc w:val="center"/>
              <w:rPr>
                <w:rFonts w:hAnsi="宋体" w:cs="宋体"/>
                <w:snapToGrid w:val="0"/>
                <w:sz w:val="22"/>
              </w:rPr>
            </w:pPr>
            <w:r>
              <w:rPr>
                <w:rFonts w:hint="eastAsia" w:hAnsi="宋体" w:cs="宋体"/>
                <w:snapToGrid w:val="0"/>
                <w:sz w:val="22"/>
              </w:rPr>
              <w:t>公司财务状况</w:t>
            </w:r>
          </w:p>
        </w:tc>
        <w:tc>
          <w:tcPr>
            <w:tcW w:w="995" w:type="pct"/>
            <w:vAlign w:val="center"/>
          </w:tcPr>
          <w:p>
            <w:pPr>
              <w:spacing w:line="360" w:lineRule="auto"/>
              <w:jc w:val="center"/>
              <w:rPr>
                <w:rFonts w:ascii="宋体" w:hAnsi="宋体" w:cs="宋体"/>
                <w:sz w:val="22"/>
                <w:szCs w:val="22"/>
              </w:rPr>
            </w:pPr>
            <w:r>
              <w:rPr>
                <w:rFonts w:hint="eastAsia" w:ascii="宋体" w:hAnsi="宋体" w:cs="宋体"/>
                <w:sz w:val="22"/>
                <w:szCs w:val="22"/>
              </w:rPr>
              <w:t>年  度</w:t>
            </w:r>
          </w:p>
        </w:tc>
        <w:tc>
          <w:tcPr>
            <w:tcW w:w="995" w:type="pct"/>
            <w:gridSpan w:val="2"/>
            <w:vAlign w:val="center"/>
          </w:tcPr>
          <w:p>
            <w:pPr>
              <w:spacing w:line="360" w:lineRule="auto"/>
              <w:jc w:val="center"/>
              <w:rPr>
                <w:rFonts w:ascii="宋体" w:hAnsi="宋体" w:cs="宋体"/>
                <w:sz w:val="22"/>
                <w:szCs w:val="22"/>
              </w:rPr>
            </w:pPr>
            <w:r>
              <w:rPr>
                <w:rFonts w:hint="eastAsia" w:ascii="宋体" w:hAnsi="宋体" w:cs="宋体"/>
                <w:sz w:val="22"/>
                <w:szCs w:val="22"/>
              </w:rPr>
              <w:t>总资产（元）</w:t>
            </w:r>
          </w:p>
        </w:tc>
        <w:tc>
          <w:tcPr>
            <w:tcW w:w="995" w:type="pct"/>
            <w:gridSpan w:val="2"/>
            <w:vAlign w:val="center"/>
          </w:tcPr>
          <w:p>
            <w:pPr>
              <w:spacing w:line="360" w:lineRule="auto"/>
              <w:jc w:val="center"/>
              <w:rPr>
                <w:rFonts w:ascii="宋体" w:hAnsi="宋体" w:cs="宋体"/>
                <w:sz w:val="22"/>
                <w:szCs w:val="22"/>
              </w:rPr>
            </w:pPr>
            <w:r>
              <w:rPr>
                <w:rFonts w:hint="eastAsia" w:ascii="宋体" w:hAnsi="宋体" w:cs="宋体"/>
                <w:sz w:val="22"/>
                <w:szCs w:val="22"/>
              </w:rPr>
              <w:t>年营业额（元）</w:t>
            </w:r>
          </w:p>
        </w:tc>
        <w:tc>
          <w:tcPr>
            <w:tcW w:w="997" w:type="pct"/>
            <w:vAlign w:val="center"/>
          </w:tcPr>
          <w:p>
            <w:pPr>
              <w:spacing w:line="360" w:lineRule="auto"/>
              <w:jc w:val="center"/>
              <w:rPr>
                <w:rFonts w:ascii="宋体" w:hAnsi="宋体" w:cs="宋体"/>
                <w:sz w:val="22"/>
                <w:szCs w:val="22"/>
              </w:rPr>
            </w:pPr>
            <w:r>
              <w:rPr>
                <w:rFonts w:hint="eastAsia" w:ascii="宋体" w:hAnsi="宋体" w:cs="宋体"/>
                <w:sz w:val="22"/>
                <w:szCs w:val="22"/>
              </w:rPr>
              <w:t>年净利润（元）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atLeast"/>
        </w:trPr>
        <w:tc>
          <w:tcPr>
            <w:tcW w:w="1018" w:type="pct"/>
            <w:vMerge w:val="continue"/>
            <w:vAlign w:val="center"/>
          </w:tcPr>
          <w:p>
            <w:pPr>
              <w:pStyle w:val="14"/>
              <w:adjustRightInd w:val="0"/>
              <w:snapToGrid w:val="0"/>
              <w:spacing w:line="360" w:lineRule="auto"/>
              <w:jc w:val="center"/>
              <w:rPr>
                <w:rFonts w:hAnsi="宋体" w:cs="宋体"/>
                <w:snapToGrid w:val="0"/>
                <w:sz w:val="22"/>
              </w:rPr>
            </w:pPr>
          </w:p>
        </w:tc>
        <w:tc>
          <w:tcPr>
            <w:tcW w:w="995" w:type="pct"/>
            <w:vAlign w:val="center"/>
          </w:tcPr>
          <w:p>
            <w:pPr>
              <w:pStyle w:val="14"/>
              <w:adjustRightInd w:val="0"/>
              <w:snapToGrid w:val="0"/>
              <w:spacing w:line="360" w:lineRule="auto"/>
              <w:jc w:val="center"/>
              <w:rPr>
                <w:rFonts w:hAnsi="宋体" w:cs="宋体"/>
                <w:snapToGrid w:val="0"/>
                <w:sz w:val="22"/>
              </w:rPr>
            </w:pPr>
          </w:p>
        </w:tc>
        <w:tc>
          <w:tcPr>
            <w:tcW w:w="995" w:type="pct"/>
            <w:gridSpan w:val="2"/>
            <w:vAlign w:val="center"/>
          </w:tcPr>
          <w:p>
            <w:pPr>
              <w:pStyle w:val="14"/>
              <w:adjustRightInd w:val="0"/>
              <w:snapToGrid w:val="0"/>
              <w:spacing w:line="360" w:lineRule="auto"/>
              <w:jc w:val="center"/>
              <w:rPr>
                <w:rFonts w:hAnsi="宋体" w:cs="宋体"/>
                <w:snapToGrid w:val="0"/>
                <w:sz w:val="22"/>
              </w:rPr>
            </w:pPr>
          </w:p>
        </w:tc>
        <w:tc>
          <w:tcPr>
            <w:tcW w:w="995" w:type="pct"/>
            <w:gridSpan w:val="2"/>
            <w:vAlign w:val="center"/>
          </w:tcPr>
          <w:p>
            <w:pPr>
              <w:pStyle w:val="14"/>
              <w:adjustRightInd w:val="0"/>
              <w:snapToGrid w:val="0"/>
              <w:spacing w:line="360" w:lineRule="auto"/>
              <w:jc w:val="center"/>
              <w:rPr>
                <w:rFonts w:hAnsi="宋体" w:cs="宋体"/>
                <w:snapToGrid w:val="0"/>
                <w:sz w:val="22"/>
              </w:rPr>
            </w:pPr>
          </w:p>
        </w:tc>
        <w:tc>
          <w:tcPr>
            <w:tcW w:w="997" w:type="pct"/>
            <w:vAlign w:val="center"/>
          </w:tcPr>
          <w:p>
            <w:pPr>
              <w:pStyle w:val="14"/>
              <w:adjustRightInd w:val="0"/>
              <w:snapToGrid w:val="0"/>
              <w:spacing w:line="360" w:lineRule="auto"/>
              <w:jc w:val="center"/>
              <w:rPr>
                <w:rFonts w:hAnsi="宋体" w:cs="宋体"/>
                <w:snapToGrid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1018" w:type="pct"/>
            <w:vMerge w:val="continue"/>
            <w:vAlign w:val="center"/>
          </w:tcPr>
          <w:p>
            <w:pPr>
              <w:pStyle w:val="14"/>
              <w:adjustRightInd w:val="0"/>
              <w:snapToGrid w:val="0"/>
              <w:spacing w:line="360" w:lineRule="auto"/>
              <w:jc w:val="center"/>
              <w:rPr>
                <w:rFonts w:hAnsi="宋体" w:cs="宋体"/>
                <w:snapToGrid w:val="0"/>
                <w:sz w:val="22"/>
              </w:rPr>
            </w:pPr>
          </w:p>
        </w:tc>
        <w:tc>
          <w:tcPr>
            <w:tcW w:w="995" w:type="pct"/>
            <w:vAlign w:val="center"/>
          </w:tcPr>
          <w:p>
            <w:pPr>
              <w:pStyle w:val="14"/>
              <w:adjustRightInd w:val="0"/>
              <w:snapToGrid w:val="0"/>
              <w:spacing w:line="360" w:lineRule="auto"/>
              <w:jc w:val="center"/>
              <w:rPr>
                <w:rFonts w:hAnsi="宋体" w:cs="宋体"/>
                <w:snapToGrid w:val="0"/>
                <w:sz w:val="22"/>
              </w:rPr>
            </w:pPr>
          </w:p>
        </w:tc>
        <w:tc>
          <w:tcPr>
            <w:tcW w:w="995" w:type="pct"/>
            <w:gridSpan w:val="2"/>
            <w:vAlign w:val="center"/>
          </w:tcPr>
          <w:p>
            <w:pPr>
              <w:pStyle w:val="14"/>
              <w:adjustRightInd w:val="0"/>
              <w:snapToGrid w:val="0"/>
              <w:spacing w:line="360" w:lineRule="auto"/>
              <w:jc w:val="center"/>
              <w:rPr>
                <w:rFonts w:hAnsi="宋体" w:cs="宋体"/>
                <w:snapToGrid w:val="0"/>
                <w:sz w:val="22"/>
              </w:rPr>
            </w:pPr>
          </w:p>
        </w:tc>
        <w:tc>
          <w:tcPr>
            <w:tcW w:w="995" w:type="pct"/>
            <w:gridSpan w:val="2"/>
            <w:vAlign w:val="center"/>
          </w:tcPr>
          <w:p>
            <w:pPr>
              <w:pStyle w:val="14"/>
              <w:adjustRightInd w:val="0"/>
              <w:snapToGrid w:val="0"/>
              <w:spacing w:line="360" w:lineRule="auto"/>
              <w:jc w:val="center"/>
              <w:rPr>
                <w:rFonts w:hAnsi="宋体" w:cs="宋体"/>
                <w:snapToGrid w:val="0"/>
                <w:sz w:val="22"/>
              </w:rPr>
            </w:pPr>
          </w:p>
        </w:tc>
        <w:tc>
          <w:tcPr>
            <w:tcW w:w="997" w:type="pct"/>
            <w:vAlign w:val="center"/>
          </w:tcPr>
          <w:p>
            <w:pPr>
              <w:pStyle w:val="14"/>
              <w:adjustRightInd w:val="0"/>
              <w:snapToGrid w:val="0"/>
              <w:spacing w:line="360" w:lineRule="auto"/>
              <w:jc w:val="center"/>
              <w:rPr>
                <w:rFonts w:hAnsi="宋体" w:cs="宋体"/>
                <w:snapToGrid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7" w:hRule="atLeast"/>
        </w:trPr>
        <w:tc>
          <w:tcPr>
            <w:tcW w:w="1018" w:type="pct"/>
            <w:vAlign w:val="center"/>
          </w:tcPr>
          <w:p>
            <w:pPr>
              <w:pStyle w:val="14"/>
              <w:adjustRightInd w:val="0"/>
              <w:snapToGrid w:val="0"/>
              <w:spacing w:line="360" w:lineRule="auto"/>
              <w:jc w:val="center"/>
              <w:rPr>
                <w:rFonts w:hAnsi="宋体" w:cs="宋体"/>
                <w:snapToGrid w:val="0"/>
                <w:sz w:val="22"/>
              </w:rPr>
            </w:pPr>
            <w:r>
              <w:rPr>
                <w:rFonts w:hint="eastAsia" w:hAnsi="宋体" w:cs="宋体"/>
                <w:snapToGrid w:val="0"/>
                <w:sz w:val="22"/>
              </w:rPr>
              <w:t>企业简介</w:t>
            </w:r>
          </w:p>
        </w:tc>
        <w:tc>
          <w:tcPr>
            <w:tcW w:w="3982" w:type="pct"/>
            <w:gridSpan w:val="6"/>
            <w:vAlign w:val="center"/>
          </w:tcPr>
          <w:p>
            <w:pPr>
              <w:spacing w:line="360" w:lineRule="auto"/>
              <w:rPr>
                <w:rFonts w:ascii="宋体" w:hAnsi="宋体" w:cs="宋体"/>
                <w:sz w:val="22"/>
                <w:szCs w:val="22"/>
              </w:rPr>
            </w:pPr>
          </w:p>
        </w:tc>
      </w:tr>
    </w:tbl>
    <w:p>
      <w:pPr>
        <w:spacing w:line="360" w:lineRule="auto"/>
        <w:rPr>
          <w:rFonts w:ascii="宋体" w:hAnsi="宋体"/>
          <w:sz w:val="22"/>
          <w:szCs w:val="22"/>
        </w:rPr>
      </w:pPr>
    </w:p>
    <w:p/>
    <w:p>
      <w:pPr>
        <w:pStyle w:val="47"/>
        <w:spacing w:line="360" w:lineRule="auto"/>
        <w:ind w:firstLine="3964" w:firstLineChars="1802"/>
        <w:rPr>
          <w:rFonts w:ascii="宋体" w:eastAsia="宋体"/>
          <w:sz w:val="22"/>
          <w:szCs w:val="22"/>
          <w:u w:val="single"/>
        </w:rPr>
      </w:pPr>
      <w:bookmarkStart w:id="1250" w:name="_Toc427232353"/>
      <w:bookmarkStart w:id="1251" w:name="_Toc46502808"/>
      <w:bookmarkStart w:id="1252" w:name="_Toc321994784"/>
      <w:bookmarkStart w:id="1253" w:name="_Toc395863124"/>
      <w:bookmarkStart w:id="1254" w:name="_Toc441844122"/>
      <w:bookmarkStart w:id="1255" w:name="_Toc326689519"/>
      <w:bookmarkStart w:id="1256" w:name="_Toc401738105"/>
      <w:r>
        <w:rPr>
          <w:rFonts w:hint="eastAsia" w:ascii="宋体" w:eastAsia="宋体"/>
          <w:sz w:val="22"/>
          <w:szCs w:val="22"/>
        </w:rPr>
        <w:t xml:space="preserve">投标人名称（加盖公章）： </w:t>
      </w:r>
    </w:p>
    <w:p>
      <w:pPr>
        <w:pStyle w:val="47"/>
        <w:spacing w:line="360" w:lineRule="auto"/>
        <w:ind w:firstLine="3964" w:firstLineChars="1802"/>
        <w:rPr>
          <w:rFonts w:ascii="宋体" w:eastAsia="宋体"/>
          <w:sz w:val="22"/>
          <w:szCs w:val="22"/>
        </w:rPr>
      </w:pPr>
      <w:r>
        <w:rPr>
          <w:rFonts w:hint="eastAsia" w:ascii="宋体" w:eastAsia="宋体"/>
          <w:sz w:val="22"/>
          <w:szCs w:val="22"/>
        </w:rPr>
        <w:t>投标人法定代表人或被授权人（签名或盖私章）：</w:t>
      </w:r>
    </w:p>
    <w:p>
      <w:pPr>
        <w:pStyle w:val="47"/>
        <w:spacing w:line="360" w:lineRule="auto"/>
        <w:ind w:firstLine="3964" w:firstLineChars="1802"/>
        <w:rPr>
          <w:rFonts w:ascii="宋体" w:eastAsia="宋体"/>
          <w:sz w:val="22"/>
          <w:szCs w:val="22"/>
          <w:u w:val="single"/>
        </w:rPr>
      </w:pPr>
      <w:r>
        <w:rPr>
          <w:rFonts w:hint="eastAsia" w:ascii="宋体" w:eastAsia="宋体"/>
          <w:sz w:val="22"/>
          <w:szCs w:val="22"/>
        </w:rPr>
        <w:t>日期：</w:t>
      </w:r>
      <w:r>
        <w:rPr>
          <w:rFonts w:hint="eastAsia" w:ascii="宋体" w:eastAsia="宋体"/>
          <w:sz w:val="22"/>
          <w:szCs w:val="22"/>
          <w:u w:val="single"/>
        </w:rPr>
        <w:t xml:space="preserve">     年     月      日</w:t>
      </w:r>
    </w:p>
    <w:p>
      <w:pPr>
        <w:pStyle w:val="5"/>
        <w:spacing w:line="360" w:lineRule="auto"/>
        <w:jc w:val="center"/>
        <w:rPr>
          <w:rFonts w:ascii="宋体" w:hAnsi="宋体"/>
          <w:sz w:val="22"/>
          <w:szCs w:val="22"/>
        </w:rPr>
      </w:pPr>
      <w:bookmarkStart w:id="1257" w:name="_Toc30465"/>
      <w:bookmarkStart w:id="1258" w:name="_Toc9504"/>
      <w:bookmarkStart w:id="1259" w:name="_Toc32422"/>
      <w:bookmarkStart w:id="1260" w:name="_Toc21836"/>
      <w:bookmarkStart w:id="1261" w:name="_Toc11160"/>
      <w:r>
        <w:rPr>
          <w:rFonts w:ascii="宋体" w:hAnsi="宋体"/>
          <w:sz w:val="22"/>
          <w:szCs w:val="22"/>
        </w:rPr>
        <w:t>7、投标人资格证明文件</w:t>
      </w:r>
      <w:bookmarkEnd w:id="1250"/>
      <w:bookmarkEnd w:id="1251"/>
      <w:bookmarkEnd w:id="1252"/>
      <w:bookmarkEnd w:id="1253"/>
      <w:bookmarkEnd w:id="1254"/>
      <w:bookmarkEnd w:id="1255"/>
      <w:bookmarkEnd w:id="1256"/>
      <w:bookmarkEnd w:id="1257"/>
      <w:bookmarkEnd w:id="1258"/>
      <w:bookmarkEnd w:id="1259"/>
      <w:bookmarkEnd w:id="1260"/>
      <w:bookmarkEnd w:id="1261"/>
    </w:p>
    <w:p>
      <w:pPr>
        <w:spacing w:line="360" w:lineRule="auto"/>
        <w:jc w:val="center"/>
        <w:rPr>
          <w:rFonts w:ascii="宋体" w:hAnsi="宋体"/>
          <w:b/>
          <w:sz w:val="22"/>
          <w:szCs w:val="22"/>
        </w:rPr>
      </w:pPr>
    </w:p>
    <w:p>
      <w:pPr>
        <w:pStyle w:val="14"/>
        <w:spacing w:line="360" w:lineRule="auto"/>
        <w:ind w:firstLine="442" w:firstLineChars="200"/>
        <w:rPr>
          <w:rFonts w:hAnsi="宋体"/>
          <w:b/>
          <w:sz w:val="22"/>
        </w:rPr>
      </w:pPr>
      <w:r>
        <w:rPr>
          <w:rFonts w:hint="eastAsia" w:hAnsi="宋体"/>
          <w:b/>
          <w:sz w:val="22"/>
        </w:rPr>
        <w:t>投标人资格证明文件请按招标文件投标须知1</w:t>
      </w:r>
      <w:r>
        <w:rPr>
          <w:rFonts w:hAnsi="宋体"/>
          <w:b/>
          <w:sz w:val="22"/>
        </w:rPr>
        <w:t>1.</w:t>
      </w:r>
      <w:r>
        <w:rPr>
          <w:rFonts w:hint="eastAsia" w:hAnsi="宋体"/>
          <w:b/>
          <w:sz w:val="22"/>
        </w:rPr>
        <w:t>投标文件构成所要求文件提供。</w:t>
      </w:r>
    </w:p>
    <w:p>
      <w:pPr>
        <w:pStyle w:val="14"/>
        <w:spacing w:line="360" w:lineRule="auto"/>
        <w:ind w:firstLine="440" w:firstLineChars="200"/>
        <w:rPr>
          <w:rFonts w:hAnsi="宋体"/>
          <w:sz w:val="22"/>
        </w:rPr>
      </w:pPr>
      <w:r>
        <w:rPr>
          <w:rFonts w:hint="eastAsia" w:hAnsi="宋体"/>
          <w:sz w:val="22"/>
        </w:rPr>
        <w:t>注：</w:t>
      </w:r>
      <w:r>
        <w:rPr>
          <w:rFonts w:hAnsi="宋体"/>
          <w:sz w:val="22"/>
        </w:rPr>
        <w:t>若投标人提供虚假信息的，将按省市及东莞市交通投资集团有限公司采购管理办法相关规定严肃处理。</w:t>
      </w:r>
    </w:p>
    <w:p>
      <w:pPr>
        <w:pStyle w:val="14"/>
        <w:spacing w:line="360" w:lineRule="auto"/>
        <w:ind w:firstLine="442" w:firstLineChars="200"/>
        <w:rPr>
          <w:rFonts w:hAnsi="宋体"/>
          <w:b/>
          <w:bCs/>
          <w:sz w:val="22"/>
        </w:rPr>
      </w:pPr>
    </w:p>
    <w:p>
      <w:pPr>
        <w:pStyle w:val="14"/>
        <w:spacing w:line="560" w:lineRule="exact"/>
        <w:ind w:firstLine="442" w:firstLineChars="200"/>
        <w:rPr>
          <w:rFonts w:hAnsi="宋体" w:cs="宋体"/>
          <w:b/>
          <w:bCs/>
          <w:sz w:val="22"/>
        </w:rPr>
      </w:pPr>
    </w:p>
    <w:p>
      <w:pPr>
        <w:pStyle w:val="14"/>
        <w:spacing w:line="560" w:lineRule="exact"/>
        <w:jc w:val="center"/>
        <w:rPr>
          <w:rFonts w:hAnsi="宋体" w:cs="宋体"/>
          <w:b/>
          <w:bCs/>
          <w:sz w:val="22"/>
        </w:rPr>
      </w:pPr>
    </w:p>
    <w:p>
      <w:pPr>
        <w:pStyle w:val="14"/>
        <w:spacing w:line="560" w:lineRule="exact"/>
        <w:jc w:val="center"/>
        <w:rPr>
          <w:rFonts w:hAnsi="宋体" w:cs="宋体"/>
          <w:b/>
          <w:bCs/>
          <w:sz w:val="22"/>
        </w:rPr>
      </w:pPr>
    </w:p>
    <w:p>
      <w:pPr>
        <w:pStyle w:val="14"/>
        <w:spacing w:line="560" w:lineRule="exact"/>
        <w:jc w:val="center"/>
        <w:rPr>
          <w:rFonts w:hAnsi="宋体" w:cs="宋体"/>
          <w:b/>
          <w:bCs/>
          <w:sz w:val="22"/>
        </w:rPr>
      </w:pPr>
    </w:p>
    <w:p>
      <w:pPr>
        <w:pStyle w:val="14"/>
        <w:spacing w:line="560" w:lineRule="exact"/>
        <w:jc w:val="center"/>
        <w:rPr>
          <w:rFonts w:hAnsi="宋体" w:cs="宋体"/>
          <w:b/>
          <w:bCs/>
          <w:sz w:val="22"/>
        </w:rPr>
      </w:pPr>
    </w:p>
    <w:p>
      <w:pPr>
        <w:spacing w:line="560" w:lineRule="exact"/>
        <w:rPr>
          <w:rFonts w:ascii="宋体" w:hAnsi="宋体" w:cs="宋体"/>
          <w:b/>
          <w:sz w:val="22"/>
          <w:szCs w:val="22"/>
        </w:rPr>
      </w:pPr>
    </w:p>
    <w:p>
      <w:pPr>
        <w:spacing w:line="560" w:lineRule="exact"/>
        <w:jc w:val="center"/>
        <w:rPr>
          <w:rFonts w:ascii="宋体" w:hAnsi="宋体" w:cs="宋体"/>
          <w:b/>
          <w:sz w:val="22"/>
          <w:szCs w:val="22"/>
        </w:rPr>
      </w:pPr>
    </w:p>
    <w:p>
      <w:pPr>
        <w:widowControl/>
        <w:jc w:val="left"/>
        <w:rPr>
          <w:rFonts w:ascii="宋体" w:hAnsi="宋体" w:cs="宋体"/>
          <w:b/>
          <w:bCs/>
          <w:sz w:val="22"/>
          <w:szCs w:val="22"/>
        </w:rPr>
      </w:pPr>
      <w:bookmarkStart w:id="1262" w:name="_Toc454875060"/>
      <w:r>
        <w:rPr>
          <w:rFonts w:ascii="宋体" w:hAnsi="宋体" w:cs="宋体"/>
          <w:sz w:val="22"/>
          <w:szCs w:val="22"/>
        </w:rPr>
        <w:br w:type="page"/>
      </w:r>
    </w:p>
    <w:bookmarkEnd w:id="1262"/>
    <w:p>
      <w:pPr>
        <w:spacing w:line="360" w:lineRule="auto"/>
        <w:jc w:val="center"/>
        <w:rPr>
          <w:rFonts w:ascii="宋体" w:hAnsi="宋体"/>
          <w:b/>
          <w:bCs/>
          <w:sz w:val="22"/>
          <w:szCs w:val="22"/>
        </w:rPr>
      </w:pPr>
      <w:bookmarkStart w:id="1263" w:name="_Toc46502809"/>
      <w:r>
        <w:rPr>
          <w:rFonts w:ascii="宋体" w:hAnsi="宋体"/>
          <w:b/>
          <w:bCs/>
          <w:sz w:val="22"/>
          <w:szCs w:val="22"/>
        </w:rPr>
        <w:t>8、</w:t>
      </w:r>
      <w:bookmarkEnd w:id="1263"/>
      <w:bookmarkStart w:id="1264" w:name="_Toc23885"/>
      <w:bookmarkStart w:id="1265" w:name="_Toc2461"/>
      <w:bookmarkStart w:id="1266" w:name="_Toc11396"/>
      <w:bookmarkStart w:id="1267" w:name="_Toc22389"/>
      <w:bookmarkStart w:id="1268" w:name="_Toc32310"/>
      <w:bookmarkStart w:id="1269" w:name="_Toc46502810"/>
      <w:bookmarkStart w:id="1270" w:name="_Toc441844124"/>
      <w:r>
        <w:rPr>
          <w:rFonts w:hint="eastAsia" w:ascii="宋体" w:hAnsi="宋体"/>
          <w:b/>
          <w:bCs/>
          <w:sz w:val="22"/>
          <w:szCs w:val="22"/>
        </w:rPr>
        <w:t>投标人承诺</w:t>
      </w:r>
    </w:p>
    <w:p>
      <w:pPr>
        <w:spacing w:line="360" w:lineRule="auto"/>
        <w:jc w:val="center"/>
        <w:rPr>
          <w:rFonts w:ascii="宋体" w:hAnsi="宋体"/>
          <w:b/>
          <w:bCs/>
          <w:sz w:val="22"/>
          <w:szCs w:val="22"/>
          <w:lang w:val="zh-CN"/>
        </w:rPr>
      </w:pPr>
      <w:r>
        <w:rPr>
          <w:rFonts w:hint="eastAsia" w:ascii="宋体" w:hAnsi="宋体"/>
          <w:b/>
          <w:bCs/>
          <w:sz w:val="22"/>
          <w:szCs w:val="22"/>
          <w:lang w:val="zh-CN"/>
        </w:rPr>
        <w:t>8</w:t>
      </w:r>
      <w:r>
        <w:rPr>
          <w:rFonts w:ascii="宋体" w:hAnsi="宋体"/>
          <w:b/>
          <w:bCs/>
          <w:sz w:val="22"/>
          <w:szCs w:val="22"/>
          <w:lang w:val="zh-CN"/>
        </w:rPr>
        <w:t>.1</w:t>
      </w:r>
      <w:r>
        <w:rPr>
          <w:rFonts w:hint="eastAsia" w:ascii="宋体" w:hAnsi="宋体"/>
          <w:b/>
          <w:bCs/>
          <w:sz w:val="22"/>
          <w:szCs w:val="22"/>
          <w:lang w:val="zh-CN"/>
        </w:rPr>
        <w:t>投标人资格承诺</w:t>
      </w:r>
    </w:p>
    <w:tbl>
      <w:tblPr>
        <w:tblStyle w:val="34"/>
        <w:tblW w:w="486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82"/>
        <w:gridCol w:w="1017"/>
        <w:gridCol w:w="2032"/>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828" w:type="pct"/>
            <w:vAlign w:val="center"/>
          </w:tcPr>
          <w:p>
            <w:pPr>
              <w:spacing w:line="360" w:lineRule="auto"/>
              <w:rPr>
                <w:rFonts w:ascii="宋体" w:hAnsi="宋体"/>
                <w:sz w:val="22"/>
                <w:szCs w:val="22"/>
                <w:shd w:val="clear" w:color="auto" w:fill="FFFFFF"/>
              </w:rPr>
            </w:pPr>
            <w:r>
              <w:rPr>
                <w:rFonts w:ascii="宋体" w:hAnsi="宋体"/>
                <w:sz w:val="22"/>
                <w:szCs w:val="22"/>
                <w:shd w:val="clear" w:color="auto" w:fill="FFFFFF"/>
              </w:rPr>
              <w:t xml:space="preserve">        事项</w:t>
            </w:r>
            <w:r>
              <w:rPr>
                <w:rFonts w:hint="eastAsia" w:ascii="宋体" w:hAnsi="宋体"/>
                <w:sz w:val="22"/>
                <w:szCs w:val="22"/>
                <w:shd w:val="clear" w:color="auto" w:fill="FFFFFF"/>
              </w:rPr>
              <w:t>名称</w:t>
            </w:r>
          </w:p>
        </w:tc>
        <w:tc>
          <w:tcPr>
            <w:tcW w:w="566" w:type="pct"/>
            <w:vAlign w:val="center"/>
          </w:tcPr>
          <w:p>
            <w:pPr>
              <w:spacing w:line="360" w:lineRule="auto"/>
              <w:jc w:val="center"/>
              <w:rPr>
                <w:rFonts w:ascii="宋体" w:hAnsi="宋体"/>
                <w:sz w:val="22"/>
                <w:szCs w:val="22"/>
                <w:shd w:val="clear" w:color="auto" w:fill="FFFFFF"/>
              </w:rPr>
            </w:pPr>
            <w:r>
              <w:rPr>
                <w:rFonts w:hint="eastAsia" w:ascii="宋体" w:hAnsi="宋体"/>
                <w:sz w:val="22"/>
                <w:szCs w:val="22"/>
                <w:shd w:val="clear" w:color="auto" w:fill="FFFFFF"/>
              </w:rPr>
              <w:t>认定时间</w:t>
            </w:r>
          </w:p>
        </w:tc>
        <w:tc>
          <w:tcPr>
            <w:tcW w:w="1131" w:type="pct"/>
          </w:tcPr>
          <w:p>
            <w:pPr>
              <w:spacing w:line="360" w:lineRule="auto"/>
              <w:jc w:val="center"/>
              <w:rPr>
                <w:rFonts w:ascii="宋体" w:hAnsi="宋体"/>
                <w:sz w:val="22"/>
                <w:szCs w:val="22"/>
                <w:shd w:val="clear" w:color="auto" w:fill="FFFFFF"/>
              </w:rPr>
            </w:pPr>
            <w:r>
              <w:rPr>
                <w:rFonts w:hint="eastAsia" w:ascii="宋体" w:hAnsi="宋体"/>
                <w:sz w:val="22"/>
                <w:szCs w:val="22"/>
                <w:shd w:val="clear" w:color="auto" w:fill="FFFFFF"/>
              </w:rPr>
              <w:t>处罚期届满</w:t>
            </w:r>
            <w:r>
              <w:rPr>
                <w:rFonts w:ascii="宋体" w:hAnsi="宋体"/>
                <w:sz w:val="22"/>
                <w:szCs w:val="22"/>
                <w:shd w:val="clear" w:color="auto" w:fill="FFFFFF"/>
              </w:rPr>
              <w:t>/异常名录信息失效时间</w:t>
            </w:r>
          </w:p>
        </w:tc>
        <w:tc>
          <w:tcPr>
            <w:tcW w:w="475" w:type="pct"/>
            <w:vAlign w:val="center"/>
          </w:tcPr>
          <w:p>
            <w:pPr>
              <w:spacing w:line="360" w:lineRule="auto"/>
              <w:jc w:val="center"/>
              <w:rPr>
                <w:rFonts w:ascii="宋体" w:hAnsi="宋体"/>
                <w:sz w:val="22"/>
                <w:szCs w:val="22"/>
                <w:shd w:val="clear" w:color="auto" w:fill="FFFFFF"/>
              </w:rPr>
            </w:pPr>
            <w:r>
              <w:rPr>
                <w:rFonts w:hint="eastAsia" w:ascii="宋体" w:hAnsi="宋体"/>
                <w:sz w:val="22"/>
                <w:szCs w:val="22"/>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828" w:type="pct"/>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是否被</w:t>
            </w:r>
            <w:r>
              <w:rPr>
                <w:rFonts w:ascii="宋体" w:hAnsi="宋体"/>
                <w:sz w:val="22"/>
                <w:szCs w:val="22"/>
                <w:shd w:val="clear" w:color="auto" w:fill="FFFFFF"/>
              </w:rPr>
              <w:t>列入“</w:t>
            </w:r>
            <w:r>
              <w:rPr>
                <w:rFonts w:hint="eastAsia" w:ascii="宋体" w:hAnsi="宋体"/>
                <w:sz w:val="22"/>
                <w:szCs w:val="22"/>
                <w:shd w:val="clear" w:color="auto" w:fill="FFFFFF"/>
              </w:rPr>
              <w:t>中国</w:t>
            </w:r>
            <w:r>
              <w:rPr>
                <w:rFonts w:ascii="宋体" w:hAnsi="宋体"/>
                <w:sz w:val="22"/>
                <w:szCs w:val="22"/>
                <w:shd w:val="clear" w:color="auto" w:fill="FFFFFF"/>
              </w:rPr>
              <w:t>执行信息公开网”</w:t>
            </w:r>
            <w:r>
              <w:rPr>
                <w:rFonts w:hint="eastAsia" w:ascii="宋体" w:hAnsi="宋体"/>
                <w:sz w:val="22"/>
                <w:szCs w:val="22"/>
                <w:shd w:val="clear" w:color="auto" w:fill="FFFFFF"/>
              </w:rPr>
              <w:t>被认定为失信被执行人</w:t>
            </w:r>
          </w:p>
        </w:tc>
        <w:tc>
          <w:tcPr>
            <w:tcW w:w="566" w:type="pct"/>
            <w:vAlign w:val="center"/>
          </w:tcPr>
          <w:p>
            <w:pPr>
              <w:spacing w:line="360" w:lineRule="auto"/>
              <w:jc w:val="center"/>
              <w:rPr>
                <w:rFonts w:ascii="宋体" w:hAnsi="宋体"/>
                <w:sz w:val="22"/>
                <w:szCs w:val="22"/>
                <w:shd w:val="clear" w:color="auto" w:fill="FFFFFF"/>
              </w:rPr>
            </w:pPr>
          </w:p>
        </w:tc>
        <w:tc>
          <w:tcPr>
            <w:tcW w:w="1131" w:type="pct"/>
            <w:vAlign w:val="center"/>
          </w:tcPr>
          <w:p>
            <w:pPr>
              <w:spacing w:line="360" w:lineRule="auto"/>
              <w:jc w:val="center"/>
              <w:rPr>
                <w:rFonts w:ascii="宋体" w:hAnsi="宋体"/>
                <w:sz w:val="22"/>
                <w:szCs w:val="22"/>
                <w:shd w:val="clear" w:color="auto" w:fill="FFFFFF"/>
              </w:rPr>
            </w:pPr>
          </w:p>
        </w:tc>
        <w:tc>
          <w:tcPr>
            <w:tcW w:w="475" w:type="pct"/>
            <w:vAlign w:val="center"/>
          </w:tcPr>
          <w:p>
            <w:pPr>
              <w:spacing w:line="360" w:lineRule="auto"/>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828" w:type="pct"/>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是否被认定为重大税收违法案件当事人名单</w:t>
            </w:r>
          </w:p>
        </w:tc>
        <w:tc>
          <w:tcPr>
            <w:tcW w:w="566" w:type="pct"/>
            <w:vAlign w:val="center"/>
          </w:tcPr>
          <w:p>
            <w:pPr>
              <w:spacing w:line="360" w:lineRule="auto"/>
              <w:jc w:val="center"/>
              <w:rPr>
                <w:rFonts w:ascii="宋体" w:hAnsi="宋体"/>
                <w:sz w:val="22"/>
                <w:szCs w:val="22"/>
                <w:shd w:val="clear" w:color="auto" w:fill="FFFFFF"/>
              </w:rPr>
            </w:pPr>
          </w:p>
        </w:tc>
        <w:tc>
          <w:tcPr>
            <w:tcW w:w="1131" w:type="pct"/>
            <w:vAlign w:val="center"/>
          </w:tcPr>
          <w:p>
            <w:pPr>
              <w:spacing w:line="360" w:lineRule="auto"/>
              <w:jc w:val="center"/>
              <w:rPr>
                <w:rFonts w:ascii="宋体" w:hAnsi="宋体"/>
                <w:sz w:val="22"/>
                <w:szCs w:val="22"/>
                <w:shd w:val="clear" w:color="auto" w:fill="FFFFFF"/>
              </w:rPr>
            </w:pPr>
          </w:p>
        </w:tc>
        <w:tc>
          <w:tcPr>
            <w:tcW w:w="475" w:type="pct"/>
            <w:vAlign w:val="center"/>
          </w:tcPr>
          <w:p>
            <w:pPr>
              <w:spacing w:line="360" w:lineRule="auto"/>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2828" w:type="pct"/>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是否被认定为严重违法失信行为记录名单</w:t>
            </w:r>
          </w:p>
        </w:tc>
        <w:tc>
          <w:tcPr>
            <w:tcW w:w="566" w:type="pct"/>
            <w:vAlign w:val="center"/>
          </w:tcPr>
          <w:p>
            <w:pPr>
              <w:spacing w:line="360" w:lineRule="auto"/>
              <w:jc w:val="center"/>
              <w:rPr>
                <w:rFonts w:ascii="宋体" w:hAnsi="宋体"/>
                <w:sz w:val="22"/>
                <w:szCs w:val="22"/>
                <w:shd w:val="clear" w:color="auto" w:fill="FFFFFF"/>
              </w:rPr>
            </w:pPr>
          </w:p>
        </w:tc>
        <w:tc>
          <w:tcPr>
            <w:tcW w:w="1131" w:type="pct"/>
            <w:vAlign w:val="center"/>
          </w:tcPr>
          <w:p>
            <w:pPr>
              <w:spacing w:line="360" w:lineRule="auto"/>
              <w:jc w:val="center"/>
              <w:rPr>
                <w:rFonts w:ascii="宋体" w:hAnsi="宋体"/>
                <w:sz w:val="22"/>
                <w:szCs w:val="22"/>
                <w:shd w:val="clear" w:color="auto" w:fill="FFFFFF"/>
              </w:rPr>
            </w:pPr>
          </w:p>
        </w:tc>
        <w:tc>
          <w:tcPr>
            <w:tcW w:w="475" w:type="pct"/>
            <w:vAlign w:val="center"/>
          </w:tcPr>
          <w:p>
            <w:pPr>
              <w:spacing w:line="360" w:lineRule="auto"/>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828" w:type="pct"/>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有无受各级管理部门的处罚</w:t>
            </w:r>
          </w:p>
        </w:tc>
        <w:tc>
          <w:tcPr>
            <w:tcW w:w="566" w:type="pct"/>
            <w:vAlign w:val="center"/>
          </w:tcPr>
          <w:p>
            <w:pPr>
              <w:spacing w:line="360" w:lineRule="auto"/>
              <w:jc w:val="center"/>
              <w:rPr>
                <w:rFonts w:ascii="宋体" w:hAnsi="宋体"/>
                <w:sz w:val="22"/>
                <w:szCs w:val="22"/>
                <w:shd w:val="clear" w:color="auto" w:fill="FFFFFF"/>
              </w:rPr>
            </w:pPr>
          </w:p>
        </w:tc>
        <w:tc>
          <w:tcPr>
            <w:tcW w:w="1131" w:type="pct"/>
            <w:vAlign w:val="center"/>
          </w:tcPr>
          <w:p>
            <w:pPr>
              <w:spacing w:line="360" w:lineRule="auto"/>
              <w:jc w:val="center"/>
              <w:rPr>
                <w:rFonts w:ascii="宋体" w:hAnsi="宋体"/>
                <w:sz w:val="22"/>
                <w:szCs w:val="22"/>
                <w:shd w:val="clear" w:color="auto" w:fill="FFFFFF"/>
              </w:rPr>
            </w:pPr>
          </w:p>
        </w:tc>
        <w:tc>
          <w:tcPr>
            <w:tcW w:w="475" w:type="pct"/>
            <w:vAlign w:val="center"/>
          </w:tcPr>
          <w:p>
            <w:pPr>
              <w:spacing w:line="360" w:lineRule="auto"/>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828" w:type="pct"/>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是否存在大额诉讼或多宗诉讼或其他违法、违约等影响本次招标项目正常履行的情况</w:t>
            </w:r>
          </w:p>
        </w:tc>
        <w:tc>
          <w:tcPr>
            <w:tcW w:w="566" w:type="pct"/>
            <w:vAlign w:val="center"/>
          </w:tcPr>
          <w:p>
            <w:pPr>
              <w:spacing w:line="360" w:lineRule="auto"/>
              <w:jc w:val="center"/>
              <w:rPr>
                <w:rFonts w:ascii="宋体" w:hAnsi="宋体"/>
                <w:sz w:val="22"/>
                <w:szCs w:val="22"/>
                <w:shd w:val="clear" w:color="auto" w:fill="FFFFFF"/>
              </w:rPr>
            </w:pPr>
          </w:p>
        </w:tc>
        <w:tc>
          <w:tcPr>
            <w:tcW w:w="1131" w:type="pct"/>
            <w:vAlign w:val="center"/>
          </w:tcPr>
          <w:p>
            <w:pPr>
              <w:spacing w:line="360" w:lineRule="auto"/>
              <w:jc w:val="center"/>
              <w:rPr>
                <w:rFonts w:ascii="宋体" w:hAnsi="宋体"/>
                <w:sz w:val="22"/>
                <w:szCs w:val="22"/>
                <w:shd w:val="clear" w:color="auto" w:fill="FFFFFF"/>
              </w:rPr>
            </w:pPr>
          </w:p>
        </w:tc>
        <w:tc>
          <w:tcPr>
            <w:tcW w:w="475" w:type="pct"/>
            <w:vAlign w:val="center"/>
          </w:tcPr>
          <w:p>
            <w:pPr>
              <w:spacing w:line="360" w:lineRule="auto"/>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828" w:type="pct"/>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是否</w:t>
            </w:r>
            <w:r>
              <w:rPr>
                <w:rFonts w:ascii="宋体" w:hAnsi="宋体"/>
                <w:sz w:val="22"/>
                <w:szCs w:val="22"/>
                <w:shd w:val="clear" w:color="auto" w:fill="FFFFFF"/>
              </w:rPr>
              <w:t>存在</w:t>
            </w:r>
            <w:r>
              <w:rPr>
                <w:rFonts w:hint="eastAsia" w:ascii="宋体" w:hAnsi="宋体"/>
                <w:sz w:val="22"/>
                <w:szCs w:val="22"/>
                <w:shd w:val="clear" w:color="auto" w:fill="FFFFFF"/>
              </w:rPr>
              <w:t>与东莞市交通投资集团有限公司及其下属企业在签订合同的履约过程中，因投标人或其关联公司严重违约而致使合同变更、中止、解除的</w:t>
            </w:r>
          </w:p>
        </w:tc>
        <w:tc>
          <w:tcPr>
            <w:tcW w:w="566" w:type="pct"/>
            <w:vAlign w:val="center"/>
          </w:tcPr>
          <w:p>
            <w:pPr>
              <w:spacing w:line="360" w:lineRule="auto"/>
              <w:jc w:val="center"/>
              <w:rPr>
                <w:rFonts w:ascii="宋体" w:hAnsi="宋体"/>
                <w:sz w:val="22"/>
                <w:szCs w:val="22"/>
                <w:shd w:val="clear" w:color="auto" w:fill="FFFFFF"/>
              </w:rPr>
            </w:pPr>
          </w:p>
        </w:tc>
        <w:tc>
          <w:tcPr>
            <w:tcW w:w="1131" w:type="pct"/>
            <w:vAlign w:val="center"/>
          </w:tcPr>
          <w:p>
            <w:pPr>
              <w:spacing w:line="360" w:lineRule="auto"/>
              <w:jc w:val="center"/>
              <w:rPr>
                <w:rFonts w:ascii="宋体" w:hAnsi="宋体"/>
                <w:sz w:val="22"/>
                <w:szCs w:val="22"/>
                <w:shd w:val="clear" w:color="auto" w:fill="FFFFFF"/>
              </w:rPr>
            </w:pPr>
          </w:p>
        </w:tc>
        <w:tc>
          <w:tcPr>
            <w:tcW w:w="475" w:type="pct"/>
            <w:vAlign w:val="center"/>
          </w:tcPr>
          <w:p>
            <w:pPr>
              <w:spacing w:line="360" w:lineRule="auto"/>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828" w:type="pct"/>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是否正在与东莞市交通投资集团有限公司及其下属企业发生诉讼</w:t>
            </w:r>
          </w:p>
        </w:tc>
        <w:tc>
          <w:tcPr>
            <w:tcW w:w="566" w:type="pct"/>
            <w:vAlign w:val="center"/>
          </w:tcPr>
          <w:p>
            <w:pPr>
              <w:spacing w:line="360" w:lineRule="auto"/>
              <w:jc w:val="center"/>
              <w:rPr>
                <w:rFonts w:ascii="宋体" w:hAnsi="宋体"/>
                <w:sz w:val="22"/>
                <w:szCs w:val="22"/>
                <w:shd w:val="clear" w:color="auto" w:fill="FFFFFF"/>
              </w:rPr>
            </w:pPr>
          </w:p>
        </w:tc>
        <w:tc>
          <w:tcPr>
            <w:tcW w:w="1131" w:type="pct"/>
            <w:vAlign w:val="center"/>
          </w:tcPr>
          <w:p>
            <w:pPr>
              <w:spacing w:line="360" w:lineRule="auto"/>
              <w:jc w:val="center"/>
              <w:rPr>
                <w:rFonts w:ascii="宋体" w:hAnsi="宋体"/>
                <w:sz w:val="22"/>
                <w:szCs w:val="22"/>
                <w:shd w:val="clear" w:color="auto" w:fill="FFFFFF"/>
              </w:rPr>
            </w:pPr>
          </w:p>
        </w:tc>
        <w:tc>
          <w:tcPr>
            <w:tcW w:w="475" w:type="pct"/>
            <w:vAlign w:val="center"/>
          </w:tcPr>
          <w:p>
            <w:pPr>
              <w:spacing w:line="360" w:lineRule="auto"/>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828" w:type="pct"/>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是否存在法院判决或仲裁裁决认定投标人或其关联公司在与东莞市交通投资集团有限公司及其下属企业履约过程中存在违约责任或过失责任</w:t>
            </w:r>
          </w:p>
        </w:tc>
        <w:tc>
          <w:tcPr>
            <w:tcW w:w="566" w:type="pct"/>
            <w:vAlign w:val="center"/>
          </w:tcPr>
          <w:p>
            <w:pPr>
              <w:spacing w:line="360" w:lineRule="auto"/>
              <w:jc w:val="center"/>
              <w:rPr>
                <w:rFonts w:ascii="宋体" w:hAnsi="宋体"/>
                <w:sz w:val="22"/>
                <w:szCs w:val="22"/>
                <w:shd w:val="clear" w:color="auto" w:fill="FFFFFF"/>
              </w:rPr>
            </w:pPr>
          </w:p>
        </w:tc>
        <w:tc>
          <w:tcPr>
            <w:tcW w:w="1131" w:type="pct"/>
            <w:vAlign w:val="center"/>
          </w:tcPr>
          <w:p>
            <w:pPr>
              <w:spacing w:line="360" w:lineRule="auto"/>
              <w:jc w:val="center"/>
              <w:rPr>
                <w:rFonts w:ascii="宋体" w:hAnsi="宋体"/>
                <w:sz w:val="22"/>
                <w:szCs w:val="22"/>
                <w:shd w:val="clear" w:color="auto" w:fill="FFFFFF"/>
              </w:rPr>
            </w:pPr>
          </w:p>
        </w:tc>
        <w:tc>
          <w:tcPr>
            <w:tcW w:w="475" w:type="pct"/>
            <w:vAlign w:val="center"/>
          </w:tcPr>
          <w:p>
            <w:pPr>
              <w:spacing w:line="360" w:lineRule="auto"/>
              <w:jc w:val="center"/>
              <w:rPr>
                <w:rFonts w:ascii="宋体" w:hAnsi="宋体"/>
                <w:sz w:val="22"/>
                <w:szCs w:val="22"/>
                <w:shd w:val="clear" w:color="auto" w:fill="FFFFFF"/>
              </w:rPr>
            </w:pPr>
          </w:p>
        </w:tc>
      </w:tr>
    </w:tbl>
    <w:p>
      <w:pPr>
        <w:spacing w:line="360" w:lineRule="auto"/>
        <w:rPr>
          <w:rFonts w:ascii="宋体" w:hAnsi="宋体"/>
          <w:sz w:val="22"/>
          <w:szCs w:val="22"/>
          <w:shd w:val="clear" w:color="auto" w:fill="FFFFFF"/>
        </w:rPr>
      </w:pPr>
      <w:r>
        <w:rPr>
          <w:rFonts w:hint="eastAsia" w:ascii="宋体" w:hAnsi="宋体"/>
          <w:sz w:val="22"/>
          <w:szCs w:val="22"/>
          <w:shd w:val="clear" w:color="auto" w:fill="FFFFFF"/>
        </w:rPr>
        <w:t>注：</w:t>
      </w:r>
    </w:p>
    <w:p>
      <w:pPr>
        <w:spacing w:line="360" w:lineRule="auto"/>
        <w:ind w:left="284" w:hanging="283" w:hangingChars="129"/>
        <w:rPr>
          <w:rFonts w:ascii="宋体" w:hAnsi="宋体"/>
          <w:sz w:val="22"/>
          <w:szCs w:val="22"/>
          <w:shd w:val="clear" w:color="auto" w:fill="FFFFFF"/>
        </w:rPr>
      </w:pPr>
      <w:r>
        <w:rPr>
          <w:rFonts w:ascii="宋体" w:hAnsi="宋体"/>
          <w:sz w:val="22"/>
          <w:szCs w:val="22"/>
          <w:shd w:val="clear" w:color="auto" w:fill="FFFFFF"/>
        </w:rPr>
        <w:t>1.</w:t>
      </w:r>
      <w:r>
        <w:rPr>
          <w:rFonts w:hint="eastAsia" w:ascii="宋体" w:hAnsi="宋体"/>
          <w:sz w:val="22"/>
          <w:szCs w:val="22"/>
          <w:shd w:val="clear" w:color="auto" w:fill="FFFFFF"/>
        </w:rPr>
        <w:t>根据投标人及其不具有独立法人资格的分支机构的实际情况自行编写，无相关事项的，在</w:t>
      </w:r>
      <w:r>
        <w:rPr>
          <w:rFonts w:ascii="宋体" w:hAnsi="宋体"/>
          <w:sz w:val="22"/>
          <w:szCs w:val="22"/>
          <w:shd w:val="clear" w:color="auto" w:fill="FFFFFF"/>
        </w:rPr>
        <w:t xml:space="preserve"> </w:t>
      </w:r>
      <w:r>
        <w:rPr>
          <w:rFonts w:hint="eastAsia" w:ascii="宋体" w:hAnsi="宋体"/>
          <w:sz w:val="22"/>
          <w:szCs w:val="22"/>
          <w:shd w:val="clear" w:color="auto" w:fill="FFFFFF"/>
        </w:rPr>
        <w:t>“认定时间”列填“无”；</w:t>
      </w:r>
    </w:p>
    <w:p>
      <w:pPr>
        <w:spacing w:line="360" w:lineRule="auto"/>
        <w:ind w:left="284" w:hanging="283" w:hangingChars="129"/>
        <w:rPr>
          <w:rFonts w:ascii="宋体" w:hAnsi="宋体"/>
          <w:sz w:val="22"/>
          <w:szCs w:val="22"/>
          <w:shd w:val="clear" w:color="auto" w:fill="FFFFFF"/>
        </w:rPr>
      </w:pPr>
      <w:r>
        <w:rPr>
          <w:rFonts w:ascii="宋体" w:hAnsi="宋体"/>
          <w:sz w:val="22"/>
          <w:szCs w:val="22"/>
          <w:shd w:val="clear" w:color="auto" w:fill="FFFFFF"/>
        </w:rPr>
        <w:t>2.</w:t>
      </w:r>
      <w:r>
        <w:rPr>
          <w:rFonts w:hint="eastAsia" w:ascii="宋体" w:hAnsi="宋体"/>
          <w:sz w:val="22"/>
          <w:szCs w:val="22"/>
          <w:shd w:val="clear" w:color="auto" w:fill="FFFFFF"/>
        </w:rPr>
        <w:t>若受到相关处罚的应附处罚相关材料复印件，发生经济诉讼或纠纷的应附法院判决书、仲裁决议等相关材料复印件（未完结</w:t>
      </w:r>
      <w:r>
        <w:rPr>
          <w:rFonts w:ascii="宋体" w:hAnsi="宋体"/>
          <w:sz w:val="22"/>
          <w:szCs w:val="22"/>
          <w:shd w:val="clear" w:color="auto" w:fill="FFFFFF"/>
        </w:rPr>
        <w:t>的诉讼或纠纷除外</w:t>
      </w:r>
      <w:r>
        <w:rPr>
          <w:rFonts w:hint="eastAsia" w:ascii="宋体" w:hAnsi="宋体"/>
          <w:sz w:val="22"/>
          <w:szCs w:val="22"/>
          <w:shd w:val="clear" w:color="auto" w:fill="FFFFFF"/>
        </w:rPr>
        <w:t>）；</w:t>
      </w:r>
    </w:p>
    <w:p>
      <w:pPr>
        <w:spacing w:line="360" w:lineRule="auto"/>
        <w:ind w:left="284" w:hanging="283" w:hangingChars="129"/>
        <w:rPr>
          <w:rFonts w:ascii="宋体" w:hAnsi="宋体"/>
          <w:sz w:val="22"/>
          <w:szCs w:val="22"/>
          <w:shd w:val="clear" w:color="auto" w:fill="FFFFFF"/>
        </w:rPr>
      </w:pPr>
      <w:r>
        <w:rPr>
          <w:rFonts w:ascii="宋体" w:hAnsi="宋体"/>
          <w:sz w:val="22"/>
          <w:szCs w:val="22"/>
          <w:shd w:val="clear" w:color="auto" w:fill="FFFFFF"/>
        </w:rPr>
        <w:t>3.</w:t>
      </w:r>
      <w:r>
        <w:rPr>
          <w:rFonts w:hint="eastAsia" w:ascii="宋体" w:hAnsi="宋体"/>
          <w:sz w:val="22"/>
          <w:szCs w:val="22"/>
          <w:shd w:val="clear" w:color="auto" w:fill="FFFFFF"/>
        </w:rPr>
        <w:t>如相关异常名录信息已失效，投标人需提供相关证明资料；</w:t>
      </w:r>
    </w:p>
    <w:p>
      <w:pPr>
        <w:spacing w:line="360" w:lineRule="auto"/>
        <w:ind w:left="284" w:hanging="283" w:hangingChars="129"/>
        <w:rPr>
          <w:rFonts w:ascii="宋体" w:hAnsi="宋体"/>
          <w:sz w:val="22"/>
          <w:szCs w:val="22"/>
          <w:shd w:val="clear" w:color="auto" w:fill="FFFFFF"/>
        </w:rPr>
      </w:pPr>
      <w:r>
        <w:rPr>
          <w:rFonts w:ascii="宋体" w:hAnsi="宋体"/>
          <w:sz w:val="22"/>
          <w:szCs w:val="22"/>
          <w:shd w:val="clear" w:color="auto" w:fill="FFFFFF"/>
        </w:rPr>
        <w:t>4.投标人须按</w:t>
      </w:r>
      <w:r>
        <w:rPr>
          <w:rFonts w:hint="eastAsia" w:ascii="宋体" w:hAnsi="宋体"/>
          <w:sz w:val="22"/>
          <w:szCs w:val="22"/>
          <w:shd w:val="clear" w:color="auto" w:fill="FFFFFF"/>
        </w:rPr>
        <w:t>其</w:t>
      </w:r>
      <w:r>
        <w:rPr>
          <w:rFonts w:ascii="宋体" w:hAnsi="宋体"/>
          <w:sz w:val="22"/>
          <w:szCs w:val="22"/>
          <w:shd w:val="clear" w:color="auto" w:fill="FFFFFF"/>
        </w:rPr>
        <w:t>实际情况如实填写上述承诺事宜，招标人及</w:t>
      </w:r>
      <w:r>
        <w:rPr>
          <w:rFonts w:hint="eastAsia" w:ascii="宋体" w:hAnsi="宋体"/>
          <w:sz w:val="22"/>
          <w:szCs w:val="22"/>
          <w:shd w:val="clear" w:color="auto" w:fill="FFFFFF"/>
        </w:rPr>
        <w:t>招标</w:t>
      </w:r>
      <w:r>
        <w:rPr>
          <w:rFonts w:ascii="宋体" w:hAnsi="宋体"/>
          <w:sz w:val="22"/>
          <w:szCs w:val="22"/>
          <w:shd w:val="clear" w:color="auto" w:fill="FFFFFF"/>
        </w:rPr>
        <w:t>代理机构有权在开标</w:t>
      </w:r>
      <w:r>
        <w:rPr>
          <w:rFonts w:hint="eastAsia" w:ascii="宋体" w:hAnsi="宋体"/>
          <w:sz w:val="22"/>
          <w:szCs w:val="22"/>
          <w:shd w:val="clear" w:color="auto" w:fill="FFFFFF"/>
        </w:rPr>
        <w:t>后</w:t>
      </w:r>
      <w:r>
        <w:rPr>
          <w:rFonts w:ascii="宋体" w:hAnsi="宋体"/>
          <w:sz w:val="22"/>
          <w:szCs w:val="22"/>
          <w:shd w:val="clear" w:color="auto" w:fill="FFFFFF"/>
        </w:rPr>
        <w:t>对投标人的上述承诺进行逐一核实，如发现投标人存在</w:t>
      </w:r>
      <w:r>
        <w:rPr>
          <w:rFonts w:hint="eastAsia" w:ascii="宋体" w:hAnsi="宋体"/>
          <w:sz w:val="22"/>
          <w:szCs w:val="22"/>
          <w:shd w:val="clear" w:color="auto" w:fill="FFFFFF"/>
        </w:rPr>
        <w:t>虚报</w:t>
      </w:r>
      <w:r>
        <w:rPr>
          <w:rFonts w:ascii="宋体" w:hAnsi="宋体"/>
          <w:sz w:val="22"/>
          <w:szCs w:val="22"/>
          <w:shd w:val="clear" w:color="auto" w:fill="FFFFFF"/>
        </w:rPr>
        <w:t>、瞒报等情况，将取消</w:t>
      </w:r>
      <w:r>
        <w:rPr>
          <w:rFonts w:hint="eastAsia" w:ascii="宋体" w:hAnsi="宋体"/>
          <w:sz w:val="22"/>
          <w:szCs w:val="22"/>
          <w:shd w:val="clear" w:color="auto" w:fill="FFFFFF"/>
        </w:rPr>
        <w:t>其</w:t>
      </w:r>
      <w:r>
        <w:rPr>
          <w:rFonts w:ascii="宋体" w:hAnsi="宋体"/>
          <w:sz w:val="22"/>
          <w:szCs w:val="22"/>
          <w:shd w:val="clear" w:color="auto" w:fill="FFFFFF"/>
        </w:rPr>
        <w:t>中标资格。</w:t>
      </w:r>
    </w:p>
    <w:p>
      <w:pPr>
        <w:pStyle w:val="47"/>
        <w:spacing w:before="644" w:beforeLines="200" w:line="480" w:lineRule="auto"/>
        <w:ind w:firstLine="4730" w:firstLineChars="2150"/>
        <w:rPr>
          <w:rFonts w:ascii="宋体" w:eastAsia="宋体" w:cs="宋体"/>
          <w:sz w:val="22"/>
          <w:szCs w:val="22"/>
          <w:u w:val="single"/>
        </w:rPr>
      </w:pPr>
      <w:r>
        <w:rPr>
          <w:rFonts w:hint="eastAsia" w:ascii="宋体" w:eastAsia="宋体" w:cs="宋体"/>
          <w:sz w:val="22"/>
          <w:szCs w:val="22"/>
        </w:rPr>
        <w:t xml:space="preserve">投标人名称（加盖公章）： </w:t>
      </w:r>
      <w:r>
        <w:rPr>
          <w:rFonts w:hint="eastAsia" w:ascii="宋体" w:eastAsia="宋体" w:cs="宋体"/>
          <w:sz w:val="22"/>
          <w:szCs w:val="22"/>
          <w:u w:val="single"/>
        </w:rPr>
        <w:t xml:space="preserve">                 </w:t>
      </w:r>
    </w:p>
    <w:p>
      <w:pPr>
        <w:pStyle w:val="47"/>
        <w:spacing w:line="480" w:lineRule="auto"/>
        <w:ind w:firstLine="4730" w:firstLineChars="2150"/>
        <w:rPr>
          <w:rFonts w:ascii="宋体" w:eastAsia="宋体" w:cs="宋体"/>
          <w:sz w:val="22"/>
          <w:szCs w:val="22"/>
          <w:u w:val="single"/>
        </w:rPr>
      </w:pPr>
      <w:r>
        <w:rPr>
          <w:rFonts w:hint="eastAsia" w:ascii="宋体" w:eastAsia="宋体" w:cs="宋体"/>
          <w:sz w:val="22"/>
          <w:szCs w:val="22"/>
        </w:rPr>
        <w:t xml:space="preserve">日   期： </w:t>
      </w:r>
      <w:r>
        <w:rPr>
          <w:rFonts w:hint="eastAsia" w:ascii="宋体" w:eastAsia="宋体" w:cs="宋体"/>
          <w:sz w:val="22"/>
          <w:szCs w:val="22"/>
          <w:u w:val="single"/>
        </w:rPr>
        <w:t xml:space="preserve">     年        月         日</w:t>
      </w:r>
    </w:p>
    <w:p>
      <w:pPr>
        <w:widowControl/>
        <w:jc w:val="left"/>
        <w:rPr>
          <w:rFonts w:asciiTheme="minorEastAsia" w:hAnsiTheme="minorEastAsia" w:eastAsiaTheme="minorEastAsia"/>
          <w:szCs w:val="21"/>
          <w:u w:val="single"/>
        </w:rPr>
      </w:pPr>
    </w:p>
    <w:p>
      <w:pPr>
        <w:widowControl/>
        <w:jc w:val="left"/>
        <w:rPr>
          <w:rFonts w:ascii="宋体" w:hAnsi="宋体"/>
          <w:b/>
          <w:bCs/>
          <w:sz w:val="22"/>
          <w:szCs w:val="22"/>
          <w:lang w:val="zh-CN"/>
        </w:rPr>
      </w:pPr>
      <w:r>
        <w:rPr>
          <w:rFonts w:ascii="宋体" w:hAnsi="宋体"/>
          <w:b/>
          <w:bCs/>
          <w:sz w:val="22"/>
          <w:szCs w:val="22"/>
          <w:lang w:val="zh-CN"/>
        </w:rPr>
        <w:br w:type="page"/>
      </w:r>
    </w:p>
    <w:p>
      <w:pPr>
        <w:spacing w:line="360" w:lineRule="auto"/>
        <w:jc w:val="center"/>
        <w:rPr>
          <w:rFonts w:ascii="宋体" w:hAnsi="宋体"/>
          <w:b/>
          <w:bCs/>
          <w:sz w:val="22"/>
          <w:szCs w:val="22"/>
          <w:lang w:val="zh-CN"/>
        </w:rPr>
      </w:pPr>
      <w:r>
        <w:rPr>
          <w:rFonts w:hint="eastAsia" w:ascii="宋体" w:hAnsi="宋体"/>
          <w:b/>
          <w:bCs/>
          <w:sz w:val="22"/>
          <w:szCs w:val="22"/>
        </w:rPr>
        <w:t>8.2</w:t>
      </w:r>
      <w:r>
        <w:rPr>
          <w:rFonts w:hint="eastAsia" w:ascii="宋体" w:hAnsi="宋体"/>
          <w:b/>
          <w:bCs/>
          <w:sz w:val="22"/>
          <w:szCs w:val="22"/>
          <w:lang w:val="zh-CN"/>
        </w:rPr>
        <w:t>其他承诺（如有）</w:t>
      </w:r>
    </w:p>
    <w:p>
      <w:pPr>
        <w:spacing w:line="360" w:lineRule="auto"/>
        <w:jc w:val="center"/>
        <w:rPr>
          <w:rFonts w:ascii="宋体" w:hAnsi="宋体"/>
          <w:bCs/>
          <w:sz w:val="22"/>
          <w:szCs w:val="22"/>
        </w:rPr>
      </w:pPr>
      <w:r>
        <w:rPr>
          <w:rFonts w:hint="eastAsia" w:ascii="宋体" w:hAnsi="宋体"/>
          <w:b/>
          <w:bCs/>
          <w:sz w:val="22"/>
          <w:szCs w:val="22"/>
          <w:lang w:val="zh-CN"/>
        </w:rPr>
        <w:t>（格式由投标人自定义）</w:t>
      </w:r>
    </w:p>
    <w:p>
      <w:pPr>
        <w:widowControl/>
        <w:jc w:val="left"/>
        <w:rPr>
          <w:rFonts w:ascii="Times New Roman" w:hAnsi="Times New Roman"/>
          <w:b/>
          <w:bCs/>
          <w:sz w:val="22"/>
          <w:szCs w:val="22"/>
        </w:rPr>
      </w:pPr>
      <w:r>
        <w:rPr>
          <w:rFonts w:ascii="Times New Roman" w:hAnsi="Times New Roman"/>
          <w:b/>
          <w:bCs/>
          <w:sz w:val="22"/>
          <w:szCs w:val="22"/>
        </w:rPr>
        <w:br w:type="page"/>
      </w:r>
    </w:p>
    <w:p>
      <w:pPr>
        <w:pStyle w:val="5"/>
        <w:spacing w:line="360" w:lineRule="auto"/>
        <w:jc w:val="center"/>
        <w:rPr>
          <w:rFonts w:ascii="宋体" w:hAnsi="宋体"/>
          <w:sz w:val="22"/>
          <w:szCs w:val="22"/>
        </w:rPr>
      </w:pPr>
      <w:bookmarkStart w:id="1271" w:name="_Toc16341"/>
      <w:bookmarkStart w:id="1272" w:name="_Toc22979"/>
      <w:bookmarkStart w:id="1273" w:name="_Toc27096"/>
      <w:bookmarkStart w:id="1274" w:name="_Toc6165"/>
      <w:bookmarkStart w:id="1275" w:name="_Toc22419"/>
      <w:r>
        <w:rPr>
          <w:rFonts w:ascii="宋体" w:hAnsi="宋体"/>
          <w:sz w:val="22"/>
          <w:szCs w:val="22"/>
        </w:rPr>
        <w:t>9</w:t>
      </w:r>
      <w:bookmarkEnd w:id="1264"/>
      <w:bookmarkEnd w:id="1265"/>
      <w:bookmarkEnd w:id="1266"/>
      <w:bookmarkEnd w:id="1267"/>
      <w:bookmarkEnd w:id="1268"/>
      <w:r>
        <w:rPr>
          <w:rFonts w:ascii="宋体" w:hAnsi="宋体"/>
          <w:sz w:val="22"/>
          <w:szCs w:val="22"/>
        </w:rPr>
        <w:t>、业绩情况一览表</w:t>
      </w:r>
      <w:bookmarkEnd w:id="1269"/>
      <w:bookmarkEnd w:id="1270"/>
      <w:bookmarkEnd w:id="1271"/>
      <w:bookmarkEnd w:id="1272"/>
      <w:bookmarkEnd w:id="1273"/>
      <w:bookmarkEnd w:id="1274"/>
      <w:bookmarkEnd w:id="1275"/>
    </w:p>
    <w:p>
      <w:pPr>
        <w:spacing w:line="360" w:lineRule="auto"/>
        <w:rPr>
          <w:rFonts w:ascii="宋体" w:hAnsi="宋体" w:cs="宋体"/>
          <w:sz w:val="22"/>
          <w:szCs w:val="22"/>
        </w:rPr>
      </w:pPr>
      <w:r>
        <w:rPr>
          <w:rFonts w:hint="eastAsia" w:ascii="宋体" w:hAnsi="宋体" w:cs="宋体"/>
          <w:sz w:val="22"/>
          <w:szCs w:val="22"/>
        </w:rPr>
        <w:t>项目名称：</w:t>
      </w:r>
      <w:r>
        <w:rPr>
          <w:rFonts w:hint="eastAsia" w:ascii="宋体" w:hAnsi="宋体" w:cs="宋体"/>
          <w:sz w:val="22"/>
          <w:szCs w:val="22"/>
          <w:lang w:eastAsia="zh-CN"/>
        </w:rPr>
        <w:t>东莞市交通投资集团有限公司供应链服务平台项目</w:t>
      </w:r>
      <w:r>
        <w:rPr>
          <w:rFonts w:hint="eastAsia" w:ascii="宋体" w:hAnsi="宋体" w:cs="宋体"/>
          <w:sz w:val="22"/>
          <w:szCs w:val="22"/>
        </w:rPr>
        <w:t xml:space="preserve">  </w:t>
      </w:r>
    </w:p>
    <w:p>
      <w:pPr>
        <w:spacing w:line="360" w:lineRule="auto"/>
        <w:rPr>
          <w:rFonts w:ascii="宋体" w:hAnsi="宋体" w:cs="宋体"/>
          <w:sz w:val="22"/>
          <w:szCs w:val="22"/>
          <w:u w:val="single"/>
        </w:rPr>
      </w:pPr>
      <w:r>
        <w:rPr>
          <w:rFonts w:hint="eastAsia" w:ascii="宋体" w:hAnsi="宋体" w:cs="宋体"/>
          <w:sz w:val="22"/>
          <w:szCs w:val="22"/>
        </w:rPr>
        <w:t xml:space="preserve">项目编号：SL-CG2022028        </w:t>
      </w:r>
    </w:p>
    <w:tbl>
      <w:tblPr>
        <w:tblStyle w:val="34"/>
        <w:tblW w:w="943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8"/>
        <w:gridCol w:w="1497"/>
        <w:gridCol w:w="1559"/>
        <w:gridCol w:w="1276"/>
        <w:gridCol w:w="850"/>
        <w:gridCol w:w="993"/>
        <w:gridCol w:w="1417"/>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8"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zh-CN"/>
              </w:rPr>
              <w:t>序号</w:t>
            </w:r>
          </w:p>
        </w:tc>
        <w:tc>
          <w:tcPr>
            <w:tcW w:w="14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zh-CN"/>
              </w:rPr>
              <w:t>项目名称</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主要服务内容</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lang w:val="zh-CN"/>
              </w:rPr>
            </w:pPr>
            <w:r>
              <w:rPr>
                <w:rFonts w:hint="eastAsia" w:ascii="宋体" w:hAnsi="宋体" w:cs="宋体"/>
                <w:sz w:val="22"/>
                <w:szCs w:val="22"/>
              </w:rPr>
              <w:t>项目负责人</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zh-CN"/>
              </w:rPr>
              <w:t>合同</w:t>
            </w:r>
          </w:p>
          <w:p>
            <w:pPr>
              <w:jc w:val="center"/>
              <w:rPr>
                <w:rFonts w:ascii="宋体" w:hAnsi="宋体" w:cs="宋体"/>
                <w:sz w:val="22"/>
                <w:szCs w:val="22"/>
              </w:rPr>
            </w:pPr>
            <w:r>
              <w:rPr>
                <w:rFonts w:hint="eastAsia" w:ascii="宋体" w:hAnsi="宋体" w:cs="宋体"/>
                <w:sz w:val="22"/>
                <w:szCs w:val="22"/>
                <w:lang w:val="zh-CN"/>
              </w:rPr>
              <w:t>金额</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lang w:val="zh-CN"/>
              </w:rPr>
            </w:pPr>
            <w:r>
              <w:rPr>
                <w:rFonts w:hint="eastAsia" w:ascii="宋体" w:hAnsi="宋体" w:cs="宋体"/>
                <w:sz w:val="22"/>
                <w:szCs w:val="22"/>
                <w:lang w:val="zh-CN"/>
              </w:rPr>
              <w:t>签约</w:t>
            </w:r>
          </w:p>
          <w:p>
            <w:pPr>
              <w:jc w:val="center"/>
              <w:rPr>
                <w:rFonts w:ascii="宋体" w:hAnsi="宋体" w:cs="宋体"/>
                <w:sz w:val="22"/>
                <w:szCs w:val="22"/>
              </w:rPr>
            </w:pPr>
            <w:r>
              <w:rPr>
                <w:rFonts w:hint="eastAsia" w:ascii="宋体" w:hAnsi="宋体" w:cs="宋体"/>
                <w:sz w:val="22"/>
                <w:szCs w:val="22"/>
                <w:lang w:val="zh-CN"/>
              </w:rPr>
              <w:t>日期</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zh-CN"/>
              </w:rPr>
              <w:t>委托单位电话及联系人</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lang w:val="zh-CN"/>
              </w:rPr>
            </w:pPr>
            <w:r>
              <w:rPr>
                <w:rFonts w:hint="eastAsia" w:ascii="宋体" w:hAnsi="宋体" w:cs="宋体"/>
                <w:sz w:val="22"/>
                <w:szCs w:val="22"/>
                <w:lang w:val="zh-CN"/>
              </w:rPr>
              <w:t>1</w:t>
            </w:r>
          </w:p>
        </w:tc>
        <w:tc>
          <w:tcPr>
            <w:tcW w:w="14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lang w:val="zh-CN"/>
              </w:rPr>
            </w:pPr>
            <w:r>
              <w:rPr>
                <w:rFonts w:hint="eastAsia" w:ascii="宋体" w:hAnsi="宋体" w:cs="宋体"/>
                <w:sz w:val="22"/>
                <w:szCs w:val="22"/>
                <w:lang w:val="zh-CN"/>
              </w:rPr>
              <w:t>2</w:t>
            </w:r>
          </w:p>
        </w:tc>
        <w:tc>
          <w:tcPr>
            <w:tcW w:w="14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2"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lang w:val="zh-CN"/>
              </w:rPr>
            </w:pPr>
            <w:r>
              <w:rPr>
                <w:rFonts w:hint="eastAsia" w:ascii="宋体" w:hAnsi="宋体" w:cs="宋体"/>
                <w:sz w:val="22"/>
                <w:szCs w:val="22"/>
                <w:lang w:val="zh-CN"/>
              </w:rPr>
              <w:t>3</w:t>
            </w:r>
          </w:p>
        </w:tc>
        <w:tc>
          <w:tcPr>
            <w:tcW w:w="14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w:t>
            </w:r>
          </w:p>
        </w:tc>
        <w:tc>
          <w:tcPr>
            <w:tcW w:w="14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14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r>
    </w:tbl>
    <w:p>
      <w:pPr>
        <w:rPr>
          <w:rFonts w:ascii="宋体" w:hAnsi="宋体" w:cs="宋体"/>
          <w:sz w:val="22"/>
          <w:szCs w:val="22"/>
        </w:rPr>
      </w:pPr>
    </w:p>
    <w:p>
      <w:pPr>
        <w:spacing w:line="360" w:lineRule="auto"/>
        <w:ind w:left="770" w:hanging="770" w:hangingChars="350"/>
        <w:rPr>
          <w:rFonts w:ascii="宋体" w:hAnsi="宋体" w:cs="宋体"/>
          <w:sz w:val="22"/>
          <w:szCs w:val="22"/>
        </w:rPr>
      </w:pPr>
      <w:r>
        <w:rPr>
          <w:rFonts w:hint="eastAsia" w:ascii="宋体" w:hAnsi="宋体" w:cs="宋体"/>
          <w:sz w:val="22"/>
          <w:szCs w:val="22"/>
        </w:rPr>
        <w:t>注：</w:t>
      </w:r>
      <w:r>
        <w:rPr>
          <w:rFonts w:hint="eastAsia" w:ascii="宋体" w:hAnsi="宋体" w:cs="宋体"/>
          <w:sz w:val="22"/>
          <w:szCs w:val="22"/>
          <w:lang w:val="zh-CN"/>
        </w:rPr>
        <w:t>1）</w:t>
      </w:r>
      <w:r>
        <w:rPr>
          <w:rFonts w:hint="eastAsia" w:ascii="宋体" w:hAnsi="宋体" w:cs="宋体"/>
          <w:sz w:val="22"/>
          <w:szCs w:val="22"/>
        </w:rPr>
        <w:t>所提供的业绩资料须按评分标准中所列要求提供证明资料，若未按上述要求提供证明材料的业绩，或所附材料无法证明符合评分要求的业绩，在评标时将不予考虑。</w:t>
      </w:r>
    </w:p>
    <w:p>
      <w:pPr>
        <w:spacing w:line="360" w:lineRule="auto"/>
        <w:ind w:left="695" w:leftChars="226" w:hanging="220" w:hangingChars="100"/>
        <w:rPr>
          <w:rFonts w:ascii="宋体" w:hAnsi="宋体" w:cs="宋体"/>
          <w:sz w:val="22"/>
          <w:szCs w:val="22"/>
        </w:rPr>
      </w:pPr>
      <w:r>
        <w:rPr>
          <w:rFonts w:hint="eastAsia" w:ascii="宋体" w:hAnsi="宋体" w:cs="宋体"/>
          <w:sz w:val="22"/>
          <w:szCs w:val="22"/>
        </w:rPr>
        <w:t>2）</w:t>
      </w:r>
      <w:r>
        <w:rPr>
          <w:rFonts w:hint="eastAsia" w:ascii="宋体" w:hAnsi="宋体" w:cs="宋体"/>
          <w:sz w:val="22"/>
          <w:szCs w:val="22"/>
          <w:lang w:val="zh-CN"/>
        </w:rPr>
        <w:t>如被发现虚假将取消中标资格。</w:t>
      </w:r>
    </w:p>
    <w:p>
      <w:pPr>
        <w:spacing w:line="360" w:lineRule="auto"/>
        <w:rPr>
          <w:rFonts w:ascii="宋体" w:hAnsi="宋体" w:cs="宋体"/>
          <w:sz w:val="22"/>
          <w:szCs w:val="22"/>
        </w:rPr>
      </w:pPr>
    </w:p>
    <w:p>
      <w:pPr>
        <w:rPr>
          <w:rFonts w:ascii="宋体" w:hAnsi="宋体" w:cs="宋体"/>
          <w:sz w:val="22"/>
          <w:szCs w:val="22"/>
        </w:rPr>
      </w:pPr>
    </w:p>
    <w:p>
      <w:pPr>
        <w:rPr>
          <w:rFonts w:ascii="宋体" w:hAnsi="宋体" w:cs="宋体"/>
          <w:sz w:val="22"/>
          <w:szCs w:val="22"/>
        </w:rPr>
      </w:pPr>
    </w:p>
    <w:p>
      <w:pPr>
        <w:rPr>
          <w:rFonts w:ascii="宋体" w:hAnsi="宋体" w:cs="宋体"/>
          <w:sz w:val="22"/>
          <w:szCs w:val="22"/>
        </w:rPr>
      </w:pPr>
    </w:p>
    <w:p/>
    <w:p>
      <w:pPr>
        <w:pStyle w:val="47"/>
        <w:spacing w:line="360" w:lineRule="auto"/>
        <w:ind w:firstLine="3964" w:firstLineChars="1802"/>
        <w:rPr>
          <w:rFonts w:ascii="宋体" w:eastAsia="宋体"/>
          <w:sz w:val="22"/>
          <w:szCs w:val="22"/>
          <w:u w:val="single"/>
        </w:rPr>
      </w:pPr>
      <w:r>
        <w:rPr>
          <w:rFonts w:hint="eastAsia" w:ascii="宋体" w:eastAsia="宋体"/>
          <w:sz w:val="22"/>
          <w:szCs w:val="22"/>
        </w:rPr>
        <w:t xml:space="preserve">投标人名称（加盖公章）： </w:t>
      </w:r>
    </w:p>
    <w:p>
      <w:pPr>
        <w:pStyle w:val="47"/>
        <w:spacing w:line="360" w:lineRule="auto"/>
        <w:ind w:firstLine="3964" w:firstLineChars="1802"/>
        <w:rPr>
          <w:rFonts w:ascii="宋体" w:eastAsia="宋体"/>
          <w:sz w:val="22"/>
          <w:szCs w:val="22"/>
        </w:rPr>
      </w:pPr>
      <w:r>
        <w:rPr>
          <w:rFonts w:hint="eastAsia" w:ascii="宋体" w:eastAsia="宋体"/>
          <w:sz w:val="22"/>
          <w:szCs w:val="22"/>
        </w:rPr>
        <w:t>投标人法定代表人或被授权人（签名或盖私章）：</w:t>
      </w:r>
    </w:p>
    <w:p>
      <w:pPr>
        <w:pStyle w:val="47"/>
        <w:spacing w:line="360" w:lineRule="auto"/>
        <w:ind w:firstLine="3964" w:firstLineChars="1802"/>
        <w:rPr>
          <w:rFonts w:ascii="宋体" w:eastAsia="宋体"/>
          <w:sz w:val="22"/>
          <w:szCs w:val="22"/>
          <w:u w:val="single"/>
        </w:rPr>
      </w:pPr>
      <w:r>
        <w:rPr>
          <w:rFonts w:hint="eastAsia" w:ascii="宋体" w:eastAsia="宋体"/>
          <w:sz w:val="22"/>
          <w:szCs w:val="22"/>
        </w:rPr>
        <w:t>日期：</w:t>
      </w:r>
      <w:r>
        <w:rPr>
          <w:rFonts w:hint="eastAsia" w:ascii="宋体" w:eastAsia="宋体"/>
          <w:sz w:val="22"/>
          <w:szCs w:val="22"/>
          <w:u w:val="single"/>
        </w:rPr>
        <w:t xml:space="preserve">     年     月      日</w:t>
      </w:r>
    </w:p>
    <w:p>
      <w:pPr>
        <w:spacing w:after="60" w:line="560" w:lineRule="exact"/>
        <w:jc w:val="center"/>
        <w:outlineLvl w:val="2"/>
        <w:rPr>
          <w:rFonts w:ascii="宋体" w:hAnsi="宋体" w:cs="宋体"/>
          <w:sz w:val="22"/>
          <w:szCs w:val="22"/>
        </w:rPr>
      </w:pPr>
    </w:p>
    <w:p>
      <w:pPr>
        <w:spacing w:after="60" w:line="560" w:lineRule="exact"/>
        <w:outlineLvl w:val="2"/>
        <w:rPr>
          <w:rFonts w:ascii="宋体" w:hAnsi="宋体" w:cs="宋体"/>
          <w:sz w:val="22"/>
          <w:szCs w:val="22"/>
        </w:rPr>
      </w:pPr>
    </w:p>
    <w:p>
      <w:pPr>
        <w:widowControl/>
        <w:jc w:val="left"/>
        <w:rPr>
          <w:rFonts w:ascii="宋体" w:hAnsi="宋体" w:cs="宋体"/>
          <w:b/>
          <w:bCs/>
          <w:sz w:val="22"/>
          <w:szCs w:val="22"/>
        </w:rPr>
      </w:pPr>
      <w:bookmarkStart w:id="1276" w:name="_Toc439325721"/>
      <w:bookmarkStart w:id="1277" w:name="_Toc454875062"/>
      <w:bookmarkStart w:id="1278" w:name="_Toc441844125"/>
      <w:r>
        <w:rPr>
          <w:rFonts w:ascii="宋体" w:hAnsi="宋体" w:cs="宋体"/>
          <w:sz w:val="22"/>
          <w:szCs w:val="22"/>
        </w:rPr>
        <w:br w:type="page"/>
      </w:r>
    </w:p>
    <w:bookmarkEnd w:id="1276"/>
    <w:bookmarkEnd w:id="1277"/>
    <w:bookmarkEnd w:id="1278"/>
    <w:p>
      <w:pPr>
        <w:pStyle w:val="5"/>
        <w:spacing w:line="360" w:lineRule="auto"/>
        <w:jc w:val="center"/>
        <w:rPr>
          <w:rFonts w:ascii="宋体" w:hAnsi="宋体"/>
          <w:sz w:val="22"/>
          <w:szCs w:val="22"/>
        </w:rPr>
      </w:pPr>
      <w:bookmarkStart w:id="1279" w:name="_Toc9495"/>
      <w:bookmarkStart w:id="1280" w:name="_Toc10596"/>
      <w:bookmarkStart w:id="1281" w:name="_Toc12218"/>
      <w:bookmarkStart w:id="1282" w:name="_Toc23312"/>
      <w:bookmarkStart w:id="1283" w:name="_Toc27179"/>
      <w:bookmarkStart w:id="1284" w:name="_Toc454875064"/>
      <w:bookmarkStart w:id="1285" w:name="_Toc441844127"/>
      <w:bookmarkStart w:id="1286" w:name="_Toc439325723"/>
      <w:r>
        <w:rPr>
          <w:rFonts w:ascii="宋体" w:hAnsi="宋体"/>
          <w:sz w:val="22"/>
          <w:szCs w:val="22"/>
        </w:rPr>
        <w:t>10</w:t>
      </w:r>
      <w:r>
        <w:rPr>
          <w:rFonts w:hint="eastAsia" w:ascii="宋体" w:hAnsi="宋体"/>
          <w:sz w:val="22"/>
          <w:szCs w:val="22"/>
        </w:rPr>
        <w:t>、拟投入本项目的服务团队人员情况表格式</w:t>
      </w:r>
      <w:bookmarkEnd w:id="1279"/>
      <w:bookmarkEnd w:id="1280"/>
      <w:bookmarkEnd w:id="1281"/>
      <w:bookmarkEnd w:id="1282"/>
      <w:bookmarkEnd w:id="1283"/>
    </w:p>
    <w:p>
      <w:pPr>
        <w:spacing w:line="360" w:lineRule="auto"/>
        <w:jc w:val="center"/>
        <w:rPr>
          <w:rFonts w:ascii="宋体" w:hAnsi="宋体"/>
          <w:b/>
          <w:sz w:val="22"/>
          <w:szCs w:val="22"/>
        </w:rPr>
      </w:pPr>
      <w:r>
        <w:rPr>
          <w:rFonts w:hint="eastAsia" w:ascii="宋体" w:hAnsi="宋体"/>
          <w:b/>
          <w:sz w:val="22"/>
          <w:szCs w:val="22"/>
        </w:rPr>
        <w:t>10-1 拟投入本项目管理人员情况表</w:t>
      </w:r>
    </w:p>
    <w:p>
      <w:pPr>
        <w:spacing w:line="360" w:lineRule="auto"/>
        <w:rPr>
          <w:rFonts w:ascii="宋体" w:hAnsi="宋体" w:cs="宋体"/>
          <w:sz w:val="22"/>
          <w:szCs w:val="22"/>
        </w:rPr>
      </w:pPr>
      <w:r>
        <w:rPr>
          <w:rFonts w:hint="eastAsia" w:ascii="宋体" w:hAnsi="宋体" w:cs="宋体"/>
          <w:sz w:val="22"/>
          <w:szCs w:val="22"/>
        </w:rPr>
        <w:t>项目名称：</w:t>
      </w:r>
      <w:r>
        <w:rPr>
          <w:rFonts w:hint="eastAsia" w:ascii="宋体" w:hAnsi="宋体" w:cs="宋体"/>
          <w:sz w:val="22"/>
          <w:szCs w:val="22"/>
          <w:lang w:eastAsia="zh-CN"/>
        </w:rPr>
        <w:t>东莞市交通投资集团有限公司供应链服务平台项目</w:t>
      </w:r>
      <w:r>
        <w:rPr>
          <w:rFonts w:hint="eastAsia" w:ascii="宋体" w:hAnsi="宋体" w:cs="宋体"/>
          <w:sz w:val="22"/>
          <w:szCs w:val="22"/>
        </w:rPr>
        <w:t xml:space="preserve">  </w:t>
      </w:r>
    </w:p>
    <w:p>
      <w:pPr>
        <w:spacing w:line="360" w:lineRule="auto"/>
        <w:rPr>
          <w:rFonts w:ascii="Times New Roman" w:hAnsi="Times New Roman"/>
          <w:szCs w:val="21"/>
          <w:u w:val="single"/>
        </w:rPr>
      </w:pPr>
      <w:r>
        <w:rPr>
          <w:rFonts w:hint="eastAsia" w:ascii="宋体" w:hAnsi="宋体" w:cs="宋体"/>
          <w:sz w:val="22"/>
          <w:szCs w:val="22"/>
        </w:rPr>
        <w:t xml:space="preserve">项目编号：SL-CG2022028         </w:t>
      </w:r>
    </w:p>
    <w:tbl>
      <w:tblPr>
        <w:tblStyle w:val="34"/>
        <w:tblW w:w="9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169"/>
        <w:gridCol w:w="677"/>
        <w:gridCol w:w="677"/>
        <w:gridCol w:w="677"/>
        <w:gridCol w:w="1647"/>
        <w:gridCol w:w="1134"/>
        <w:gridCol w:w="1939"/>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48" w:type="dxa"/>
            <w:vAlign w:val="center"/>
          </w:tcPr>
          <w:p>
            <w:pPr>
              <w:spacing w:line="360" w:lineRule="auto"/>
              <w:jc w:val="center"/>
              <w:rPr>
                <w:rFonts w:ascii="宋体" w:hAnsi="宋体" w:cs="宋体"/>
                <w:sz w:val="22"/>
                <w:szCs w:val="22"/>
              </w:rPr>
            </w:pPr>
            <w:r>
              <w:rPr>
                <w:rFonts w:hint="eastAsia" w:ascii="宋体" w:hAnsi="宋体" w:cs="宋体"/>
                <w:sz w:val="22"/>
                <w:szCs w:val="22"/>
              </w:rPr>
              <w:t>序号</w:t>
            </w:r>
          </w:p>
        </w:tc>
        <w:tc>
          <w:tcPr>
            <w:tcW w:w="1169" w:type="dxa"/>
            <w:vAlign w:val="center"/>
          </w:tcPr>
          <w:p>
            <w:pPr>
              <w:spacing w:line="360" w:lineRule="auto"/>
              <w:jc w:val="center"/>
              <w:rPr>
                <w:rFonts w:ascii="宋体" w:hAnsi="宋体" w:cs="宋体"/>
                <w:sz w:val="22"/>
                <w:szCs w:val="22"/>
              </w:rPr>
            </w:pPr>
            <w:r>
              <w:rPr>
                <w:rFonts w:hint="eastAsia" w:ascii="宋体" w:hAnsi="宋体" w:cs="宋体"/>
                <w:sz w:val="22"/>
                <w:szCs w:val="22"/>
              </w:rPr>
              <w:t>姓名</w:t>
            </w:r>
          </w:p>
        </w:tc>
        <w:tc>
          <w:tcPr>
            <w:tcW w:w="677" w:type="dxa"/>
            <w:vAlign w:val="center"/>
          </w:tcPr>
          <w:p>
            <w:pPr>
              <w:spacing w:line="360" w:lineRule="auto"/>
              <w:jc w:val="center"/>
              <w:rPr>
                <w:rFonts w:ascii="宋体" w:hAnsi="宋体" w:cs="宋体"/>
                <w:sz w:val="22"/>
                <w:szCs w:val="22"/>
              </w:rPr>
            </w:pPr>
            <w:r>
              <w:rPr>
                <w:rFonts w:hint="eastAsia" w:ascii="宋体" w:hAnsi="宋体" w:cs="宋体"/>
                <w:sz w:val="22"/>
                <w:szCs w:val="22"/>
              </w:rPr>
              <w:t>性别</w:t>
            </w:r>
          </w:p>
        </w:tc>
        <w:tc>
          <w:tcPr>
            <w:tcW w:w="677" w:type="dxa"/>
            <w:vAlign w:val="center"/>
          </w:tcPr>
          <w:p>
            <w:pPr>
              <w:spacing w:line="360" w:lineRule="auto"/>
              <w:jc w:val="center"/>
              <w:rPr>
                <w:rFonts w:ascii="宋体" w:hAnsi="宋体" w:cs="宋体"/>
                <w:sz w:val="22"/>
                <w:szCs w:val="22"/>
              </w:rPr>
            </w:pPr>
            <w:r>
              <w:rPr>
                <w:rFonts w:hint="eastAsia" w:ascii="宋体" w:hAnsi="宋体" w:cs="宋体"/>
                <w:sz w:val="22"/>
                <w:szCs w:val="22"/>
              </w:rPr>
              <w:t>年龄</w:t>
            </w:r>
          </w:p>
        </w:tc>
        <w:tc>
          <w:tcPr>
            <w:tcW w:w="677" w:type="dxa"/>
            <w:vAlign w:val="center"/>
          </w:tcPr>
          <w:p>
            <w:pPr>
              <w:spacing w:line="360" w:lineRule="auto"/>
              <w:jc w:val="center"/>
              <w:rPr>
                <w:rFonts w:ascii="宋体" w:hAnsi="宋体" w:cs="宋体"/>
                <w:sz w:val="22"/>
                <w:szCs w:val="22"/>
              </w:rPr>
            </w:pPr>
            <w:r>
              <w:rPr>
                <w:rFonts w:hint="eastAsia" w:ascii="宋体" w:hAnsi="宋体" w:cs="宋体"/>
                <w:sz w:val="22"/>
                <w:szCs w:val="22"/>
              </w:rPr>
              <w:t>学历</w:t>
            </w:r>
          </w:p>
        </w:tc>
        <w:tc>
          <w:tcPr>
            <w:tcW w:w="1647" w:type="dxa"/>
            <w:vAlign w:val="center"/>
          </w:tcPr>
          <w:p>
            <w:pPr>
              <w:spacing w:line="360" w:lineRule="auto"/>
              <w:jc w:val="center"/>
              <w:rPr>
                <w:rFonts w:ascii="宋体" w:hAnsi="宋体" w:cs="宋体"/>
                <w:sz w:val="22"/>
                <w:szCs w:val="22"/>
              </w:rPr>
            </w:pPr>
            <w:r>
              <w:rPr>
                <w:rFonts w:hint="eastAsia" w:ascii="宋体" w:hAnsi="宋体" w:cs="宋体"/>
                <w:sz w:val="22"/>
                <w:szCs w:val="22"/>
              </w:rPr>
              <w:t>资格/职称证书</w:t>
            </w:r>
          </w:p>
        </w:tc>
        <w:tc>
          <w:tcPr>
            <w:tcW w:w="1134" w:type="dxa"/>
            <w:vAlign w:val="center"/>
          </w:tcPr>
          <w:p>
            <w:pPr>
              <w:spacing w:line="360" w:lineRule="auto"/>
              <w:jc w:val="center"/>
              <w:rPr>
                <w:rFonts w:ascii="宋体" w:hAnsi="宋体" w:cs="宋体"/>
                <w:sz w:val="22"/>
                <w:szCs w:val="22"/>
              </w:rPr>
            </w:pPr>
            <w:r>
              <w:rPr>
                <w:rFonts w:hint="eastAsia" w:ascii="宋体" w:hAnsi="宋体" w:cs="宋体"/>
                <w:sz w:val="22"/>
                <w:szCs w:val="22"/>
              </w:rPr>
              <w:t>拟任职务</w:t>
            </w:r>
          </w:p>
        </w:tc>
        <w:tc>
          <w:tcPr>
            <w:tcW w:w="1939" w:type="dxa"/>
            <w:vAlign w:val="center"/>
          </w:tcPr>
          <w:p>
            <w:pPr>
              <w:spacing w:line="360" w:lineRule="auto"/>
              <w:jc w:val="center"/>
              <w:rPr>
                <w:rFonts w:ascii="宋体" w:hAnsi="宋体" w:cs="宋体"/>
                <w:sz w:val="22"/>
                <w:szCs w:val="22"/>
              </w:rPr>
            </w:pPr>
            <w:r>
              <w:rPr>
                <w:rFonts w:hint="eastAsia" w:ascii="宋体" w:hAnsi="宋体" w:cs="宋体"/>
                <w:sz w:val="22"/>
                <w:szCs w:val="22"/>
              </w:rPr>
              <w:t>从事本行业年限</w:t>
            </w:r>
          </w:p>
        </w:tc>
        <w:tc>
          <w:tcPr>
            <w:tcW w:w="947" w:type="dxa"/>
            <w:vAlign w:val="center"/>
          </w:tcPr>
          <w:p>
            <w:pPr>
              <w:spacing w:line="360" w:lineRule="auto"/>
              <w:rPr>
                <w:rFonts w:ascii="宋体" w:hAnsi="宋体" w:cs="宋体"/>
                <w:sz w:val="22"/>
                <w:szCs w:val="22"/>
              </w:rPr>
            </w:pPr>
            <w:r>
              <w:rPr>
                <w:rFonts w:hint="eastAsia" w:ascii="宋体" w:hAnsi="宋体" w:cs="宋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48" w:type="dxa"/>
            <w:vAlign w:val="center"/>
          </w:tcPr>
          <w:p>
            <w:pPr>
              <w:spacing w:line="360" w:lineRule="auto"/>
              <w:jc w:val="center"/>
              <w:rPr>
                <w:rFonts w:ascii="宋体" w:hAnsi="宋体" w:cs="宋体"/>
                <w:sz w:val="22"/>
                <w:szCs w:val="22"/>
              </w:rPr>
            </w:pPr>
          </w:p>
        </w:tc>
        <w:tc>
          <w:tcPr>
            <w:tcW w:w="1169"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1647" w:type="dxa"/>
            <w:vAlign w:val="center"/>
          </w:tcPr>
          <w:p>
            <w:pPr>
              <w:spacing w:line="360" w:lineRule="auto"/>
              <w:jc w:val="center"/>
              <w:rPr>
                <w:rFonts w:ascii="宋体" w:hAnsi="宋体" w:cs="宋体"/>
                <w:sz w:val="22"/>
                <w:szCs w:val="22"/>
              </w:rPr>
            </w:pPr>
          </w:p>
        </w:tc>
        <w:tc>
          <w:tcPr>
            <w:tcW w:w="1134" w:type="dxa"/>
            <w:vAlign w:val="center"/>
          </w:tcPr>
          <w:p>
            <w:pPr>
              <w:spacing w:line="360" w:lineRule="auto"/>
              <w:jc w:val="center"/>
              <w:rPr>
                <w:rFonts w:ascii="宋体" w:hAnsi="宋体" w:cs="宋体"/>
                <w:sz w:val="22"/>
                <w:szCs w:val="22"/>
              </w:rPr>
            </w:pPr>
          </w:p>
        </w:tc>
        <w:tc>
          <w:tcPr>
            <w:tcW w:w="1939" w:type="dxa"/>
            <w:vAlign w:val="center"/>
          </w:tcPr>
          <w:p>
            <w:pPr>
              <w:spacing w:line="360" w:lineRule="auto"/>
              <w:jc w:val="center"/>
              <w:rPr>
                <w:rFonts w:ascii="宋体" w:hAnsi="宋体" w:cs="宋体"/>
                <w:sz w:val="22"/>
                <w:szCs w:val="22"/>
              </w:rPr>
            </w:pPr>
          </w:p>
        </w:tc>
        <w:tc>
          <w:tcPr>
            <w:tcW w:w="947" w:type="dxa"/>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648" w:type="dxa"/>
            <w:vAlign w:val="center"/>
          </w:tcPr>
          <w:p>
            <w:pPr>
              <w:spacing w:line="360" w:lineRule="auto"/>
              <w:jc w:val="center"/>
              <w:rPr>
                <w:rFonts w:ascii="宋体" w:hAnsi="宋体" w:cs="宋体"/>
                <w:sz w:val="22"/>
                <w:szCs w:val="22"/>
              </w:rPr>
            </w:pPr>
          </w:p>
        </w:tc>
        <w:tc>
          <w:tcPr>
            <w:tcW w:w="1169"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1647" w:type="dxa"/>
            <w:vAlign w:val="center"/>
          </w:tcPr>
          <w:p>
            <w:pPr>
              <w:spacing w:line="360" w:lineRule="auto"/>
              <w:jc w:val="center"/>
              <w:rPr>
                <w:rFonts w:ascii="宋体" w:hAnsi="宋体" w:cs="宋体"/>
                <w:sz w:val="22"/>
                <w:szCs w:val="22"/>
              </w:rPr>
            </w:pPr>
          </w:p>
        </w:tc>
        <w:tc>
          <w:tcPr>
            <w:tcW w:w="1134" w:type="dxa"/>
            <w:vAlign w:val="center"/>
          </w:tcPr>
          <w:p>
            <w:pPr>
              <w:spacing w:line="360" w:lineRule="auto"/>
              <w:jc w:val="center"/>
              <w:rPr>
                <w:rFonts w:ascii="宋体" w:hAnsi="宋体" w:cs="宋体"/>
                <w:sz w:val="22"/>
                <w:szCs w:val="22"/>
              </w:rPr>
            </w:pPr>
          </w:p>
        </w:tc>
        <w:tc>
          <w:tcPr>
            <w:tcW w:w="1939" w:type="dxa"/>
            <w:vAlign w:val="center"/>
          </w:tcPr>
          <w:p>
            <w:pPr>
              <w:spacing w:line="360" w:lineRule="auto"/>
              <w:jc w:val="center"/>
              <w:rPr>
                <w:rFonts w:ascii="宋体" w:hAnsi="宋体" w:cs="宋体"/>
                <w:sz w:val="22"/>
                <w:szCs w:val="22"/>
              </w:rPr>
            </w:pPr>
          </w:p>
        </w:tc>
        <w:tc>
          <w:tcPr>
            <w:tcW w:w="947" w:type="dxa"/>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ascii="宋体" w:hAnsi="宋体" w:cs="宋体"/>
                <w:sz w:val="22"/>
                <w:szCs w:val="22"/>
              </w:rPr>
            </w:pPr>
          </w:p>
        </w:tc>
        <w:tc>
          <w:tcPr>
            <w:tcW w:w="1169"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1647" w:type="dxa"/>
            <w:vAlign w:val="center"/>
          </w:tcPr>
          <w:p>
            <w:pPr>
              <w:spacing w:line="360" w:lineRule="auto"/>
              <w:jc w:val="center"/>
              <w:rPr>
                <w:rFonts w:ascii="宋体" w:hAnsi="宋体" w:cs="宋体"/>
                <w:sz w:val="22"/>
                <w:szCs w:val="22"/>
              </w:rPr>
            </w:pPr>
          </w:p>
        </w:tc>
        <w:tc>
          <w:tcPr>
            <w:tcW w:w="1134" w:type="dxa"/>
            <w:vAlign w:val="center"/>
          </w:tcPr>
          <w:p>
            <w:pPr>
              <w:spacing w:line="360" w:lineRule="auto"/>
              <w:jc w:val="center"/>
              <w:rPr>
                <w:rFonts w:ascii="宋体" w:hAnsi="宋体" w:cs="宋体"/>
                <w:sz w:val="22"/>
                <w:szCs w:val="22"/>
              </w:rPr>
            </w:pPr>
          </w:p>
        </w:tc>
        <w:tc>
          <w:tcPr>
            <w:tcW w:w="1939" w:type="dxa"/>
            <w:vAlign w:val="center"/>
          </w:tcPr>
          <w:p>
            <w:pPr>
              <w:spacing w:line="360" w:lineRule="auto"/>
              <w:jc w:val="center"/>
              <w:rPr>
                <w:rFonts w:ascii="宋体" w:hAnsi="宋体" w:cs="宋体"/>
                <w:sz w:val="22"/>
                <w:szCs w:val="22"/>
              </w:rPr>
            </w:pPr>
          </w:p>
        </w:tc>
        <w:tc>
          <w:tcPr>
            <w:tcW w:w="947" w:type="dxa"/>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ascii="宋体" w:hAnsi="宋体" w:cs="宋体"/>
                <w:sz w:val="22"/>
                <w:szCs w:val="22"/>
              </w:rPr>
            </w:pPr>
          </w:p>
        </w:tc>
        <w:tc>
          <w:tcPr>
            <w:tcW w:w="1169"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1647" w:type="dxa"/>
            <w:vAlign w:val="center"/>
          </w:tcPr>
          <w:p>
            <w:pPr>
              <w:spacing w:line="360" w:lineRule="auto"/>
              <w:jc w:val="center"/>
              <w:rPr>
                <w:rFonts w:ascii="宋体" w:hAnsi="宋体" w:cs="宋体"/>
                <w:sz w:val="22"/>
                <w:szCs w:val="22"/>
              </w:rPr>
            </w:pPr>
          </w:p>
        </w:tc>
        <w:tc>
          <w:tcPr>
            <w:tcW w:w="1134" w:type="dxa"/>
            <w:vAlign w:val="center"/>
          </w:tcPr>
          <w:p>
            <w:pPr>
              <w:spacing w:line="360" w:lineRule="auto"/>
              <w:jc w:val="center"/>
              <w:rPr>
                <w:rFonts w:ascii="宋体" w:hAnsi="宋体" w:cs="宋体"/>
                <w:sz w:val="22"/>
                <w:szCs w:val="22"/>
              </w:rPr>
            </w:pPr>
          </w:p>
        </w:tc>
        <w:tc>
          <w:tcPr>
            <w:tcW w:w="1939" w:type="dxa"/>
            <w:vAlign w:val="center"/>
          </w:tcPr>
          <w:p>
            <w:pPr>
              <w:spacing w:line="360" w:lineRule="auto"/>
              <w:jc w:val="center"/>
              <w:rPr>
                <w:rFonts w:ascii="宋体" w:hAnsi="宋体" w:cs="宋体"/>
                <w:sz w:val="22"/>
                <w:szCs w:val="22"/>
              </w:rPr>
            </w:pPr>
          </w:p>
        </w:tc>
        <w:tc>
          <w:tcPr>
            <w:tcW w:w="947" w:type="dxa"/>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ascii="宋体" w:hAnsi="宋体" w:cs="宋体"/>
                <w:sz w:val="22"/>
                <w:szCs w:val="22"/>
              </w:rPr>
            </w:pPr>
          </w:p>
        </w:tc>
        <w:tc>
          <w:tcPr>
            <w:tcW w:w="1169"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1647" w:type="dxa"/>
            <w:vAlign w:val="center"/>
          </w:tcPr>
          <w:p>
            <w:pPr>
              <w:spacing w:line="360" w:lineRule="auto"/>
              <w:jc w:val="center"/>
              <w:rPr>
                <w:rFonts w:ascii="宋体" w:hAnsi="宋体" w:cs="宋体"/>
                <w:sz w:val="22"/>
                <w:szCs w:val="22"/>
              </w:rPr>
            </w:pPr>
          </w:p>
        </w:tc>
        <w:tc>
          <w:tcPr>
            <w:tcW w:w="1134" w:type="dxa"/>
            <w:vAlign w:val="center"/>
          </w:tcPr>
          <w:p>
            <w:pPr>
              <w:spacing w:line="360" w:lineRule="auto"/>
              <w:jc w:val="center"/>
              <w:rPr>
                <w:rFonts w:ascii="宋体" w:hAnsi="宋体" w:cs="宋体"/>
                <w:sz w:val="22"/>
                <w:szCs w:val="22"/>
              </w:rPr>
            </w:pPr>
          </w:p>
        </w:tc>
        <w:tc>
          <w:tcPr>
            <w:tcW w:w="1939" w:type="dxa"/>
            <w:vAlign w:val="center"/>
          </w:tcPr>
          <w:p>
            <w:pPr>
              <w:spacing w:line="360" w:lineRule="auto"/>
              <w:jc w:val="center"/>
              <w:rPr>
                <w:rFonts w:ascii="宋体" w:hAnsi="宋体" w:cs="宋体"/>
                <w:sz w:val="22"/>
                <w:szCs w:val="22"/>
              </w:rPr>
            </w:pPr>
          </w:p>
        </w:tc>
        <w:tc>
          <w:tcPr>
            <w:tcW w:w="947" w:type="dxa"/>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ascii="宋体" w:hAnsi="宋体" w:cs="宋体"/>
                <w:sz w:val="22"/>
                <w:szCs w:val="22"/>
              </w:rPr>
            </w:pPr>
          </w:p>
        </w:tc>
        <w:tc>
          <w:tcPr>
            <w:tcW w:w="1169"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1647" w:type="dxa"/>
            <w:vAlign w:val="center"/>
          </w:tcPr>
          <w:p>
            <w:pPr>
              <w:spacing w:line="360" w:lineRule="auto"/>
              <w:jc w:val="center"/>
              <w:rPr>
                <w:rFonts w:ascii="宋体" w:hAnsi="宋体" w:cs="宋体"/>
                <w:sz w:val="22"/>
                <w:szCs w:val="22"/>
              </w:rPr>
            </w:pPr>
          </w:p>
        </w:tc>
        <w:tc>
          <w:tcPr>
            <w:tcW w:w="1134" w:type="dxa"/>
            <w:vAlign w:val="center"/>
          </w:tcPr>
          <w:p>
            <w:pPr>
              <w:spacing w:line="360" w:lineRule="auto"/>
              <w:jc w:val="center"/>
              <w:rPr>
                <w:rFonts w:ascii="宋体" w:hAnsi="宋体" w:cs="宋体"/>
                <w:sz w:val="22"/>
                <w:szCs w:val="22"/>
              </w:rPr>
            </w:pPr>
          </w:p>
        </w:tc>
        <w:tc>
          <w:tcPr>
            <w:tcW w:w="1939" w:type="dxa"/>
            <w:vAlign w:val="center"/>
          </w:tcPr>
          <w:p>
            <w:pPr>
              <w:spacing w:line="360" w:lineRule="auto"/>
              <w:jc w:val="center"/>
              <w:rPr>
                <w:rFonts w:ascii="宋体" w:hAnsi="宋体" w:cs="宋体"/>
                <w:sz w:val="22"/>
                <w:szCs w:val="22"/>
              </w:rPr>
            </w:pPr>
          </w:p>
        </w:tc>
        <w:tc>
          <w:tcPr>
            <w:tcW w:w="947" w:type="dxa"/>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ascii="宋体" w:hAnsi="宋体" w:cs="宋体"/>
                <w:sz w:val="22"/>
                <w:szCs w:val="22"/>
              </w:rPr>
            </w:pPr>
          </w:p>
        </w:tc>
        <w:tc>
          <w:tcPr>
            <w:tcW w:w="1169"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1647" w:type="dxa"/>
            <w:vAlign w:val="center"/>
          </w:tcPr>
          <w:p>
            <w:pPr>
              <w:spacing w:line="360" w:lineRule="auto"/>
              <w:jc w:val="center"/>
              <w:rPr>
                <w:rFonts w:ascii="宋体" w:hAnsi="宋体" w:cs="宋体"/>
                <w:sz w:val="22"/>
                <w:szCs w:val="22"/>
              </w:rPr>
            </w:pPr>
          </w:p>
        </w:tc>
        <w:tc>
          <w:tcPr>
            <w:tcW w:w="1134" w:type="dxa"/>
            <w:vAlign w:val="center"/>
          </w:tcPr>
          <w:p>
            <w:pPr>
              <w:spacing w:line="360" w:lineRule="auto"/>
              <w:jc w:val="center"/>
              <w:rPr>
                <w:rFonts w:ascii="宋体" w:hAnsi="宋体" w:cs="宋体"/>
                <w:sz w:val="22"/>
                <w:szCs w:val="22"/>
              </w:rPr>
            </w:pPr>
          </w:p>
        </w:tc>
        <w:tc>
          <w:tcPr>
            <w:tcW w:w="1939" w:type="dxa"/>
            <w:vAlign w:val="center"/>
          </w:tcPr>
          <w:p>
            <w:pPr>
              <w:spacing w:line="360" w:lineRule="auto"/>
              <w:jc w:val="center"/>
              <w:rPr>
                <w:rFonts w:ascii="宋体" w:hAnsi="宋体" w:cs="宋体"/>
                <w:sz w:val="22"/>
                <w:szCs w:val="22"/>
              </w:rPr>
            </w:pPr>
          </w:p>
        </w:tc>
        <w:tc>
          <w:tcPr>
            <w:tcW w:w="947" w:type="dxa"/>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48" w:type="dxa"/>
            <w:vAlign w:val="center"/>
          </w:tcPr>
          <w:p>
            <w:pPr>
              <w:spacing w:line="360" w:lineRule="auto"/>
              <w:jc w:val="center"/>
              <w:rPr>
                <w:rFonts w:ascii="宋体" w:hAnsi="宋体" w:cs="宋体"/>
                <w:sz w:val="22"/>
                <w:szCs w:val="22"/>
              </w:rPr>
            </w:pPr>
          </w:p>
        </w:tc>
        <w:tc>
          <w:tcPr>
            <w:tcW w:w="1169"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1647" w:type="dxa"/>
            <w:vAlign w:val="center"/>
          </w:tcPr>
          <w:p>
            <w:pPr>
              <w:spacing w:line="360" w:lineRule="auto"/>
              <w:jc w:val="center"/>
              <w:rPr>
                <w:rFonts w:ascii="宋体" w:hAnsi="宋体" w:cs="宋体"/>
                <w:sz w:val="22"/>
                <w:szCs w:val="22"/>
              </w:rPr>
            </w:pPr>
          </w:p>
        </w:tc>
        <w:tc>
          <w:tcPr>
            <w:tcW w:w="1134" w:type="dxa"/>
            <w:vAlign w:val="center"/>
          </w:tcPr>
          <w:p>
            <w:pPr>
              <w:spacing w:line="360" w:lineRule="auto"/>
              <w:jc w:val="center"/>
              <w:rPr>
                <w:rFonts w:ascii="宋体" w:hAnsi="宋体" w:cs="宋体"/>
                <w:sz w:val="22"/>
                <w:szCs w:val="22"/>
              </w:rPr>
            </w:pPr>
          </w:p>
        </w:tc>
        <w:tc>
          <w:tcPr>
            <w:tcW w:w="1939" w:type="dxa"/>
            <w:vAlign w:val="center"/>
          </w:tcPr>
          <w:p>
            <w:pPr>
              <w:spacing w:line="360" w:lineRule="auto"/>
              <w:jc w:val="center"/>
              <w:rPr>
                <w:rFonts w:ascii="宋体" w:hAnsi="宋体" w:cs="宋体"/>
                <w:sz w:val="22"/>
                <w:szCs w:val="22"/>
              </w:rPr>
            </w:pPr>
          </w:p>
        </w:tc>
        <w:tc>
          <w:tcPr>
            <w:tcW w:w="947" w:type="dxa"/>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48" w:type="dxa"/>
            <w:vAlign w:val="center"/>
          </w:tcPr>
          <w:p>
            <w:pPr>
              <w:spacing w:line="360" w:lineRule="auto"/>
              <w:jc w:val="center"/>
              <w:rPr>
                <w:rFonts w:ascii="宋体" w:hAnsi="宋体" w:cs="宋体"/>
                <w:sz w:val="22"/>
                <w:szCs w:val="22"/>
              </w:rPr>
            </w:pPr>
          </w:p>
        </w:tc>
        <w:tc>
          <w:tcPr>
            <w:tcW w:w="1169"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1647" w:type="dxa"/>
            <w:vAlign w:val="center"/>
          </w:tcPr>
          <w:p>
            <w:pPr>
              <w:spacing w:line="360" w:lineRule="auto"/>
              <w:jc w:val="center"/>
              <w:rPr>
                <w:rFonts w:ascii="宋体" w:hAnsi="宋体" w:cs="宋体"/>
                <w:sz w:val="22"/>
                <w:szCs w:val="22"/>
              </w:rPr>
            </w:pPr>
          </w:p>
        </w:tc>
        <w:tc>
          <w:tcPr>
            <w:tcW w:w="1134" w:type="dxa"/>
            <w:vAlign w:val="center"/>
          </w:tcPr>
          <w:p>
            <w:pPr>
              <w:spacing w:line="360" w:lineRule="auto"/>
              <w:jc w:val="center"/>
              <w:rPr>
                <w:rFonts w:ascii="宋体" w:hAnsi="宋体" w:cs="宋体"/>
                <w:sz w:val="22"/>
                <w:szCs w:val="22"/>
              </w:rPr>
            </w:pPr>
          </w:p>
        </w:tc>
        <w:tc>
          <w:tcPr>
            <w:tcW w:w="1939" w:type="dxa"/>
            <w:vAlign w:val="center"/>
          </w:tcPr>
          <w:p>
            <w:pPr>
              <w:spacing w:line="360" w:lineRule="auto"/>
              <w:jc w:val="center"/>
              <w:rPr>
                <w:rFonts w:ascii="宋体" w:hAnsi="宋体" w:cs="宋体"/>
                <w:sz w:val="22"/>
                <w:szCs w:val="22"/>
              </w:rPr>
            </w:pPr>
          </w:p>
        </w:tc>
        <w:tc>
          <w:tcPr>
            <w:tcW w:w="947" w:type="dxa"/>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48" w:type="dxa"/>
            <w:vAlign w:val="center"/>
          </w:tcPr>
          <w:p>
            <w:pPr>
              <w:spacing w:line="360" w:lineRule="auto"/>
              <w:jc w:val="center"/>
              <w:rPr>
                <w:rFonts w:ascii="宋体" w:hAnsi="宋体" w:cs="宋体"/>
                <w:sz w:val="22"/>
                <w:szCs w:val="22"/>
              </w:rPr>
            </w:pPr>
          </w:p>
        </w:tc>
        <w:tc>
          <w:tcPr>
            <w:tcW w:w="1169"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1647" w:type="dxa"/>
            <w:vAlign w:val="center"/>
          </w:tcPr>
          <w:p>
            <w:pPr>
              <w:spacing w:line="360" w:lineRule="auto"/>
              <w:jc w:val="center"/>
              <w:rPr>
                <w:rFonts w:ascii="宋体" w:hAnsi="宋体" w:cs="宋体"/>
                <w:sz w:val="22"/>
                <w:szCs w:val="22"/>
              </w:rPr>
            </w:pPr>
          </w:p>
        </w:tc>
        <w:tc>
          <w:tcPr>
            <w:tcW w:w="1134" w:type="dxa"/>
            <w:vAlign w:val="center"/>
          </w:tcPr>
          <w:p>
            <w:pPr>
              <w:spacing w:line="360" w:lineRule="auto"/>
              <w:jc w:val="center"/>
              <w:rPr>
                <w:rFonts w:ascii="宋体" w:hAnsi="宋体" w:cs="宋体"/>
                <w:sz w:val="22"/>
                <w:szCs w:val="22"/>
              </w:rPr>
            </w:pPr>
          </w:p>
        </w:tc>
        <w:tc>
          <w:tcPr>
            <w:tcW w:w="1939" w:type="dxa"/>
            <w:vAlign w:val="center"/>
          </w:tcPr>
          <w:p>
            <w:pPr>
              <w:spacing w:line="360" w:lineRule="auto"/>
              <w:jc w:val="center"/>
              <w:rPr>
                <w:rFonts w:ascii="宋体" w:hAnsi="宋体" w:cs="宋体"/>
                <w:sz w:val="22"/>
                <w:szCs w:val="22"/>
              </w:rPr>
            </w:pPr>
          </w:p>
        </w:tc>
        <w:tc>
          <w:tcPr>
            <w:tcW w:w="947" w:type="dxa"/>
            <w:vAlign w:val="center"/>
          </w:tcPr>
          <w:p>
            <w:pPr>
              <w:spacing w:line="360" w:lineRule="auto"/>
              <w:jc w:val="center"/>
              <w:rPr>
                <w:rFonts w:ascii="宋体" w:hAnsi="宋体" w:cs="宋体"/>
                <w:sz w:val="22"/>
                <w:szCs w:val="22"/>
              </w:rPr>
            </w:pPr>
          </w:p>
        </w:tc>
      </w:tr>
    </w:tbl>
    <w:p>
      <w:pPr>
        <w:spacing w:line="360" w:lineRule="auto"/>
        <w:ind w:left="770" w:hanging="770" w:hangingChars="350"/>
        <w:rPr>
          <w:rFonts w:ascii="宋体" w:hAnsi="宋体" w:cs="宋体"/>
          <w:sz w:val="22"/>
          <w:szCs w:val="22"/>
        </w:rPr>
      </w:pPr>
      <w:r>
        <w:rPr>
          <w:rFonts w:hint="eastAsia" w:ascii="宋体" w:hAnsi="宋体" w:cs="宋体"/>
          <w:sz w:val="22"/>
          <w:szCs w:val="22"/>
        </w:rPr>
        <w:t>注：</w:t>
      </w:r>
      <w:r>
        <w:rPr>
          <w:rFonts w:hint="eastAsia" w:ascii="宋体" w:hAnsi="宋体" w:cs="宋体"/>
          <w:sz w:val="22"/>
          <w:szCs w:val="22"/>
          <w:lang w:val="zh-CN"/>
        </w:rPr>
        <w:t>1）</w:t>
      </w:r>
      <w:r>
        <w:rPr>
          <w:rFonts w:hint="eastAsia" w:ascii="宋体" w:hAnsi="宋体" w:cs="宋体"/>
          <w:sz w:val="22"/>
          <w:szCs w:val="22"/>
        </w:rPr>
        <w:t>所提供的人员资料须按评分标准中所列要求提供证明资料，若未按上述要求提供证明材料的人员，或所附材料无法证明符合评分要求的人员，在评标时将不予考虑。</w:t>
      </w:r>
    </w:p>
    <w:p>
      <w:pPr>
        <w:spacing w:line="360" w:lineRule="auto"/>
        <w:ind w:left="695" w:leftChars="226" w:hanging="220" w:hangingChars="100"/>
        <w:rPr>
          <w:rFonts w:ascii="宋体" w:hAnsi="宋体" w:cs="宋体"/>
          <w:sz w:val="22"/>
          <w:szCs w:val="22"/>
        </w:rPr>
      </w:pPr>
      <w:r>
        <w:rPr>
          <w:rFonts w:hint="eastAsia" w:ascii="宋体" w:hAnsi="宋体" w:cs="宋体"/>
          <w:sz w:val="22"/>
          <w:szCs w:val="22"/>
        </w:rPr>
        <w:t>2）</w:t>
      </w:r>
      <w:r>
        <w:rPr>
          <w:rFonts w:hint="eastAsia" w:ascii="宋体" w:hAnsi="宋体" w:cs="宋体"/>
          <w:sz w:val="22"/>
          <w:szCs w:val="22"/>
          <w:lang w:val="zh-CN"/>
        </w:rPr>
        <w:t>如被发现虚假将取消中标资格。</w:t>
      </w:r>
    </w:p>
    <w:p>
      <w:pPr>
        <w:spacing w:line="360" w:lineRule="auto"/>
        <w:rPr>
          <w:rFonts w:ascii="宋体" w:hAnsi="宋体" w:cs="宋体"/>
          <w:sz w:val="22"/>
          <w:szCs w:val="22"/>
        </w:rPr>
      </w:pPr>
    </w:p>
    <w:p>
      <w:pPr>
        <w:rPr>
          <w:rFonts w:ascii="宋体" w:hAnsi="宋体" w:cs="宋体"/>
          <w:sz w:val="22"/>
          <w:szCs w:val="22"/>
        </w:rPr>
      </w:pPr>
    </w:p>
    <w:p>
      <w:pPr>
        <w:pStyle w:val="2"/>
      </w:pPr>
    </w:p>
    <w:p>
      <w:pPr>
        <w:pStyle w:val="47"/>
        <w:spacing w:line="360" w:lineRule="auto"/>
        <w:ind w:firstLine="3964" w:firstLineChars="1802"/>
        <w:rPr>
          <w:rFonts w:ascii="宋体" w:eastAsia="宋体"/>
          <w:sz w:val="22"/>
          <w:szCs w:val="22"/>
          <w:u w:val="single"/>
        </w:rPr>
      </w:pPr>
      <w:r>
        <w:rPr>
          <w:rFonts w:hint="eastAsia" w:ascii="宋体" w:eastAsia="宋体"/>
          <w:sz w:val="22"/>
          <w:szCs w:val="22"/>
        </w:rPr>
        <w:t xml:space="preserve">投标人名称（加盖公章）： </w:t>
      </w:r>
    </w:p>
    <w:p>
      <w:pPr>
        <w:pStyle w:val="47"/>
        <w:spacing w:line="360" w:lineRule="auto"/>
        <w:ind w:firstLine="3964" w:firstLineChars="1802"/>
        <w:rPr>
          <w:rFonts w:ascii="宋体" w:eastAsia="宋体"/>
          <w:sz w:val="22"/>
          <w:szCs w:val="22"/>
        </w:rPr>
      </w:pPr>
      <w:r>
        <w:rPr>
          <w:rFonts w:hint="eastAsia" w:ascii="宋体" w:eastAsia="宋体"/>
          <w:sz w:val="22"/>
          <w:szCs w:val="22"/>
        </w:rPr>
        <w:t>投标人法定代表人或被授权人（签名或盖私章）：</w:t>
      </w:r>
    </w:p>
    <w:p>
      <w:pPr>
        <w:pStyle w:val="47"/>
        <w:spacing w:line="360" w:lineRule="auto"/>
        <w:ind w:firstLine="3964" w:firstLineChars="1802"/>
        <w:rPr>
          <w:rFonts w:ascii="宋体" w:eastAsia="宋体"/>
          <w:sz w:val="22"/>
          <w:szCs w:val="22"/>
          <w:u w:val="single"/>
        </w:rPr>
      </w:pPr>
      <w:r>
        <w:rPr>
          <w:rFonts w:hint="eastAsia" w:ascii="宋体" w:eastAsia="宋体"/>
          <w:sz w:val="22"/>
          <w:szCs w:val="22"/>
        </w:rPr>
        <w:t>日期：</w:t>
      </w:r>
      <w:r>
        <w:rPr>
          <w:rFonts w:hint="eastAsia" w:ascii="宋体" w:eastAsia="宋体"/>
          <w:sz w:val="22"/>
          <w:szCs w:val="22"/>
          <w:u w:val="single"/>
        </w:rPr>
        <w:t xml:space="preserve">     年     月      日</w:t>
      </w:r>
    </w:p>
    <w:p>
      <w:pPr>
        <w:spacing w:line="360" w:lineRule="auto"/>
        <w:jc w:val="center"/>
        <w:rPr>
          <w:rFonts w:ascii="宋体" w:hAnsi="宋体"/>
          <w:b/>
          <w:sz w:val="22"/>
          <w:szCs w:val="22"/>
        </w:rPr>
      </w:pPr>
      <w:r>
        <w:rPr>
          <w:rFonts w:hAnsi="宋体"/>
          <w:b/>
          <w:sz w:val="30"/>
          <w:szCs w:val="30"/>
        </w:rPr>
        <w:br w:type="page"/>
      </w:r>
      <w:r>
        <w:rPr>
          <w:rFonts w:hint="eastAsia" w:ascii="宋体" w:hAnsi="宋体"/>
          <w:b/>
          <w:sz w:val="22"/>
          <w:szCs w:val="22"/>
        </w:rPr>
        <w:t>10-2 拟投入本项目的服务人员情况表</w:t>
      </w:r>
    </w:p>
    <w:p>
      <w:pPr>
        <w:spacing w:line="360" w:lineRule="auto"/>
        <w:rPr>
          <w:rFonts w:ascii="宋体" w:hAnsi="宋体" w:cs="宋体"/>
          <w:sz w:val="22"/>
          <w:szCs w:val="22"/>
        </w:rPr>
      </w:pPr>
      <w:r>
        <w:rPr>
          <w:rFonts w:hint="eastAsia" w:ascii="宋体" w:hAnsi="宋体" w:cs="宋体"/>
          <w:sz w:val="22"/>
          <w:szCs w:val="22"/>
        </w:rPr>
        <w:t>项目名称：</w:t>
      </w:r>
      <w:r>
        <w:rPr>
          <w:rFonts w:hint="eastAsia" w:ascii="宋体" w:hAnsi="宋体" w:cs="宋体"/>
          <w:sz w:val="22"/>
          <w:szCs w:val="22"/>
          <w:lang w:eastAsia="zh-CN"/>
        </w:rPr>
        <w:t>东莞市交通投资集团有限公司供应链服务平台项目</w:t>
      </w:r>
      <w:r>
        <w:rPr>
          <w:rFonts w:hint="eastAsia" w:ascii="宋体" w:hAnsi="宋体" w:cs="宋体"/>
          <w:sz w:val="22"/>
          <w:szCs w:val="22"/>
        </w:rPr>
        <w:t xml:space="preserve">  </w:t>
      </w:r>
    </w:p>
    <w:p>
      <w:pPr>
        <w:spacing w:line="360" w:lineRule="auto"/>
        <w:rPr>
          <w:rFonts w:ascii="Times New Roman" w:hAnsi="Times New Roman"/>
          <w:szCs w:val="21"/>
          <w:u w:val="single"/>
        </w:rPr>
      </w:pPr>
      <w:r>
        <w:rPr>
          <w:rFonts w:hint="eastAsia" w:ascii="宋体" w:hAnsi="宋体" w:cs="宋体"/>
          <w:sz w:val="22"/>
          <w:szCs w:val="22"/>
        </w:rPr>
        <w:t xml:space="preserve">项目编号：SL-CG2022028        </w:t>
      </w:r>
    </w:p>
    <w:tbl>
      <w:tblPr>
        <w:tblStyle w:val="34"/>
        <w:tblW w:w="9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062"/>
        <w:gridCol w:w="677"/>
        <w:gridCol w:w="677"/>
        <w:gridCol w:w="677"/>
        <w:gridCol w:w="1647"/>
        <w:gridCol w:w="1134"/>
        <w:gridCol w:w="1939"/>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755" w:type="dxa"/>
            <w:vAlign w:val="center"/>
          </w:tcPr>
          <w:p>
            <w:pPr>
              <w:spacing w:line="360" w:lineRule="auto"/>
              <w:jc w:val="center"/>
              <w:rPr>
                <w:rFonts w:ascii="宋体" w:hAnsi="宋体" w:cs="宋体"/>
                <w:sz w:val="22"/>
                <w:szCs w:val="22"/>
              </w:rPr>
            </w:pPr>
            <w:r>
              <w:rPr>
                <w:rFonts w:hint="eastAsia" w:ascii="宋体" w:hAnsi="宋体" w:cs="宋体"/>
                <w:sz w:val="22"/>
                <w:szCs w:val="22"/>
              </w:rPr>
              <w:t>序号</w:t>
            </w:r>
          </w:p>
        </w:tc>
        <w:tc>
          <w:tcPr>
            <w:tcW w:w="1062" w:type="dxa"/>
            <w:vAlign w:val="center"/>
          </w:tcPr>
          <w:p>
            <w:pPr>
              <w:spacing w:line="360" w:lineRule="auto"/>
              <w:jc w:val="center"/>
              <w:rPr>
                <w:rFonts w:ascii="宋体" w:hAnsi="宋体" w:cs="宋体"/>
                <w:sz w:val="22"/>
                <w:szCs w:val="22"/>
              </w:rPr>
            </w:pPr>
            <w:r>
              <w:rPr>
                <w:rFonts w:hint="eastAsia" w:ascii="宋体" w:hAnsi="宋体" w:cs="宋体"/>
                <w:sz w:val="22"/>
                <w:szCs w:val="22"/>
              </w:rPr>
              <w:t>姓名</w:t>
            </w:r>
          </w:p>
        </w:tc>
        <w:tc>
          <w:tcPr>
            <w:tcW w:w="677" w:type="dxa"/>
            <w:vAlign w:val="center"/>
          </w:tcPr>
          <w:p>
            <w:pPr>
              <w:spacing w:line="360" w:lineRule="auto"/>
              <w:jc w:val="center"/>
              <w:rPr>
                <w:rFonts w:ascii="宋体" w:hAnsi="宋体" w:cs="宋体"/>
                <w:sz w:val="22"/>
                <w:szCs w:val="22"/>
              </w:rPr>
            </w:pPr>
            <w:r>
              <w:rPr>
                <w:rFonts w:hint="eastAsia" w:ascii="宋体" w:hAnsi="宋体" w:cs="宋体"/>
                <w:sz w:val="22"/>
                <w:szCs w:val="22"/>
              </w:rPr>
              <w:t>性别</w:t>
            </w:r>
          </w:p>
        </w:tc>
        <w:tc>
          <w:tcPr>
            <w:tcW w:w="677" w:type="dxa"/>
            <w:vAlign w:val="center"/>
          </w:tcPr>
          <w:p>
            <w:pPr>
              <w:spacing w:line="360" w:lineRule="auto"/>
              <w:jc w:val="center"/>
              <w:rPr>
                <w:rFonts w:ascii="宋体" w:hAnsi="宋体" w:cs="宋体"/>
                <w:sz w:val="22"/>
                <w:szCs w:val="22"/>
              </w:rPr>
            </w:pPr>
            <w:r>
              <w:rPr>
                <w:rFonts w:hint="eastAsia" w:ascii="宋体" w:hAnsi="宋体" w:cs="宋体"/>
                <w:sz w:val="22"/>
                <w:szCs w:val="22"/>
              </w:rPr>
              <w:t>年龄</w:t>
            </w:r>
          </w:p>
        </w:tc>
        <w:tc>
          <w:tcPr>
            <w:tcW w:w="677" w:type="dxa"/>
            <w:vAlign w:val="center"/>
          </w:tcPr>
          <w:p>
            <w:pPr>
              <w:spacing w:line="360" w:lineRule="auto"/>
              <w:jc w:val="center"/>
              <w:rPr>
                <w:rFonts w:ascii="宋体" w:hAnsi="宋体" w:cs="宋体"/>
                <w:sz w:val="22"/>
                <w:szCs w:val="22"/>
              </w:rPr>
            </w:pPr>
            <w:r>
              <w:rPr>
                <w:rFonts w:hint="eastAsia" w:ascii="宋体" w:hAnsi="宋体" w:cs="宋体"/>
                <w:sz w:val="22"/>
                <w:szCs w:val="22"/>
              </w:rPr>
              <w:t>学历</w:t>
            </w:r>
          </w:p>
        </w:tc>
        <w:tc>
          <w:tcPr>
            <w:tcW w:w="1647" w:type="dxa"/>
            <w:vAlign w:val="center"/>
          </w:tcPr>
          <w:p>
            <w:pPr>
              <w:spacing w:line="360" w:lineRule="auto"/>
              <w:jc w:val="center"/>
              <w:rPr>
                <w:rFonts w:ascii="宋体" w:hAnsi="宋体" w:cs="宋体"/>
                <w:sz w:val="22"/>
                <w:szCs w:val="22"/>
              </w:rPr>
            </w:pPr>
            <w:r>
              <w:rPr>
                <w:rFonts w:hint="eastAsia" w:ascii="宋体" w:hAnsi="宋体" w:cs="宋体"/>
                <w:sz w:val="22"/>
                <w:szCs w:val="22"/>
              </w:rPr>
              <w:t>资格/职称证书</w:t>
            </w:r>
          </w:p>
        </w:tc>
        <w:tc>
          <w:tcPr>
            <w:tcW w:w="1134" w:type="dxa"/>
            <w:vAlign w:val="center"/>
          </w:tcPr>
          <w:p>
            <w:pPr>
              <w:spacing w:line="360" w:lineRule="auto"/>
              <w:jc w:val="center"/>
              <w:rPr>
                <w:rFonts w:ascii="宋体" w:hAnsi="宋体" w:cs="宋体"/>
                <w:sz w:val="22"/>
                <w:szCs w:val="22"/>
              </w:rPr>
            </w:pPr>
            <w:r>
              <w:rPr>
                <w:rFonts w:hint="eastAsia" w:ascii="宋体" w:hAnsi="宋体" w:cs="宋体"/>
                <w:sz w:val="22"/>
                <w:szCs w:val="22"/>
              </w:rPr>
              <w:t>拟任职务</w:t>
            </w:r>
          </w:p>
        </w:tc>
        <w:tc>
          <w:tcPr>
            <w:tcW w:w="1939" w:type="dxa"/>
            <w:vAlign w:val="center"/>
          </w:tcPr>
          <w:p>
            <w:pPr>
              <w:spacing w:line="360" w:lineRule="auto"/>
              <w:jc w:val="center"/>
              <w:rPr>
                <w:rFonts w:ascii="宋体" w:hAnsi="宋体" w:cs="宋体"/>
                <w:sz w:val="22"/>
                <w:szCs w:val="22"/>
              </w:rPr>
            </w:pPr>
            <w:r>
              <w:rPr>
                <w:rFonts w:hint="eastAsia" w:ascii="宋体" w:hAnsi="宋体" w:cs="宋体"/>
                <w:sz w:val="22"/>
                <w:szCs w:val="22"/>
              </w:rPr>
              <w:t>从事本行业年限</w:t>
            </w:r>
          </w:p>
        </w:tc>
        <w:tc>
          <w:tcPr>
            <w:tcW w:w="947" w:type="dxa"/>
            <w:vAlign w:val="center"/>
          </w:tcPr>
          <w:p>
            <w:pPr>
              <w:spacing w:line="360" w:lineRule="auto"/>
              <w:rPr>
                <w:rFonts w:ascii="宋体" w:hAnsi="宋体" w:cs="宋体"/>
                <w:sz w:val="22"/>
                <w:szCs w:val="22"/>
              </w:rPr>
            </w:pPr>
            <w:r>
              <w:rPr>
                <w:rFonts w:hint="eastAsia" w:ascii="宋体" w:hAnsi="宋体" w:cs="宋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755" w:type="dxa"/>
            <w:vAlign w:val="center"/>
          </w:tcPr>
          <w:p>
            <w:pPr>
              <w:spacing w:line="360" w:lineRule="auto"/>
              <w:jc w:val="center"/>
              <w:rPr>
                <w:rFonts w:ascii="宋体" w:hAnsi="宋体" w:cs="宋体"/>
                <w:sz w:val="22"/>
                <w:szCs w:val="22"/>
              </w:rPr>
            </w:pPr>
          </w:p>
        </w:tc>
        <w:tc>
          <w:tcPr>
            <w:tcW w:w="1062"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1647" w:type="dxa"/>
            <w:vAlign w:val="center"/>
          </w:tcPr>
          <w:p>
            <w:pPr>
              <w:spacing w:line="360" w:lineRule="auto"/>
              <w:jc w:val="center"/>
              <w:rPr>
                <w:rFonts w:ascii="宋体" w:hAnsi="宋体" w:cs="宋体"/>
                <w:sz w:val="22"/>
                <w:szCs w:val="22"/>
              </w:rPr>
            </w:pPr>
          </w:p>
        </w:tc>
        <w:tc>
          <w:tcPr>
            <w:tcW w:w="1134" w:type="dxa"/>
            <w:vAlign w:val="center"/>
          </w:tcPr>
          <w:p>
            <w:pPr>
              <w:spacing w:line="360" w:lineRule="auto"/>
              <w:jc w:val="center"/>
              <w:rPr>
                <w:rFonts w:ascii="宋体" w:hAnsi="宋体" w:cs="宋体"/>
                <w:sz w:val="22"/>
                <w:szCs w:val="22"/>
              </w:rPr>
            </w:pPr>
          </w:p>
        </w:tc>
        <w:tc>
          <w:tcPr>
            <w:tcW w:w="1939" w:type="dxa"/>
            <w:vAlign w:val="center"/>
          </w:tcPr>
          <w:p>
            <w:pPr>
              <w:spacing w:line="360" w:lineRule="auto"/>
              <w:jc w:val="center"/>
              <w:rPr>
                <w:rFonts w:ascii="宋体" w:hAnsi="宋体" w:cs="宋体"/>
                <w:sz w:val="22"/>
                <w:szCs w:val="22"/>
              </w:rPr>
            </w:pPr>
          </w:p>
        </w:tc>
        <w:tc>
          <w:tcPr>
            <w:tcW w:w="947" w:type="dxa"/>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55" w:type="dxa"/>
            <w:vAlign w:val="center"/>
          </w:tcPr>
          <w:p>
            <w:pPr>
              <w:spacing w:line="360" w:lineRule="auto"/>
              <w:jc w:val="center"/>
              <w:rPr>
                <w:rFonts w:ascii="宋体" w:hAnsi="宋体" w:cs="宋体"/>
                <w:sz w:val="22"/>
                <w:szCs w:val="22"/>
              </w:rPr>
            </w:pPr>
          </w:p>
        </w:tc>
        <w:tc>
          <w:tcPr>
            <w:tcW w:w="1062"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1647" w:type="dxa"/>
            <w:vAlign w:val="center"/>
          </w:tcPr>
          <w:p>
            <w:pPr>
              <w:spacing w:line="360" w:lineRule="auto"/>
              <w:jc w:val="center"/>
              <w:rPr>
                <w:rFonts w:ascii="宋体" w:hAnsi="宋体" w:cs="宋体"/>
                <w:sz w:val="22"/>
                <w:szCs w:val="22"/>
              </w:rPr>
            </w:pPr>
          </w:p>
        </w:tc>
        <w:tc>
          <w:tcPr>
            <w:tcW w:w="1134" w:type="dxa"/>
            <w:vAlign w:val="center"/>
          </w:tcPr>
          <w:p>
            <w:pPr>
              <w:spacing w:line="360" w:lineRule="auto"/>
              <w:jc w:val="center"/>
              <w:rPr>
                <w:rFonts w:ascii="宋体" w:hAnsi="宋体" w:cs="宋体"/>
                <w:sz w:val="22"/>
                <w:szCs w:val="22"/>
              </w:rPr>
            </w:pPr>
          </w:p>
        </w:tc>
        <w:tc>
          <w:tcPr>
            <w:tcW w:w="1939" w:type="dxa"/>
            <w:vAlign w:val="center"/>
          </w:tcPr>
          <w:p>
            <w:pPr>
              <w:spacing w:line="360" w:lineRule="auto"/>
              <w:jc w:val="center"/>
              <w:rPr>
                <w:rFonts w:ascii="宋体" w:hAnsi="宋体" w:cs="宋体"/>
                <w:sz w:val="22"/>
                <w:szCs w:val="22"/>
              </w:rPr>
            </w:pPr>
          </w:p>
        </w:tc>
        <w:tc>
          <w:tcPr>
            <w:tcW w:w="947" w:type="dxa"/>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755" w:type="dxa"/>
            <w:vAlign w:val="center"/>
          </w:tcPr>
          <w:p>
            <w:pPr>
              <w:spacing w:line="360" w:lineRule="auto"/>
              <w:jc w:val="center"/>
              <w:rPr>
                <w:rFonts w:ascii="宋体" w:hAnsi="宋体" w:cs="宋体"/>
                <w:sz w:val="22"/>
                <w:szCs w:val="22"/>
              </w:rPr>
            </w:pPr>
          </w:p>
        </w:tc>
        <w:tc>
          <w:tcPr>
            <w:tcW w:w="1062"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1647" w:type="dxa"/>
            <w:vAlign w:val="center"/>
          </w:tcPr>
          <w:p>
            <w:pPr>
              <w:spacing w:line="360" w:lineRule="auto"/>
              <w:jc w:val="center"/>
              <w:rPr>
                <w:rFonts w:ascii="宋体" w:hAnsi="宋体" w:cs="宋体"/>
                <w:sz w:val="22"/>
                <w:szCs w:val="22"/>
              </w:rPr>
            </w:pPr>
          </w:p>
        </w:tc>
        <w:tc>
          <w:tcPr>
            <w:tcW w:w="1134" w:type="dxa"/>
            <w:vAlign w:val="center"/>
          </w:tcPr>
          <w:p>
            <w:pPr>
              <w:spacing w:line="360" w:lineRule="auto"/>
              <w:jc w:val="center"/>
              <w:rPr>
                <w:rFonts w:ascii="宋体" w:hAnsi="宋体" w:cs="宋体"/>
                <w:sz w:val="22"/>
                <w:szCs w:val="22"/>
              </w:rPr>
            </w:pPr>
          </w:p>
        </w:tc>
        <w:tc>
          <w:tcPr>
            <w:tcW w:w="1939" w:type="dxa"/>
            <w:vAlign w:val="center"/>
          </w:tcPr>
          <w:p>
            <w:pPr>
              <w:spacing w:line="360" w:lineRule="auto"/>
              <w:jc w:val="center"/>
              <w:rPr>
                <w:rFonts w:ascii="宋体" w:hAnsi="宋体" w:cs="宋体"/>
                <w:sz w:val="22"/>
                <w:szCs w:val="22"/>
              </w:rPr>
            </w:pPr>
          </w:p>
        </w:tc>
        <w:tc>
          <w:tcPr>
            <w:tcW w:w="947" w:type="dxa"/>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755" w:type="dxa"/>
            <w:vAlign w:val="center"/>
          </w:tcPr>
          <w:p>
            <w:pPr>
              <w:spacing w:line="360" w:lineRule="auto"/>
              <w:jc w:val="center"/>
              <w:rPr>
                <w:rFonts w:ascii="宋体" w:hAnsi="宋体" w:cs="宋体"/>
                <w:sz w:val="22"/>
                <w:szCs w:val="22"/>
              </w:rPr>
            </w:pPr>
          </w:p>
        </w:tc>
        <w:tc>
          <w:tcPr>
            <w:tcW w:w="1062"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1647" w:type="dxa"/>
            <w:vAlign w:val="center"/>
          </w:tcPr>
          <w:p>
            <w:pPr>
              <w:spacing w:line="360" w:lineRule="auto"/>
              <w:jc w:val="center"/>
              <w:rPr>
                <w:rFonts w:ascii="宋体" w:hAnsi="宋体" w:cs="宋体"/>
                <w:sz w:val="22"/>
                <w:szCs w:val="22"/>
              </w:rPr>
            </w:pPr>
          </w:p>
        </w:tc>
        <w:tc>
          <w:tcPr>
            <w:tcW w:w="1134" w:type="dxa"/>
            <w:vAlign w:val="center"/>
          </w:tcPr>
          <w:p>
            <w:pPr>
              <w:spacing w:line="360" w:lineRule="auto"/>
              <w:jc w:val="center"/>
              <w:rPr>
                <w:rFonts w:ascii="宋体" w:hAnsi="宋体" w:cs="宋体"/>
                <w:sz w:val="22"/>
                <w:szCs w:val="22"/>
              </w:rPr>
            </w:pPr>
          </w:p>
        </w:tc>
        <w:tc>
          <w:tcPr>
            <w:tcW w:w="1939" w:type="dxa"/>
            <w:vAlign w:val="center"/>
          </w:tcPr>
          <w:p>
            <w:pPr>
              <w:spacing w:line="360" w:lineRule="auto"/>
              <w:jc w:val="center"/>
              <w:rPr>
                <w:rFonts w:ascii="宋体" w:hAnsi="宋体" w:cs="宋体"/>
                <w:sz w:val="22"/>
                <w:szCs w:val="22"/>
              </w:rPr>
            </w:pPr>
          </w:p>
        </w:tc>
        <w:tc>
          <w:tcPr>
            <w:tcW w:w="947" w:type="dxa"/>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755" w:type="dxa"/>
            <w:vAlign w:val="center"/>
          </w:tcPr>
          <w:p>
            <w:pPr>
              <w:spacing w:line="360" w:lineRule="auto"/>
              <w:jc w:val="center"/>
              <w:rPr>
                <w:rFonts w:ascii="宋体" w:hAnsi="宋体" w:cs="宋体"/>
                <w:sz w:val="22"/>
                <w:szCs w:val="22"/>
              </w:rPr>
            </w:pPr>
          </w:p>
        </w:tc>
        <w:tc>
          <w:tcPr>
            <w:tcW w:w="1062"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1647" w:type="dxa"/>
            <w:vAlign w:val="center"/>
          </w:tcPr>
          <w:p>
            <w:pPr>
              <w:spacing w:line="360" w:lineRule="auto"/>
              <w:jc w:val="center"/>
              <w:rPr>
                <w:rFonts w:ascii="宋体" w:hAnsi="宋体" w:cs="宋体"/>
                <w:sz w:val="22"/>
                <w:szCs w:val="22"/>
              </w:rPr>
            </w:pPr>
          </w:p>
        </w:tc>
        <w:tc>
          <w:tcPr>
            <w:tcW w:w="1134" w:type="dxa"/>
            <w:vAlign w:val="center"/>
          </w:tcPr>
          <w:p>
            <w:pPr>
              <w:spacing w:line="360" w:lineRule="auto"/>
              <w:jc w:val="center"/>
              <w:rPr>
                <w:rFonts w:ascii="宋体" w:hAnsi="宋体" w:cs="宋体"/>
                <w:sz w:val="22"/>
                <w:szCs w:val="22"/>
              </w:rPr>
            </w:pPr>
          </w:p>
        </w:tc>
        <w:tc>
          <w:tcPr>
            <w:tcW w:w="1939" w:type="dxa"/>
            <w:vAlign w:val="center"/>
          </w:tcPr>
          <w:p>
            <w:pPr>
              <w:spacing w:line="360" w:lineRule="auto"/>
              <w:jc w:val="center"/>
              <w:rPr>
                <w:rFonts w:ascii="宋体" w:hAnsi="宋体" w:cs="宋体"/>
                <w:sz w:val="22"/>
                <w:szCs w:val="22"/>
              </w:rPr>
            </w:pPr>
          </w:p>
        </w:tc>
        <w:tc>
          <w:tcPr>
            <w:tcW w:w="947" w:type="dxa"/>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755" w:type="dxa"/>
            <w:vAlign w:val="center"/>
          </w:tcPr>
          <w:p>
            <w:pPr>
              <w:spacing w:line="360" w:lineRule="auto"/>
              <w:jc w:val="center"/>
              <w:rPr>
                <w:rFonts w:ascii="宋体" w:hAnsi="宋体" w:cs="宋体"/>
                <w:sz w:val="22"/>
                <w:szCs w:val="22"/>
              </w:rPr>
            </w:pPr>
          </w:p>
        </w:tc>
        <w:tc>
          <w:tcPr>
            <w:tcW w:w="1062"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1647" w:type="dxa"/>
            <w:vAlign w:val="center"/>
          </w:tcPr>
          <w:p>
            <w:pPr>
              <w:spacing w:line="360" w:lineRule="auto"/>
              <w:jc w:val="center"/>
              <w:rPr>
                <w:rFonts w:ascii="宋体" w:hAnsi="宋体" w:cs="宋体"/>
                <w:sz w:val="22"/>
                <w:szCs w:val="22"/>
              </w:rPr>
            </w:pPr>
          </w:p>
        </w:tc>
        <w:tc>
          <w:tcPr>
            <w:tcW w:w="1134" w:type="dxa"/>
            <w:vAlign w:val="center"/>
          </w:tcPr>
          <w:p>
            <w:pPr>
              <w:spacing w:line="360" w:lineRule="auto"/>
              <w:jc w:val="center"/>
              <w:rPr>
                <w:rFonts w:ascii="宋体" w:hAnsi="宋体" w:cs="宋体"/>
                <w:sz w:val="22"/>
                <w:szCs w:val="22"/>
              </w:rPr>
            </w:pPr>
          </w:p>
        </w:tc>
        <w:tc>
          <w:tcPr>
            <w:tcW w:w="1939" w:type="dxa"/>
            <w:vAlign w:val="center"/>
          </w:tcPr>
          <w:p>
            <w:pPr>
              <w:spacing w:line="360" w:lineRule="auto"/>
              <w:jc w:val="center"/>
              <w:rPr>
                <w:rFonts w:ascii="宋体" w:hAnsi="宋体" w:cs="宋体"/>
                <w:sz w:val="22"/>
                <w:szCs w:val="22"/>
              </w:rPr>
            </w:pPr>
          </w:p>
        </w:tc>
        <w:tc>
          <w:tcPr>
            <w:tcW w:w="947" w:type="dxa"/>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755" w:type="dxa"/>
            <w:vAlign w:val="center"/>
          </w:tcPr>
          <w:p>
            <w:pPr>
              <w:spacing w:line="360" w:lineRule="auto"/>
              <w:jc w:val="center"/>
              <w:rPr>
                <w:rFonts w:ascii="宋体" w:hAnsi="宋体" w:cs="宋体"/>
                <w:sz w:val="22"/>
                <w:szCs w:val="22"/>
              </w:rPr>
            </w:pPr>
          </w:p>
        </w:tc>
        <w:tc>
          <w:tcPr>
            <w:tcW w:w="1062"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1647" w:type="dxa"/>
            <w:vAlign w:val="center"/>
          </w:tcPr>
          <w:p>
            <w:pPr>
              <w:spacing w:line="360" w:lineRule="auto"/>
              <w:jc w:val="center"/>
              <w:rPr>
                <w:rFonts w:ascii="宋体" w:hAnsi="宋体" w:cs="宋体"/>
                <w:sz w:val="22"/>
                <w:szCs w:val="22"/>
              </w:rPr>
            </w:pPr>
          </w:p>
        </w:tc>
        <w:tc>
          <w:tcPr>
            <w:tcW w:w="1134" w:type="dxa"/>
            <w:vAlign w:val="center"/>
          </w:tcPr>
          <w:p>
            <w:pPr>
              <w:spacing w:line="360" w:lineRule="auto"/>
              <w:jc w:val="center"/>
              <w:rPr>
                <w:rFonts w:ascii="宋体" w:hAnsi="宋体" w:cs="宋体"/>
                <w:sz w:val="22"/>
                <w:szCs w:val="22"/>
              </w:rPr>
            </w:pPr>
          </w:p>
        </w:tc>
        <w:tc>
          <w:tcPr>
            <w:tcW w:w="1939" w:type="dxa"/>
            <w:vAlign w:val="center"/>
          </w:tcPr>
          <w:p>
            <w:pPr>
              <w:spacing w:line="360" w:lineRule="auto"/>
              <w:jc w:val="center"/>
              <w:rPr>
                <w:rFonts w:ascii="宋体" w:hAnsi="宋体" w:cs="宋体"/>
                <w:sz w:val="22"/>
                <w:szCs w:val="22"/>
              </w:rPr>
            </w:pPr>
          </w:p>
        </w:tc>
        <w:tc>
          <w:tcPr>
            <w:tcW w:w="947" w:type="dxa"/>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55" w:type="dxa"/>
            <w:vAlign w:val="center"/>
          </w:tcPr>
          <w:p>
            <w:pPr>
              <w:spacing w:line="360" w:lineRule="auto"/>
              <w:jc w:val="center"/>
              <w:rPr>
                <w:rFonts w:ascii="宋体" w:hAnsi="宋体" w:cs="宋体"/>
                <w:sz w:val="22"/>
                <w:szCs w:val="22"/>
              </w:rPr>
            </w:pPr>
          </w:p>
        </w:tc>
        <w:tc>
          <w:tcPr>
            <w:tcW w:w="1062"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1647" w:type="dxa"/>
            <w:vAlign w:val="center"/>
          </w:tcPr>
          <w:p>
            <w:pPr>
              <w:spacing w:line="360" w:lineRule="auto"/>
              <w:jc w:val="center"/>
              <w:rPr>
                <w:rFonts w:ascii="宋体" w:hAnsi="宋体" w:cs="宋体"/>
                <w:sz w:val="22"/>
                <w:szCs w:val="22"/>
              </w:rPr>
            </w:pPr>
          </w:p>
        </w:tc>
        <w:tc>
          <w:tcPr>
            <w:tcW w:w="1134" w:type="dxa"/>
            <w:vAlign w:val="center"/>
          </w:tcPr>
          <w:p>
            <w:pPr>
              <w:spacing w:line="360" w:lineRule="auto"/>
              <w:jc w:val="center"/>
              <w:rPr>
                <w:rFonts w:ascii="宋体" w:hAnsi="宋体" w:cs="宋体"/>
                <w:sz w:val="22"/>
                <w:szCs w:val="22"/>
              </w:rPr>
            </w:pPr>
          </w:p>
        </w:tc>
        <w:tc>
          <w:tcPr>
            <w:tcW w:w="1939" w:type="dxa"/>
            <w:vAlign w:val="center"/>
          </w:tcPr>
          <w:p>
            <w:pPr>
              <w:spacing w:line="360" w:lineRule="auto"/>
              <w:jc w:val="center"/>
              <w:rPr>
                <w:rFonts w:ascii="宋体" w:hAnsi="宋体" w:cs="宋体"/>
                <w:sz w:val="22"/>
                <w:szCs w:val="22"/>
              </w:rPr>
            </w:pPr>
          </w:p>
        </w:tc>
        <w:tc>
          <w:tcPr>
            <w:tcW w:w="947" w:type="dxa"/>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55" w:type="dxa"/>
            <w:vAlign w:val="center"/>
          </w:tcPr>
          <w:p>
            <w:pPr>
              <w:spacing w:line="360" w:lineRule="auto"/>
              <w:jc w:val="center"/>
              <w:rPr>
                <w:rFonts w:ascii="宋体" w:hAnsi="宋体" w:cs="宋体"/>
                <w:sz w:val="22"/>
                <w:szCs w:val="22"/>
              </w:rPr>
            </w:pPr>
          </w:p>
        </w:tc>
        <w:tc>
          <w:tcPr>
            <w:tcW w:w="1062"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1647" w:type="dxa"/>
            <w:vAlign w:val="center"/>
          </w:tcPr>
          <w:p>
            <w:pPr>
              <w:spacing w:line="360" w:lineRule="auto"/>
              <w:jc w:val="center"/>
              <w:rPr>
                <w:rFonts w:ascii="宋体" w:hAnsi="宋体" w:cs="宋体"/>
                <w:sz w:val="22"/>
                <w:szCs w:val="22"/>
              </w:rPr>
            </w:pPr>
          </w:p>
        </w:tc>
        <w:tc>
          <w:tcPr>
            <w:tcW w:w="1134" w:type="dxa"/>
            <w:vAlign w:val="center"/>
          </w:tcPr>
          <w:p>
            <w:pPr>
              <w:spacing w:line="360" w:lineRule="auto"/>
              <w:jc w:val="center"/>
              <w:rPr>
                <w:rFonts w:ascii="宋体" w:hAnsi="宋体" w:cs="宋体"/>
                <w:sz w:val="22"/>
                <w:szCs w:val="22"/>
              </w:rPr>
            </w:pPr>
          </w:p>
        </w:tc>
        <w:tc>
          <w:tcPr>
            <w:tcW w:w="1939" w:type="dxa"/>
            <w:vAlign w:val="center"/>
          </w:tcPr>
          <w:p>
            <w:pPr>
              <w:spacing w:line="360" w:lineRule="auto"/>
              <w:jc w:val="center"/>
              <w:rPr>
                <w:rFonts w:ascii="宋体" w:hAnsi="宋体" w:cs="宋体"/>
                <w:sz w:val="22"/>
                <w:szCs w:val="22"/>
              </w:rPr>
            </w:pPr>
          </w:p>
        </w:tc>
        <w:tc>
          <w:tcPr>
            <w:tcW w:w="947" w:type="dxa"/>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55" w:type="dxa"/>
            <w:vAlign w:val="center"/>
          </w:tcPr>
          <w:p>
            <w:pPr>
              <w:spacing w:line="360" w:lineRule="auto"/>
              <w:jc w:val="center"/>
              <w:rPr>
                <w:rFonts w:ascii="宋体" w:hAnsi="宋体" w:cs="宋体"/>
                <w:sz w:val="22"/>
                <w:szCs w:val="22"/>
              </w:rPr>
            </w:pPr>
          </w:p>
        </w:tc>
        <w:tc>
          <w:tcPr>
            <w:tcW w:w="1062"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677" w:type="dxa"/>
            <w:vAlign w:val="center"/>
          </w:tcPr>
          <w:p>
            <w:pPr>
              <w:spacing w:line="360" w:lineRule="auto"/>
              <w:jc w:val="center"/>
              <w:rPr>
                <w:rFonts w:ascii="宋体" w:hAnsi="宋体" w:cs="宋体"/>
                <w:sz w:val="22"/>
                <w:szCs w:val="22"/>
              </w:rPr>
            </w:pPr>
          </w:p>
        </w:tc>
        <w:tc>
          <w:tcPr>
            <w:tcW w:w="1647" w:type="dxa"/>
            <w:vAlign w:val="center"/>
          </w:tcPr>
          <w:p>
            <w:pPr>
              <w:spacing w:line="360" w:lineRule="auto"/>
              <w:jc w:val="center"/>
              <w:rPr>
                <w:rFonts w:ascii="宋体" w:hAnsi="宋体" w:cs="宋体"/>
                <w:sz w:val="22"/>
                <w:szCs w:val="22"/>
              </w:rPr>
            </w:pPr>
          </w:p>
        </w:tc>
        <w:tc>
          <w:tcPr>
            <w:tcW w:w="1134" w:type="dxa"/>
            <w:vAlign w:val="center"/>
          </w:tcPr>
          <w:p>
            <w:pPr>
              <w:spacing w:line="360" w:lineRule="auto"/>
              <w:jc w:val="center"/>
              <w:rPr>
                <w:rFonts w:ascii="宋体" w:hAnsi="宋体" w:cs="宋体"/>
                <w:sz w:val="22"/>
                <w:szCs w:val="22"/>
              </w:rPr>
            </w:pPr>
          </w:p>
        </w:tc>
        <w:tc>
          <w:tcPr>
            <w:tcW w:w="1939" w:type="dxa"/>
            <w:vAlign w:val="center"/>
          </w:tcPr>
          <w:p>
            <w:pPr>
              <w:spacing w:line="360" w:lineRule="auto"/>
              <w:jc w:val="center"/>
              <w:rPr>
                <w:rFonts w:ascii="宋体" w:hAnsi="宋体" w:cs="宋体"/>
                <w:sz w:val="22"/>
                <w:szCs w:val="22"/>
              </w:rPr>
            </w:pPr>
          </w:p>
        </w:tc>
        <w:tc>
          <w:tcPr>
            <w:tcW w:w="947" w:type="dxa"/>
            <w:vAlign w:val="center"/>
          </w:tcPr>
          <w:p>
            <w:pPr>
              <w:spacing w:line="360" w:lineRule="auto"/>
              <w:jc w:val="center"/>
              <w:rPr>
                <w:rFonts w:ascii="宋体" w:hAnsi="宋体" w:cs="宋体"/>
                <w:sz w:val="22"/>
                <w:szCs w:val="22"/>
              </w:rPr>
            </w:pPr>
          </w:p>
        </w:tc>
      </w:tr>
    </w:tbl>
    <w:p>
      <w:pPr>
        <w:spacing w:line="360" w:lineRule="auto"/>
        <w:ind w:left="735" w:hanging="735" w:hangingChars="350"/>
        <w:rPr>
          <w:rFonts w:ascii="宋体" w:hAnsi="宋体" w:cs="宋体"/>
          <w:sz w:val="22"/>
          <w:szCs w:val="22"/>
        </w:rPr>
      </w:pPr>
      <w:r>
        <w:rPr>
          <w:rFonts w:hint="eastAsia" w:hAnsi="宋体"/>
          <w:szCs w:val="21"/>
        </w:rPr>
        <w:t>注</w:t>
      </w:r>
      <w:r>
        <w:rPr>
          <w:rFonts w:hint="eastAsia" w:ascii="宋体" w:hAnsi="宋体" w:cs="宋体"/>
          <w:sz w:val="22"/>
          <w:szCs w:val="22"/>
        </w:rPr>
        <w:t>：</w:t>
      </w:r>
      <w:r>
        <w:rPr>
          <w:rFonts w:hint="eastAsia" w:ascii="宋体" w:hAnsi="宋体" w:cs="宋体"/>
          <w:sz w:val="22"/>
          <w:szCs w:val="22"/>
          <w:lang w:val="zh-CN"/>
        </w:rPr>
        <w:t>1）</w:t>
      </w:r>
      <w:r>
        <w:rPr>
          <w:rFonts w:hint="eastAsia" w:ascii="宋体" w:hAnsi="宋体" w:cs="宋体"/>
          <w:sz w:val="22"/>
          <w:szCs w:val="22"/>
        </w:rPr>
        <w:t>所提供的人员资料须按评分标准中所列要求提供证明资料，若未按上述要求提供证明材料的人员，或所附材料无法证明符合评分要求的人员，在评标时将不予考虑。</w:t>
      </w:r>
    </w:p>
    <w:p>
      <w:pPr>
        <w:spacing w:line="360" w:lineRule="auto"/>
        <w:ind w:left="695" w:leftChars="226" w:hanging="220" w:hangingChars="100"/>
        <w:rPr>
          <w:rFonts w:ascii="宋体" w:hAnsi="宋体" w:cs="宋体"/>
          <w:sz w:val="22"/>
          <w:szCs w:val="22"/>
        </w:rPr>
      </w:pPr>
      <w:r>
        <w:rPr>
          <w:rFonts w:hint="eastAsia" w:ascii="宋体" w:hAnsi="宋体" w:cs="宋体"/>
          <w:sz w:val="22"/>
          <w:szCs w:val="22"/>
        </w:rPr>
        <w:t>2）</w:t>
      </w:r>
      <w:r>
        <w:rPr>
          <w:rFonts w:hint="eastAsia" w:ascii="宋体" w:hAnsi="宋体" w:cs="宋体"/>
          <w:sz w:val="22"/>
          <w:szCs w:val="22"/>
          <w:lang w:val="zh-CN"/>
        </w:rPr>
        <w:t>如被发现虚假将取消中标资格。</w:t>
      </w:r>
    </w:p>
    <w:p>
      <w:pPr>
        <w:spacing w:line="360" w:lineRule="auto"/>
        <w:rPr>
          <w:rFonts w:ascii="宋体" w:hAnsi="宋体" w:cs="宋体"/>
          <w:sz w:val="22"/>
          <w:szCs w:val="22"/>
        </w:rPr>
      </w:pPr>
    </w:p>
    <w:p>
      <w:pPr>
        <w:pStyle w:val="2"/>
        <w:rPr>
          <w:rFonts w:ascii="宋体" w:hAnsi="宋体" w:cs="宋体"/>
          <w:sz w:val="22"/>
          <w:szCs w:val="22"/>
        </w:rPr>
      </w:pPr>
    </w:p>
    <w:p>
      <w:pPr>
        <w:rPr>
          <w:rFonts w:ascii="宋体" w:hAnsi="宋体" w:cs="宋体"/>
          <w:sz w:val="22"/>
          <w:szCs w:val="22"/>
        </w:rPr>
      </w:pPr>
    </w:p>
    <w:p>
      <w:pPr>
        <w:pStyle w:val="2"/>
        <w:rPr>
          <w:rFonts w:ascii="宋体" w:hAnsi="宋体" w:cs="宋体"/>
          <w:sz w:val="22"/>
          <w:szCs w:val="22"/>
        </w:rPr>
      </w:pPr>
    </w:p>
    <w:p/>
    <w:p>
      <w:pPr>
        <w:pStyle w:val="47"/>
        <w:spacing w:line="360" w:lineRule="auto"/>
        <w:ind w:firstLine="3964" w:firstLineChars="1802"/>
        <w:rPr>
          <w:rFonts w:ascii="宋体" w:eastAsia="宋体"/>
          <w:sz w:val="22"/>
          <w:szCs w:val="22"/>
          <w:u w:val="single"/>
        </w:rPr>
      </w:pPr>
      <w:r>
        <w:rPr>
          <w:rFonts w:hint="eastAsia" w:ascii="宋体" w:eastAsia="宋体"/>
          <w:sz w:val="22"/>
          <w:szCs w:val="22"/>
        </w:rPr>
        <w:t xml:space="preserve">投标人名称（加盖公章）： </w:t>
      </w:r>
    </w:p>
    <w:p>
      <w:pPr>
        <w:pStyle w:val="47"/>
        <w:spacing w:line="360" w:lineRule="auto"/>
        <w:ind w:firstLine="3964" w:firstLineChars="1802"/>
        <w:rPr>
          <w:rFonts w:ascii="宋体" w:eastAsia="宋体"/>
          <w:sz w:val="22"/>
          <w:szCs w:val="22"/>
        </w:rPr>
      </w:pPr>
      <w:r>
        <w:rPr>
          <w:rFonts w:hint="eastAsia" w:ascii="宋体" w:eastAsia="宋体"/>
          <w:sz w:val="22"/>
          <w:szCs w:val="22"/>
        </w:rPr>
        <w:t>投标人法定代表人或被授权人（签名或盖私章）：</w:t>
      </w:r>
    </w:p>
    <w:p>
      <w:pPr>
        <w:pStyle w:val="47"/>
        <w:spacing w:line="360" w:lineRule="auto"/>
        <w:ind w:firstLine="3964" w:firstLineChars="1802"/>
        <w:rPr>
          <w:rFonts w:ascii="宋体" w:eastAsia="宋体"/>
          <w:sz w:val="22"/>
          <w:szCs w:val="22"/>
          <w:u w:val="single"/>
        </w:rPr>
      </w:pPr>
      <w:r>
        <w:rPr>
          <w:rFonts w:hint="eastAsia" w:ascii="宋体" w:eastAsia="宋体"/>
          <w:sz w:val="22"/>
          <w:szCs w:val="22"/>
        </w:rPr>
        <w:t>日期：</w:t>
      </w:r>
      <w:r>
        <w:rPr>
          <w:rFonts w:hint="eastAsia" w:ascii="宋体" w:eastAsia="宋体"/>
          <w:sz w:val="22"/>
          <w:szCs w:val="22"/>
          <w:u w:val="single"/>
        </w:rPr>
        <w:t xml:space="preserve">     年     月      日</w:t>
      </w:r>
    </w:p>
    <w:p>
      <w:pPr>
        <w:widowControl/>
        <w:jc w:val="left"/>
        <w:rPr>
          <w:rFonts w:ascii="宋体" w:hAnsi="宋体"/>
          <w:sz w:val="22"/>
          <w:szCs w:val="22"/>
        </w:rPr>
      </w:pPr>
      <w:r>
        <w:rPr>
          <w:rFonts w:ascii="宋体" w:hAnsi="宋体"/>
          <w:sz w:val="22"/>
          <w:szCs w:val="22"/>
        </w:rPr>
        <w:br w:type="page"/>
      </w:r>
    </w:p>
    <w:p>
      <w:pPr>
        <w:spacing w:after="60" w:line="560" w:lineRule="exact"/>
        <w:jc w:val="center"/>
        <w:outlineLvl w:val="2"/>
        <w:rPr>
          <w:rFonts w:ascii="宋体" w:hAnsi="宋体" w:cs="宋体"/>
          <w:b/>
          <w:bCs/>
          <w:sz w:val="22"/>
          <w:szCs w:val="22"/>
        </w:rPr>
      </w:pPr>
      <w:bookmarkStart w:id="1287" w:name="_Toc25571"/>
      <w:bookmarkStart w:id="1288" w:name="_Toc25395"/>
      <w:bookmarkStart w:id="1289" w:name="_Toc514"/>
      <w:bookmarkStart w:id="1290" w:name="_Toc10792"/>
      <w:bookmarkStart w:id="1291" w:name="_Toc7880"/>
      <w:r>
        <w:rPr>
          <w:rFonts w:hint="eastAsia" w:ascii="宋体" w:hAnsi="宋体" w:cs="宋体"/>
          <w:b/>
          <w:bCs/>
          <w:sz w:val="22"/>
          <w:szCs w:val="22"/>
        </w:rPr>
        <w:t>11</w:t>
      </w:r>
      <w:r>
        <w:rPr>
          <w:rFonts w:hint="eastAsia" w:ascii="宋体" w:hAnsi="宋体"/>
          <w:sz w:val="22"/>
          <w:szCs w:val="22"/>
        </w:rPr>
        <w:t>、</w:t>
      </w:r>
      <w:r>
        <w:rPr>
          <w:rFonts w:hint="eastAsia" w:ascii="宋体" w:hAnsi="宋体" w:cs="宋体"/>
          <w:b/>
          <w:sz w:val="22"/>
          <w:szCs w:val="22"/>
        </w:rPr>
        <w:t>拟在本项目中投入的设备一览表</w:t>
      </w:r>
      <w:bookmarkEnd w:id="1284"/>
      <w:bookmarkEnd w:id="1285"/>
      <w:bookmarkEnd w:id="1286"/>
      <w:bookmarkEnd w:id="1287"/>
      <w:bookmarkEnd w:id="1288"/>
      <w:bookmarkEnd w:id="1289"/>
      <w:bookmarkEnd w:id="1290"/>
      <w:bookmarkEnd w:id="1291"/>
    </w:p>
    <w:p>
      <w:pPr>
        <w:adjustRightInd w:val="0"/>
        <w:spacing w:line="560" w:lineRule="exact"/>
        <w:rPr>
          <w:rFonts w:ascii="宋体" w:hAnsi="宋体" w:cs="宋体"/>
          <w:sz w:val="22"/>
          <w:szCs w:val="22"/>
        </w:rPr>
      </w:pPr>
      <w:r>
        <w:rPr>
          <w:rFonts w:hint="eastAsia" w:ascii="宋体" w:hAnsi="宋体" w:cs="宋体"/>
          <w:sz w:val="22"/>
          <w:szCs w:val="22"/>
        </w:rPr>
        <w:t>项目名称：</w:t>
      </w:r>
      <w:r>
        <w:rPr>
          <w:rFonts w:hint="eastAsia" w:ascii="宋体" w:hAnsi="宋体" w:cs="宋体"/>
          <w:sz w:val="22"/>
          <w:szCs w:val="22"/>
          <w:lang w:eastAsia="zh-CN"/>
        </w:rPr>
        <w:t>东莞市交通投资集团有限公司供应链服务平台项目</w:t>
      </w:r>
      <w:r>
        <w:rPr>
          <w:rFonts w:hint="eastAsia" w:ascii="宋体" w:hAnsi="宋体" w:cs="宋体"/>
          <w:sz w:val="22"/>
          <w:szCs w:val="22"/>
        </w:rPr>
        <w:t xml:space="preserve">  </w:t>
      </w:r>
    </w:p>
    <w:p>
      <w:pPr>
        <w:adjustRightInd w:val="0"/>
        <w:spacing w:line="560" w:lineRule="exact"/>
        <w:rPr>
          <w:rFonts w:ascii="宋体" w:hAnsi="宋体" w:cs="宋体"/>
          <w:sz w:val="22"/>
          <w:szCs w:val="22"/>
          <w:u w:val="single"/>
        </w:rPr>
      </w:pPr>
      <w:r>
        <w:rPr>
          <w:rFonts w:hint="eastAsia" w:ascii="宋体" w:hAnsi="宋体" w:cs="宋体"/>
          <w:sz w:val="22"/>
          <w:szCs w:val="22"/>
        </w:rPr>
        <w:t xml:space="preserve">项目编号：SL-CG2022028       </w:t>
      </w:r>
    </w:p>
    <w:tbl>
      <w:tblPr>
        <w:tblStyle w:val="34"/>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6"/>
        <w:gridCol w:w="1067"/>
        <w:gridCol w:w="1065"/>
        <w:gridCol w:w="1065"/>
        <w:gridCol w:w="1065"/>
        <w:gridCol w:w="1065"/>
        <w:gridCol w:w="1066"/>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6" w:type="dxa"/>
            <w:vAlign w:val="center"/>
          </w:tcPr>
          <w:p>
            <w:pPr>
              <w:keepLines/>
              <w:widowControl/>
              <w:tabs>
                <w:tab w:val="left" w:pos="720"/>
              </w:tabs>
              <w:adjustRightInd w:val="0"/>
              <w:snapToGrid w:val="0"/>
              <w:spacing w:after="60" w:line="560" w:lineRule="exact"/>
              <w:jc w:val="center"/>
              <w:rPr>
                <w:rFonts w:ascii="宋体" w:hAnsi="宋体" w:cs="宋体"/>
                <w:sz w:val="22"/>
                <w:szCs w:val="22"/>
              </w:rPr>
            </w:pPr>
            <w:r>
              <w:rPr>
                <w:rFonts w:hint="eastAsia" w:ascii="宋体" w:hAnsi="宋体" w:cs="宋体"/>
                <w:sz w:val="22"/>
                <w:szCs w:val="22"/>
              </w:rPr>
              <w:t>序号</w:t>
            </w:r>
          </w:p>
        </w:tc>
        <w:tc>
          <w:tcPr>
            <w:tcW w:w="1067" w:type="dxa"/>
            <w:vAlign w:val="center"/>
          </w:tcPr>
          <w:p>
            <w:pPr>
              <w:keepLines/>
              <w:widowControl/>
              <w:tabs>
                <w:tab w:val="left" w:pos="720"/>
              </w:tabs>
              <w:adjustRightInd w:val="0"/>
              <w:snapToGrid w:val="0"/>
              <w:spacing w:after="60" w:line="560" w:lineRule="exact"/>
              <w:jc w:val="center"/>
              <w:rPr>
                <w:rFonts w:ascii="宋体" w:hAnsi="宋体" w:cs="宋体"/>
                <w:sz w:val="22"/>
                <w:szCs w:val="22"/>
              </w:rPr>
            </w:pPr>
            <w:r>
              <w:rPr>
                <w:rFonts w:hint="eastAsia" w:ascii="宋体" w:hAnsi="宋体" w:cs="宋体"/>
                <w:sz w:val="22"/>
                <w:szCs w:val="22"/>
              </w:rPr>
              <w:t>名称</w:t>
            </w:r>
          </w:p>
        </w:tc>
        <w:tc>
          <w:tcPr>
            <w:tcW w:w="1065" w:type="dxa"/>
            <w:vAlign w:val="center"/>
          </w:tcPr>
          <w:p>
            <w:pPr>
              <w:keepLines/>
              <w:widowControl/>
              <w:tabs>
                <w:tab w:val="left" w:pos="720"/>
              </w:tabs>
              <w:adjustRightInd w:val="0"/>
              <w:snapToGrid w:val="0"/>
              <w:spacing w:after="60" w:line="560" w:lineRule="exact"/>
              <w:jc w:val="center"/>
              <w:rPr>
                <w:rFonts w:ascii="宋体" w:hAnsi="宋体" w:cs="宋体"/>
                <w:sz w:val="22"/>
                <w:szCs w:val="22"/>
              </w:rPr>
            </w:pPr>
            <w:r>
              <w:rPr>
                <w:rFonts w:hint="eastAsia" w:ascii="宋体" w:hAnsi="宋体" w:cs="宋体"/>
                <w:sz w:val="22"/>
                <w:szCs w:val="22"/>
              </w:rPr>
              <w:t>用途</w:t>
            </w:r>
          </w:p>
        </w:tc>
        <w:tc>
          <w:tcPr>
            <w:tcW w:w="1065" w:type="dxa"/>
            <w:vAlign w:val="center"/>
          </w:tcPr>
          <w:p>
            <w:pPr>
              <w:keepLines/>
              <w:widowControl/>
              <w:tabs>
                <w:tab w:val="left" w:pos="720"/>
              </w:tabs>
              <w:adjustRightInd w:val="0"/>
              <w:snapToGrid w:val="0"/>
              <w:spacing w:after="60" w:line="560" w:lineRule="exact"/>
              <w:jc w:val="center"/>
              <w:rPr>
                <w:rFonts w:ascii="宋体" w:hAnsi="宋体" w:cs="宋体"/>
                <w:sz w:val="22"/>
                <w:szCs w:val="22"/>
              </w:rPr>
            </w:pPr>
            <w:r>
              <w:rPr>
                <w:rFonts w:hint="eastAsia" w:ascii="宋体" w:hAnsi="宋体" w:cs="宋体"/>
                <w:sz w:val="22"/>
                <w:szCs w:val="22"/>
              </w:rPr>
              <w:t>型号</w:t>
            </w:r>
          </w:p>
        </w:tc>
        <w:tc>
          <w:tcPr>
            <w:tcW w:w="1065" w:type="dxa"/>
            <w:vAlign w:val="center"/>
          </w:tcPr>
          <w:p>
            <w:pPr>
              <w:keepLines/>
              <w:widowControl/>
              <w:tabs>
                <w:tab w:val="left" w:pos="720"/>
              </w:tabs>
              <w:adjustRightInd w:val="0"/>
              <w:snapToGrid w:val="0"/>
              <w:spacing w:after="60" w:line="560" w:lineRule="exact"/>
              <w:jc w:val="center"/>
              <w:rPr>
                <w:rFonts w:ascii="宋体" w:hAnsi="宋体" w:cs="宋体"/>
                <w:sz w:val="22"/>
                <w:szCs w:val="22"/>
              </w:rPr>
            </w:pPr>
            <w:r>
              <w:rPr>
                <w:rFonts w:hint="eastAsia" w:ascii="宋体" w:hAnsi="宋体" w:cs="宋体"/>
                <w:sz w:val="22"/>
                <w:szCs w:val="22"/>
              </w:rPr>
              <w:t>产地</w:t>
            </w:r>
          </w:p>
        </w:tc>
        <w:tc>
          <w:tcPr>
            <w:tcW w:w="1065" w:type="dxa"/>
            <w:vAlign w:val="center"/>
          </w:tcPr>
          <w:p>
            <w:pPr>
              <w:keepLines/>
              <w:widowControl/>
              <w:tabs>
                <w:tab w:val="left" w:pos="720"/>
              </w:tabs>
              <w:adjustRightInd w:val="0"/>
              <w:snapToGrid w:val="0"/>
              <w:spacing w:after="60" w:line="560" w:lineRule="exact"/>
              <w:jc w:val="center"/>
              <w:rPr>
                <w:rFonts w:ascii="宋体" w:hAnsi="宋体" w:cs="宋体"/>
                <w:sz w:val="22"/>
                <w:szCs w:val="22"/>
              </w:rPr>
            </w:pPr>
            <w:r>
              <w:rPr>
                <w:rFonts w:hint="eastAsia" w:ascii="宋体" w:hAnsi="宋体" w:cs="宋体"/>
                <w:sz w:val="22"/>
                <w:szCs w:val="22"/>
              </w:rPr>
              <w:t>数量</w:t>
            </w:r>
          </w:p>
        </w:tc>
        <w:tc>
          <w:tcPr>
            <w:tcW w:w="1066" w:type="dxa"/>
            <w:vAlign w:val="center"/>
          </w:tcPr>
          <w:p>
            <w:pPr>
              <w:keepLines/>
              <w:widowControl/>
              <w:tabs>
                <w:tab w:val="left" w:pos="720"/>
              </w:tabs>
              <w:adjustRightInd w:val="0"/>
              <w:snapToGrid w:val="0"/>
              <w:spacing w:after="60" w:line="560" w:lineRule="exact"/>
              <w:jc w:val="center"/>
              <w:rPr>
                <w:rFonts w:ascii="宋体" w:hAnsi="宋体" w:cs="宋体"/>
                <w:sz w:val="22"/>
                <w:szCs w:val="22"/>
              </w:rPr>
            </w:pPr>
            <w:r>
              <w:rPr>
                <w:rFonts w:hint="eastAsia" w:ascii="宋体" w:hAnsi="宋体" w:cs="宋体"/>
                <w:sz w:val="22"/>
                <w:szCs w:val="22"/>
              </w:rPr>
              <w:t>现值</w:t>
            </w:r>
          </w:p>
        </w:tc>
        <w:tc>
          <w:tcPr>
            <w:tcW w:w="1313" w:type="dxa"/>
            <w:vAlign w:val="center"/>
          </w:tcPr>
          <w:p>
            <w:pPr>
              <w:keepLines/>
              <w:widowControl/>
              <w:tabs>
                <w:tab w:val="left" w:pos="720"/>
              </w:tabs>
              <w:adjustRightInd w:val="0"/>
              <w:snapToGrid w:val="0"/>
              <w:spacing w:after="60" w:line="560" w:lineRule="exact"/>
              <w:jc w:val="center"/>
              <w:rPr>
                <w:rFonts w:ascii="宋体" w:hAnsi="宋体" w:cs="宋体"/>
                <w:sz w:val="22"/>
                <w:szCs w:val="22"/>
              </w:rPr>
            </w:pPr>
            <w:r>
              <w:rPr>
                <w:rFonts w:hint="eastAsia" w:ascii="宋体" w:hAnsi="宋体" w:cs="宋体"/>
                <w:sz w:val="22"/>
                <w:szCs w:val="22"/>
              </w:rPr>
              <w:t>购买时间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6" w:type="dxa"/>
          </w:tcPr>
          <w:p>
            <w:pPr>
              <w:keepLines/>
              <w:widowControl/>
              <w:tabs>
                <w:tab w:val="left" w:pos="720"/>
              </w:tabs>
              <w:adjustRightInd w:val="0"/>
              <w:snapToGrid w:val="0"/>
              <w:spacing w:after="60" w:line="560" w:lineRule="exact"/>
              <w:jc w:val="center"/>
              <w:rPr>
                <w:rFonts w:ascii="宋体" w:hAnsi="宋体" w:cs="宋体"/>
                <w:sz w:val="22"/>
                <w:szCs w:val="22"/>
              </w:rPr>
            </w:pPr>
            <w:r>
              <w:rPr>
                <w:rFonts w:hint="eastAsia" w:ascii="宋体" w:hAnsi="宋体" w:cs="宋体"/>
                <w:sz w:val="22"/>
                <w:szCs w:val="22"/>
              </w:rPr>
              <w:t>1</w:t>
            </w:r>
          </w:p>
        </w:tc>
        <w:tc>
          <w:tcPr>
            <w:tcW w:w="1067" w:type="dxa"/>
          </w:tcPr>
          <w:p>
            <w:pPr>
              <w:keepLines/>
              <w:widowControl/>
              <w:tabs>
                <w:tab w:val="left" w:pos="720"/>
              </w:tabs>
              <w:adjustRightInd w:val="0"/>
              <w:snapToGrid w:val="0"/>
              <w:spacing w:after="60" w:line="560" w:lineRule="exact"/>
              <w:rPr>
                <w:rFonts w:ascii="宋体" w:hAnsi="宋体" w:cs="宋体"/>
                <w:sz w:val="22"/>
                <w:szCs w:val="22"/>
              </w:rPr>
            </w:pPr>
          </w:p>
        </w:tc>
        <w:tc>
          <w:tcPr>
            <w:tcW w:w="1065" w:type="dxa"/>
          </w:tcPr>
          <w:p>
            <w:pPr>
              <w:keepLines/>
              <w:widowControl/>
              <w:tabs>
                <w:tab w:val="left" w:pos="720"/>
              </w:tabs>
              <w:adjustRightInd w:val="0"/>
              <w:snapToGrid w:val="0"/>
              <w:spacing w:after="60" w:line="560" w:lineRule="exact"/>
              <w:rPr>
                <w:rFonts w:ascii="宋体" w:hAnsi="宋体" w:cs="宋体"/>
                <w:sz w:val="22"/>
                <w:szCs w:val="22"/>
              </w:rPr>
            </w:pPr>
          </w:p>
        </w:tc>
        <w:tc>
          <w:tcPr>
            <w:tcW w:w="1065" w:type="dxa"/>
          </w:tcPr>
          <w:p>
            <w:pPr>
              <w:keepLines/>
              <w:widowControl/>
              <w:tabs>
                <w:tab w:val="left" w:pos="720"/>
              </w:tabs>
              <w:adjustRightInd w:val="0"/>
              <w:snapToGrid w:val="0"/>
              <w:spacing w:after="60" w:line="560" w:lineRule="exact"/>
              <w:rPr>
                <w:rFonts w:ascii="宋体" w:hAnsi="宋体" w:cs="宋体"/>
                <w:sz w:val="22"/>
                <w:szCs w:val="22"/>
              </w:rPr>
            </w:pPr>
          </w:p>
        </w:tc>
        <w:tc>
          <w:tcPr>
            <w:tcW w:w="1065" w:type="dxa"/>
          </w:tcPr>
          <w:p>
            <w:pPr>
              <w:keepLines/>
              <w:widowControl/>
              <w:tabs>
                <w:tab w:val="left" w:pos="720"/>
              </w:tabs>
              <w:adjustRightInd w:val="0"/>
              <w:snapToGrid w:val="0"/>
              <w:spacing w:after="60" w:line="560" w:lineRule="exact"/>
              <w:rPr>
                <w:rFonts w:ascii="宋体" w:hAnsi="宋体" w:cs="宋体"/>
                <w:sz w:val="22"/>
                <w:szCs w:val="22"/>
              </w:rPr>
            </w:pPr>
          </w:p>
        </w:tc>
        <w:tc>
          <w:tcPr>
            <w:tcW w:w="1065" w:type="dxa"/>
          </w:tcPr>
          <w:p>
            <w:pPr>
              <w:keepLines/>
              <w:widowControl/>
              <w:tabs>
                <w:tab w:val="left" w:pos="720"/>
              </w:tabs>
              <w:adjustRightInd w:val="0"/>
              <w:snapToGrid w:val="0"/>
              <w:spacing w:after="60" w:line="560" w:lineRule="exact"/>
              <w:rPr>
                <w:rFonts w:ascii="宋体" w:hAnsi="宋体" w:cs="宋体"/>
                <w:sz w:val="22"/>
                <w:szCs w:val="22"/>
              </w:rPr>
            </w:pPr>
          </w:p>
        </w:tc>
        <w:tc>
          <w:tcPr>
            <w:tcW w:w="1066" w:type="dxa"/>
          </w:tcPr>
          <w:p>
            <w:pPr>
              <w:keepLines/>
              <w:widowControl/>
              <w:tabs>
                <w:tab w:val="left" w:pos="720"/>
              </w:tabs>
              <w:adjustRightInd w:val="0"/>
              <w:snapToGrid w:val="0"/>
              <w:spacing w:after="60" w:line="560" w:lineRule="exact"/>
              <w:rPr>
                <w:rFonts w:ascii="宋体" w:hAnsi="宋体" w:cs="宋体"/>
                <w:sz w:val="22"/>
                <w:szCs w:val="22"/>
              </w:rPr>
            </w:pPr>
          </w:p>
        </w:tc>
        <w:tc>
          <w:tcPr>
            <w:tcW w:w="1313" w:type="dxa"/>
          </w:tcPr>
          <w:p>
            <w:pPr>
              <w:keepLines/>
              <w:widowControl/>
              <w:tabs>
                <w:tab w:val="left" w:pos="720"/>
              </w:tabs>
              <w:adjustRightInd w:val="0"/>
              <w:snapToGrid w:val="0"/>
              <w:spacing w:after="60" w:line="56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6" w:type="dxa"/>
          </w:tcPr>
          <w:p>
            <w:pPr>
              <w:keepLines/>
              <w:widowControl/>
              <w:tabs>
                <w:tab w:val="left" w:pos="720"/>
              </w:tabs>
              <w:adjustRightInd w:val="0"/>
              <w:snapToGrid w:val="0"/>
              <w:spacing w:after="60" w:line="560" w:lineRule="exact"/>
              <w:jc w:val="center"/>
              <w:rPr>
                <w:rFonts w:ascii="宋体" w:hAnsi="宋体" w:cs="宋体"/>
                <w:sz w:val="22"/>
                <w:szCs w:val="22"/>
              </w:rPr>
            </w:pPr>
            <w:r>
              <w:rPr>
                <w:rFonts w:hint="eastAsia" w:ascii="宋体" w:hAnsi="宋体" w:cs="宋体"/>
                <w:sz w:val="22"/>
                <w:szCs w:val="22"/>
              </w:rPr>
              <w:t>2</w:t>
            </w:r>
          </w:p>
        </w:tc>
        <w:tc>
          <w:tcPr>
            <w:tcW w:w="1067" w:type="dxa"/>
          </w:tcPr>
          <w:p>
            <w:pPr>
              <w:keepLines/>
              <w:widowControl/>
              <w:tabs>
                <w:tab w:val="left" w:pos="720"/>
              </w:tabs>
              <w:adjustRightInd w:val="0"/>
              <w:snapToGrid w:val="0"/>
              <w:spacing w:after="60" w:line="560" w:lineRule="exact"/>
              <w:rPr>
                <w:rFonts w:ascii="宋体" w:hAnsi="宋体" w:cs="宋体"/>
                <w:sz w:val="22"/>
                <w:szCs w:val="22"/>
              </w:rPr>
            </w:pPr>
          </w:p>
        </w:tc>
        <w:tc>
          <w:tcPr>
            <w:tcW w:w="1065" w:type="dxa"/>
          </w:tcPr>
          <w:p>
            <w:pPr>
              <w:keepLines/>
              <w:widowControl/>
              <w:tabs>
                <w:tab w:val="left" w:pos="720"/>
              </w:tabs>
              <w:adjustRightInd w:val="0"/>
              <w:snapToGrid w:val="0"/>
              <w:spacing w:after="60" w:line="560" w:lineRule="exact"/>
              <w:rPr>
                <w:rFonts w:ascii="宋体" w:hAnsi="宋体" w:cs="宋体"/>
                <w:sz w:val="22"/>
                <w:szCs w:val="22"/>
              </w:rPr>
            </w:pPr>
          </w:p>
        </w:tc>
        <w:tc>
          <w:tcPr>
            <w:tcW w:w="1065" w:type="dxa"/>
          </w:tcPr>
          <w:p>
            <w:pPr>
              <w:keepLines/>
              <w:widowControl/>
              <w:tabs>
                <w:tab w:val="left" w:pos="720"/>
              </w:tabs>
              <w:adjustRightInd w:val="0"/>
              <w:snapToGrid w:val="0"/>
              <w:spacing w:after="60" w:line="560" w:lineRule="exact"/>
              <w:rPr>
                <w:rFonts w:ascii="宋体" w:hAnsi="宋体" w:cs="宋体"/>
                <w:sz w:val="22"/>
                <w:szCs w:val="22"/>
              </w:rPr>
            </w:pPr>
          </w:p>
        </w:tc>
        <w:tc>
          <w:tcPr>
            <w:tcW w:w="1065" w:type="dxa"/>
          </w:tcPr>
          <w:p>
            <w:pPr>
              <w:keepLines/>
              <w:widowControl/>
              <w:tabs>
                <w:tab w:val="left" w:pos="720"/>
              </w:tabs>
              <w:adjustRightInd w:val="0"/>
              <w:snapToGrid w:val="0"/>
              <w:spacing w:after="60" w:line="560" w:lineRule="exact"/>
              <w:rPr>
                <w:rFonts w:ascii="宋体" w:hAnsi="宋体" w:cs="宋体"/>
                <w:sz w:val="22"/>
                <w:szCs w:val="22"/>
              </w:rPr>
            </w:pPr>
          </w:p>
        </w:tc>
        <w:tc>
          <w:tcPr>
            <w:tcW w:w="1065" w:type="dxa"/>
          </w:tcPr>
          <w:p>
            <w:pPr>
              <w:keepLines/>
              <w:widowControl/>
              <w:tabs>
                <w:tab w:val="left" w:pos="720"/>
              </w:tabs>
              <w:adjustRightInd w:val="0"/>
              <w:snapToGrid w:val="0"/>
              <w:spacing w:after="60" w:line="560" w:lineRule="exact"/>
              <w:rPr>
                <w:rFonts w:ascii="宋体" w:hAnsi="宋体" w:cs="宋体"/>
                <w:sz w:val="22"/>
                <w:szCs w:val="22"/>
              </w:rPr>
            </w:pPr>
          </w:p>
        </w:tc>
        <w:tc>
          <w:tcPr>
            <w:tcW w:w="1066" w:type="dxa"/>
          </w:tcPr>
          <w:p>
            <w:pPr>
              <w:keepLines/>
              <w:widowControl/>
              <w:tabs>
                <w:tab w:val="left" w:pos="720"/>
              </w:tabs>
              <w:adjustRightInd w:val="0"/>
              <w:snapToGrid w:val="0"/>
              <w:spacing w:after="60" w:line="560" w:lineRule="exact"/>
              <w:rPr>
                <w:rFonts w:ascii="宋体" w:hAnsi="宋体" w:cs="宋体"/>
                <w:sz w:val="22"/>
                <w:szCs w:val="22"/>
              </w:rPr>
            </w:pPr>
          </w:p>
        </w:tc>
        <w:tc>
          <w:tcPr>
            <w:tcW w:w="1313" w:type="dxa"/>
          </w:tcPr>
          <w:p>
            <w:pPr>
              <w:keepLines/>
              <w:widowControl/>
              <w:tabs>
                <w:tab w:val="left" w:pos="720"/>
              </w:tabs>
              <w:adjustRightInd w:val="0"/>
              <w:snapToGrid w:val="0"/>
              <w:spacing w:after="60" w:line="56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6" w:type="dxa"/>
          </w:tcPr>
          <w:p>
            <w:pPr>
              <w:keepLines/>
              <w:widowControl/>
              <w:tabs>
                <w:tab w:val="left" w:pos="720"/>
              </w:tabs>
              <w:adjustRightInd w:val="0"/>
              <w:snapToGrid w:val="0"/>
              <w:spacing w:after="60" w:line="560" w:lineRule="exact"/>
              <w:jc w:val="center"/>
              <w:rPr>
                <w:rFonts w:ascii="宋体" w:hAnsi="宋体" w:cs="宋体"/>
                <w:sz w:val="22"/>
                <w:szCs w:val="22"/>
              </w:rPr>
            </w:pPr>
            <w:r>
              <w:rPr>
                <w:rFonts w:hint="eastAsia" w:ascii="宋体" w:hAnsi="宋体" w:cs="宋体"/>
                <w:sz w:val="22"/>
                <w:szCs w:val="22"/>
              </w:rPr>
              <w:t>3</w:t>
            </w:r>
          </w:p>
        </w:tc>
        <w:tc>
          <w:tcPr>
            <w:tcW w:w="1067" w:type="dxa"/>
          </w:tcPr>
          <w:p>
            <w:pPr>
              <w:keepLines/>
              <w:widowControl/>
              <w:tabs>
                <w:tab w:val="left" w:pos="720"/>
              </w:tabs>
              <w:adjustRightInd w:val="0"/>
              <w:snapToGrid w:val="0"/>
              <w:spacing w:after="60" w:line="560" w:lineRule="exact"/>
              <w:rPr>
                <w:rFonts w:ascii="宋体" w:hAnsi="宋体" w:cs="宋体"/>
                <w:sz w:val="22"/>
                <w:szCs w:val="22"/>
              </w:rPr>
            </w:pPr>
          </w:p>
        </w:tc>
        <w:tc>
          <w:tcPr>
            <w:tcW w:w="1065" w:type="dxa"/>
          </w:tcPr>
          <w:p>
            <w:pPr>
              <w:keepLines/>
              <w:widowControl/>
              <w:tabs>
                <w:tab w:val="left" w:pos="720"/>
              </w:tabs>
              <w:adjustRightInd w:val="0"/>
              <w:snapToGrid w:val="0"/>
              <w:spacing w:after="60" w:line="560" w:lineRule="exact"/>
              <w:rPr>
                <w:rFonts w:ascii="宋体" w:hAnsi="宋体" w:cs="宋体"/>
                <w:sz w:val="22"/>
                <w:szCs w:val="22"/>
              </w:rPr>
            </w:pPr>
          </w:p>
        </w:tc>
        <w:tc>
          <w:tcPr>
            <w:tcW w:w="1065" w:type="dxa"/>
          </w:tcPr>
          <w:p>
            <w:pPr>
              <w:keepLines/>
              <w:widowControl/>
              <w:tabs>
                <w:tab w:val="left" w:pos="720"/>
              </w:tabs>
              <w:adjustRightInd w:val="0"/>
              <w:snapToGrid w:val="0"/>
              <w:spacing w:after="60" w:line="560" w:lineRule="exact"/>
              <w:rPr>
                <w:rFonts w:ascii="宋体" w:hAnsi="宋体" w:cs="宋体"/>
                <w:sz w:val="22"/>
                <w:szCs w:val="22"/>
              </w:rPr>
            </w:pPr>
          </w:p>
        </w:tc>
        <w:tc>
          <w:tcPr>
            <w:tcW w:w="1065" w:type="dxa"/>
          </w:tcPr>
          <w:p>
            <w:pPr>
              <w:keepLines/>
              <w:widowControl/>
              <w:tabs>
                <w:tab w:val="left" w:pos="720"/>
              </w:tabs>
              <w:adjustRightInd w:val="0"/>
              <w:snapToGrid w:val="0"/>
              <w:spacing w:after="60" w:line="560" w:lineRule="exact"/>
              <w:rPr>
                <w:rFonts w:ascii="宋体" w:hAnsi="宋体" w:cs="宋体"/>
                <w:sz w:val="22"/>
                <w:szCs w:val="22"/>
              </w:rPr>
            </w:pPr>
          </w:p>
        </w:tc>
        <w:tc>
          <w:tcPr>
            <w:tcW w:w="1065" w:type="dxa"/>
          </w:tcPr>
          <w:p>
            <w:pPr>
              <w:keepLines/>
              <w:widowControl/>
              <w:tabs>
                <w:tab w:val="left" w:pos="720"/>
              </w:tabs>
              <w:adjustRightInd w:val="0"/>
              <w:snapToGrid w:val="0"/>
              <w:spacing w:after="60" w:line="560" w:lineRule="exact"/>
              <w:rPr>
                <w:rFonts w:ascii="宋体" w:hAnsi="宋体" w:cs="宋体"/>
                <w:sz w:val="22"/>
                <w:szCs w:val="22"/>
              </w:rPr>
            </w:pPr>
          </w:p>
        </w:tc>
        <w:tc>
          <w:tcPr>
            <w:tcW w:w="1066" w:type="dxa"/>
          </w:tcPr>
          <w:p>
            <w:pPr>
              <w:keepLines/>
              <w:widowControl/>
              <w:tabs>
                <w:tab w:val="left" w:pos="720"/>
              </w:tabs>
              <w:adjustRightInd w:val="0"/>
              <w:snapToGrid w:val="0"/>
              <w:spacing w:after="60" w:line="560" w:lineRule="exact"/>
              <w:rPr>
                <w:rFonts w:ascii="宋体" w:hAnsi="宋体" w:cs="宋体"/>
                <w:sz w:val="22"/>
                <w:szCs w:val="22"/>
              </w:rPr>
            </w:pPr>
          </w:p>
        </w:tc>
        <w:tc>
          <w:tcPr>
            <w:tcW w:w="1313" w:type="dxa"/>
          </w:tcPr>
          <w:p>
            <w:pPr>
              <w:keepLines/>
              <w:widowControl/>
              <w:tabs>
                <w:tab w:val="left" w:pos="720"/>
              </w:tabs>
              <w:adjustRightInd w:val="0"/>
              <w:snapToGrid w:val="0"/>
              <w:spacing w:after="60" w:line="56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6" w:type="dxa"/>
          </w:tcPr>
          <w:p>
            <w:pPr>
              <w:keepLines/>
              <w:widowControl/>
              <w:tabs>
                <w:tab w:val="left" w:pos="720"/>
              </w:tabs>
              <w:adjustRightInd w:val="0"/>
              <w:snapToGrid w:val="0"/>
              <w:spacing w:after="60" w:line="560" w:lineRule="exact"/>
              <w:jc w:val="center"/>
              <w:rPr>
                <w:rFonts w:ascii="宋体" w:hAnsi="宋体" w:cs="宋体"/>
                <w:sz w:val="22"/>
                <w:szCs w:val="22"/>
              </w:rPr>
            </w:pPr>
            <w:r>
              <w:rPr>
                <w:rFonts w:hint="eastAsia" w:ascii="宋体" w:hAnsi="宋体" w:cs="宋体"/>
                <w:sz w:val="22"/>
                <w:szCs w:val="22"/>
              </w:rPr>
              <w:t>4</w:t>
            </w:r>
          </w:p>
        </w:tc>
        <w:tc>
          <w:tcPr>
            <w:tcW w:w="1067" w:type="dxa"/>
          </w:tcPr>
          <w:p>
            <w:pPr>
              <w:keepLines/>
              <w:widowControl/>
              <w:tabs>
                <w:tab w:val="left" w:pos="720"/>
              </w:tabs>
              <w:adjustRightInd w:val="0"/>
              <w:snapToGrid w:val="0"/>
              <w:spacing w:after="60" w:line="560" w:lineRule="exact"/>
              <w:rPr>
                <w:rFonts w:ascii="宋体" w:hAnsi="宋体" w:cs="宋体"/>
                <w:sz w:val="22"/>
                <w:szCs w:val="22"/>
              </w:rPr>
            </w:pPr>
          </w:p>
        </w:tc>
        <w:tc>
          <w:tcPr>
            <w:tcW w:w="1065" w:type="dxa"/>
          </w:tcPr>
          <w:p>
            <w:pPr>
              <w:keepLines/>
              <w:widowControl/>
              <w:tabs>
                <w:tab w:val="left" w:pos="720"/>
              </w:tabs>
              <w:adjustRightInd w:val="0"/>
              <w:snapToGrid w:val="0"/>
              <w:spacing w:after="60" w:line="560" w:lineRule="exact"/>
              <w:rPr>
                <w:rFonts w:ascii="宋体" w:hAnsi="宋体" w:cs="宋体"/>
                <w:sz w:val="22"/>
                <w:szCs w:val="22"/>
              </w:rPr>
            </w:pPr>
          </w:p>
        </w:tc>
        <w:tc>
          <w:tcPr>
            <w:tcW w:w="1065" w:type="dxa"/>
          </w:tcPr>
          <w:p>
            <w:pPr>
              <w:keepLines/>
              <w:widowControl/>
              <w:tabs>
                <w:tab w:val="left" w:pos="720"/>
              </w:tabs>
              <w:adjustRightInd w:val="0"/>
              <w:snapToGrid w:val="0"/>
              <w:spacing w:after="60" w:line="560" w:lineRule="exact"/>
              <w:rPr>
                <w:rFonts w:ascii="宋体" w:hAnsi="宋体" w:cs="宋体"/>
                <w:sz w:val="22"/>
                <w:szCs w:val="22"/>
              </w:rPr>
            </w:pPr>
          </w:p>
        </w:tc>
        <w:tc>
          <w:tcPr>
            <w:tcW w:w="1065" w:type="dxa"/>
          </w:tcPr>
          <w:p>
            <w:pPr>
              <w:keepLines/>
              <w:widowControl/>
              <w:tabs>
                <w:tab w:val="left" w:pos="720"/>
              </w:tabs>
              <w:adjustRightInd w:val="0"/>
              <w:snapToGrid w:val="0"/>
              <w:spacing w:after="60" w:line="560" w:lineRule="exact"/>
              <w:rPr>
                <w:rFonts w:ascii="宋体" w:hAnsi="宋体" w:cs="宋体"/>
                <w:sz w:val="22"/>
                <w:szCs w:val="22"/>
              </w:rPr>
            </w:pPr>
          </w:p>
        </w:tc>
        <w:tc>
          <w:tcPr>
            <w:tcW w:w="1065" w:type="dxa"/>
          </w:tcPr>
          <w:p>
            <w:pPr>
              <w:keepLines/>
              <w:widowControl/>
              <w:tabs>
                <w:tab w:val="left" w:pos="720"/>
              </w:tabs>
              <w:adjustRightInd w:val="0"/>
              <w:snapToGrid w:val="0"/>
              <w:spacing w:after="60" w:line="560" w:lineRule="exact"/>
              <w:rPr>
                <w:rFonts w:ascii="宋体" w:hAnsi="宋体" w:cs="宋体"/>
                <w:sz w:val="22"/>
                <w:szCs w:val="22"/>
              </w:rPr>
            </w:pPr>
          </w:p>
        </w:tc>
        <w:tc>
          <w:tcPr>
            <w:tcW w:w="1066" w:type="dxa"/>
          </w:tcPr>
          <w:p>
            <w:pPr>
              <w:keepLines/>
              <w:widowControl/>
              <w:tabs>
                <w:tab w:val="left" w:pos="720"/>
              </w:tabs>
              <w:adjustRightInd w:val="0"/>
              <w:snapToGrid w:val="0"/>
              <w:spacing w:after="60" w:line="560" w:lineRule="exact"/>
              <w:rPr>
                <w:rFonts w:ascii="宋体" w:hAnsi="宋体" w:cs="宋体"/>
                <w:sz w:val="22"/>
                <w:szCs w:val="22"/>
              </w:rPr>
            </w:pPr>
          </w:p>
        </w:tc>
        <w:tc>
          <w:tcPr>
            <w:tcW w:w="1313" w:type="dxa"/>
          </w:tcPr>
          <w:p>
            <w:pPr>
              <w:keepLines/>
              <w:widowControl/>
              <w:tabs>
                <w:tab w:val="left" w:pos="720"/>
              </w:tabs>
              <w:adjustRightInd w:val="0"/>
              <w:snapToGrid w:val="0"/>
              <w:spacing w:after="60" w:line="56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6" w:type="dxa"/>
          </w:tcPr>
          <w:p>
            <w:pPr>
              <w:keepLines/>
              <w:widowControl/>
              <w:tabs>
                <w:tab w:val="left" w:pos="720"/>
              </w:tabs>
              <w:adjustRightInd w:val="0"/>
              <w:snapToGrid w:val="0"/>
              <w:spacing w:after="60" w:line="560" w:lineRule="exact"/>
              <w:jc w:val="center"/>
              <w:rPr>
                <w:rFonts w:ascii="宋体" w:hAnsi="宋体" w:cs="宋体"/>
                <w:sz w:val="22"/>
                <w:szCs w:val="22"/>
              </w:rPr>
            </w:pPr>
            <w:r>
              <w:rPr>
                <w:rFonts w:hint="eastAsia" w:ascii="宋体" w:hAnsi="宋体" w:cs="宋体"/>
                <w:sz w:val="22"/>
                <w:szCs w:val="22"/>
              </w:rPr>
              <w:t>5</w:t>
            </w:r>
          </w:p>
        </w:tc>
        <w:tc>
          <w:tcPr>
            <w:tcW w:w="1067" w:type="dxa"/>
          </w:tcPr>
          <w:p>
            <w:pPr>
              <w:keepLines/>
              <w:widowControl/>
              <w:tabs>
                <w:tab w:val="left" w:pos="720"/>
              </w:tabs>
              <w:adjustRightInd w:val="0"/>
              <w:snapToGrid w:val="0"/>
              <w:spacing w:after="60" w:line="560" w:lineRule="exact"/>
              <w:rPr>
                <w:rFonts w:ascii="宋体" w:hAnsi="宋体" w:cs="宋体"/>
                <w:sz w:val="22"/>
                <w:szCs w:val="22"/>
              </w:rPr>
            </w:pPr>
          </w:p>
        </w:tc>
        <w:tc>
          <w:tcPr>
            <w:tcW w:w="1065" w:type="dxa"/>
          </w:tcPr>
          <w:p>
            <w:pPr>
              <w:keepLines/>
              <w:widowControl/>
              <w:tabs>
                <w:tab w:val="left" w:pos="720"/>
              </w:tabs>
              <w:adjustRightInd w:val="0"/>
              <w:snapToGrid w:val="0"/>
              <w:spacing w:after="60" w:line="560" w:lineRule="exact"/>
              <w:rPr>
                <w:rFonts w:ascii="宋体" w:hAnsi="宋体" w:cs="宋体"/>
                <w:sz w:val="22"/>
                <w:szCs w:val="22"/>
              </w:rPr>
            </w:pPr>
          </w:p>
        </w:tc>
        <w:tc>
          <w:tcPr>
            <w:tcW w:w="1065" w:type="dxa"/>
          </w:tcPr>
          <w:p>
            <w:pPr>
              <w:keepLines/>
              <w:widowControl/>
              <w:tabs>
                <w:tab w:val="left" w:pos="720"/>
              </w:tabs>
              <w:adjustRightInd w:val="0"/>
              <w:snapToGrid w:val="0"/>
              <w:spacing w:after="60" w:line="560" w:lineRule="exact"/>
              <w:rPr>
                <w:rFonts w:ascii="宋体" w:hAnsi="宋体" w:cs="宋体"/>
                <w:sz w:val="22"/>
                <w:szCs w:val="22"/>
              </w:rPr>
            </w:pPr>
          </w:p>
        </w:tc>
        <w:tc>
          <w:tcPr>
            <w:tcW w:w="1065" w:type="dxa"/>
          </w:tcPr>
          <w:p>
            <w:pPr>
              <w:keepLines/>
              <w:widowControl/>
              <w:tabs>
                <w:tab w:val="left" w:pos="720"/>
              </w:tabs>
              <w:adjustRightInd w:val="0"/>
              <w:snapToGrid w:val="0"/>
              <w:spacing w:after="60" w:line="560" w:lineRule="exact"/>
              <w:rPr>
                <w:rFonts w:ascii="宋体" w:hAnsi="宋体" w:cs="宋体"/>
                <w:sz w:val="22"/>
                <w:szCs w:val="22"/>
              </w:rPr>
            </w:pPr>
          </w:p>
        </w:tc>
        <w:tc>
          <w:tcPr>
            <w:tcW w:w="1065" w:type="dxa"/>
          </w:tcPr>
          <w:p>
            <w:pPr>
              <w:keepLines/>
              <w:widowControl/>
              <w:tabs>
                <w:tab w:val="left" w:pos="720"/>
              </w:tabs>
              <w:adjustRightInd w:val="0"/>
              <w:snapToGrid w:val="0"/>
              <w:spacing w:after="60" w:line="560" w:lineRule="exact"/>
              <w:rPr>
                <w:rFonts w:ascii="宋体" w:hAnsi="宋体" w:cs="宋体"/>
                <w:sz w:val="22"/>
                <w:szCs w:val="22"/>
              </w:rPr>
            </w:pPr>
          </w:p>
        </w:tc>
        <w:tc>
          <w:tcPr>
            <w:tcW w:w="1066" w:type="dxa"/>
          </w:tcPr>
          <w:p>
            <w:pPr>
              <w:keepLines/>
              <w:widowControl/>
              <w:tabs>
                <w:tab w:val="left" w:pos="720"/>
              </w:tabs>
              <w:adjustRightInd w:val="0"/>
              <w:snapToGrid w:val="0"/>
              <w:spacing w:after="60" w:line="560" w:lineRule="exact"/>
              <w:rPr>
                <w:rFonts w:ascii="宋体" w:hAnsi="宋体" w:cs="宋体"/>
                <w:sz w:val="22"/>
                <w:szCs w:val="22"/>
              </w:rPr>
            </w:pPr>
          </w:p>
        </w:tc>
        <w:tc>
          <w:tcPr>
            <w:tcW w:w="1313" w:type="dxa"/>
          </w:tcPr>
          <w:p>
            <w:pPr>
              <w:keepLines/>
              <w:widowControl/>
              <w:tabs>
                <w:tab w:val="left" w:pos="720"/>
              </w:tabs>
              <w:adjustRightInd w:val="0"/>
              <w:snapToGrid w:val="0"/>
              <w:spacing w:after="60" w:line="560" w:lineRule="exact"/>
              <w:rPr>
                <w:rFonts w:ascii="宋体" w:hAnsi="宋体" w:cs="宋体"/>
                <w:sz w:val="22"/>
                <w:szCs w:val="22"/>
              </w:rPr>
            </w:pPr>
          </w:p>
        </w:tc>
      </w:tr>
    </w:tbl>
    <w:p>
      <w:pPr>
        <w:spacing w:after="60" w:line="560" w:lineRule="exact"/>
        <w:rPr>
          <w:rFonts w:ascii="宋体" w:hAnsi="宋体" w:cs="宋体"/>
          <w:sz w:val="22"/>
          <w:szCs w:val="22"/>
        </w:rPr>
      </w:pPr>
      <w:r>
        <w:rPr>
          <w:rFonts w:hint="eastAsia" w:ascii="宋体" w:hAnsi="宋体" w:cs="宋体"/>
          <w:sz w:val="22"/>
          <w:szCs w:val="22"/>
        </w:rPr>
        <w:t>注：</w:t>
      </w:r>
    </w:p>
    <w:p>
      <w:pPr>
        <w:spacing w:after="60" w:line="560" w:lineRule="exact"/>
        <w:ind w:firstLine="440" w:firstLineChars="200"/>
        <w:rPr>
          <w:rFonts w:ascii="宋体" w:hAnsi="宋体" w:cs="宋体"/>
          <w:sz w:val="22"/>
          <w:szCs w:val="22"/>
        </w:rPr>
      </w:pPr>
      <w:r>
        <w:rPr>
          <w:rFonts w:hint="eastAsia" w:ascii="宋体" w:hAnsi="宋体" w:cs="宋体"/>
          <w:sz w:val="22"/>
          <w:szCs w:val="22"/>
        </w:rPr>
        <w:t>1、投标人所填报的设备必须满足本项目的总体要求，中标后如业主认为该表中的设备不满足项目要求，中标人须按业主要求无条件地增加相关设备；本表可延伸。</w:t>
      </w:r>
    </w:p>
    <w:p>
      <w:pPr>
        <w:spacing w:line="560" w:lineRule="exact"/>
        <w:rPr>
          <w:rFonts w:ascii="宋体" w:hAnsi="宋体" w:cs="宋体"/>
          <w:b/>
          <w:bCs/>
          <w:sz w:val="22"/>
          <w:szCs w:val="22"/>
        </w:rPr>
      </w:pPr>
    </w:p>
    <w:p>
      <w:pPr>
        <w:spacing w:line="560" w:lineRule="exact"/>
        <w:rPr>
          <w:rFonts w:ascii="宋体" w:hAnsi="宋体" w:cs="宋体"/>
          <w:b/>
          <w:bCs/>
          <w:sz w:val="22"/>
          <w:szCs w:val="22"/>
        </w:rPr>
      </w:pPr>
    </w:p>
    <w:p>
      <w:pPr>
        <w:spacing w:line="560" w:lineRule="exact"/>
        <w:rPr>
          <w:rFonts w:ascii="宋体" w:hAnsi="宋体" w:cs="宋体"/>
          <w:b/>
          <w:bCs/>
          <w:sz w:val="22"/>
          <w:szCs w:val="22"/>
        </w:rPr>
      </w:pPr>
    </w:p>
    <w:p>
      <w:pPr>
        <w:spacing w:line="560" w:lineRule="exact"/>
        <w:rPr>
          <w:rFonts w:ascii="宋体" w:hAnsi="宋体" w:cs="宋体"/>
          <w:b/>
          <w:bCs/>
          <w:sz w:val="22"/>
          <w:szCs w:val="22"/>
        </w:rPr>
      </w:pPr>
    </w:p>
    <w:p/>
    <w:p>
      <w:pPr>
        <w:spacing w:line="560" w:lineRule="exact"/>
        <w:rPr>
          <w:rFonts w:ascii="宋体" w:hAnsi="宋体" w:cs="宋体"/>
          <w:b/>
          <w:bCs/>
          <w:sz w:val="22"/>
          <w:szCs w:val="22"/>
        </w:rPr>
      </w:pPr>
    </w:p>
    <w:p>
      <w:pPr>
        <w:spacing w:line="560" w:lineRule="exact"/>
        <w:rPr>
          <w:rFonts w:ascii="宋体" w:hAnsi="宋体" w:cs="宋体"/>
          <w:b/>
          <w:bCs/>
          <w:sz w:val="22"/>
          <w:szCs w:val="22"/>
        </w:rPr>
      </w:pPr>
    </w:p>
    <w:p>
      <w:pPr>
        <w:pStyle w:val="47"/>
        <w:spacing w:line="360" w:lineRule="auto"/>
        <w:ind w:firstLine="3964" w:firstLineChars="1802"/>
        <w:rPr>
          <w:rFonts w:ascii="宋体" w:eastAsia="宋体"/>
          <w:sz w:val="22"/>
          <w:szCs w:val="22"/>
          <w:u w:val="single"/>
        </w:rPr>
      </w:pPr>
      <w:r>
        <w:rPr>
          <w:rFonts w:hint="eastAsia" w:ascii="宋体" w:eastAsia="宋体"/>
          <w:sz w:val="22"/>
          <w:szCs w:val="22"/>
        </w:rPr>
        <w:t xml:space="preserve">投标人名称（加盖公章）： </w:t>
      </w:r>
    </w:p>
    <w:p>
      <w:pPr>
        <w:pStyle w:val="47"/>
        <w:spacing w:line="360" w:lineRule="auto"/>
        <w:ind w:firstLine="3964" w:firstLineChars="1802"/>
        <w:rPr>
          <w:rFonts w:ascii="宋体" w:eastAsia="宋体"/>
          <w:sz w:val="22"/>
          <w:szCs w:val="22"/>
        </w:rPr>
      </w:pPr>
      <w:r>
        <w:rPr>
          <w:rFonts w:hint="eastAsia" w:ascii="宋体" w:eastAsia="宋体"/>
          <w:sz w:val="22"/>
          <w:szCs w:val="22"/>
        </w:rPr>
        <w:t>投标人法定代表人或被授权人（签名或盖私章）：</w:t>
      </w:r>
    </w:p>
    <w:p>
      <w:pPr>
        <w:pStyle w:val="47"/>
        <w:spacing w:line="360" w:lineRule="auto"/>
        <w:ind w:firstLine="3964" w:firstLineChars="1802"/>
        <w:rPr>
          <w:rFonts w:ascii="宋体" w:eastAsia="宋体"/>
          <w:sz w:val="22"/>
          <w:szCs w:val="22"/>
          <w:u w:val="single"/>
        </w:rPr>
      </w:pPr>
      <w:r>
        <w:rPr>
          <w:rFonts w:hint="eastAsia" w:ascii="宋体" w:eastAsia="宋体"/>
          <w:sz w:val="22"/>
          <w:szCs w:val="22"/>
        </w:rPr>
        <w:t>日期：</w:t>
      </w:r>
      <w:r>
        <w:rPr>
          <w:rFonts w:hint="eastAsia" w:ascii="宋体" w:eastAsia="宋体"/>
          <w:sz w:val="22"/>
          <w:szCs w:val="22"/>
          <w:u w:val="single"/>
        </w:rPr>
        <w:t xml:space="preserve">     年     月      日</w:t>
      </w:r>
    </w:p>
    <w:p>
      <w:pPr>
        <w:tabs>
          <w:tab w:val="left" w:pos="1530"/>
        </w:tabs>
        <w:spacing w:line="560" w:lineRule="exact"/>
        <w:rPr>
          <w:rFonts w:ascii="宋体" w:hAnsi="宋体" w:cs="宋体"/>
          <w:sz w:val="22"/>
          <w:szCs w:val="22"/>
        </w:rPr>
      </w:pPr>
    </w:p>
    <w:p>
      <w:pPr>
        <w:rPr>
          <w:rFonts w:ascii="宋体" w:hAnsi="宋体" w:cs="宋体"/>
          <w:b/>
          <w:bCs/>
          <w:sz w:val="22"/>
          <w:szCs w:val="22"/>
        </w:rPr>
      </w:pPr>
      <w:bookmarkStart w:id="1292" w:name="_Toc81879447"/>
      <w:bookmarkStart w:id="1293" w:name="_Toc454875065"/>
      <w:bookmarkStart w:id="1294" w:name="_Toc441844128"/>
      <w:bookmarkStart w:id="1295" w:name="_Toc439325724"/>
      <w:r>
        <w:rPr>
          <w:rFonts w:hint="eastAsia" w:ascii="宋体" w:hAnsi="宋体" w:cs="宋体"/>
          <w:b/>
          <w:bCs/>
          <w:sz w:val="22"/>
          <w:szCs w:val="22"/>
        </w:rPr>
        <w:br w:type="page"/>
      </w:r>
    </w:p>
    <w:p>
      <w:pPr>
        <w:spacing w:after="60" w:line="560" w:lineRule="exact"/>
        <w:jc w:val="center"/>
        <w:outlineLvl w:val="2"/>
        <w:rPr>
          <w:rFonts w:ascii="宋体" w:hAnsi="宋体" w:cs="宋体"/>
          <w:sz w:val="22"/>
          <w:szCs w:val="22"/>
        </w:rPr>
      </w:pPr>
      <w:bookmarkStart w:id="1296" w:name="_Toc28598"/>
      <w:bookmarkStart w:id="1297" w:name="_Toc5303"/>
      <w:bookmarkStart w:id="1298" w:name="_Toc14328"/>
      <w:bookmarkStart w:id="1299" w:name="_Toc15413"/>
      <w:bookmarkStart w:id="1300" w:name="_Toc25711"/>
      <w:r>
        <w:rPr>
          <w:rFonts w:hint="eastAsia" w:ascii="宋体" w:hAnsi="宋体" w:cs="宋体"/>
          <w:b/>
          <w:bCs/>
          <w:sz w:val="22"/>
          <w:szCs w:val="22"/>
        </w:rPr>
        <w:t>1</w:t>
      </w:r>
      <w:bookmarkEnd w:id="1292"/>
      <w:r>
        <w:rPr>
          <w:rFonts w:hint="eastAsia" w:ascii="宋体" w:hAnsi="宋体" w:cs="宋体"/>
          <w:b/>
          <w:bCs/>
          <w:sz w:val="22"/>
          <w:szCs w:val="22"/>
        </w:rPr>
        <w:t>2</w:t>
      </w:r>
      <w:r>
        <w:rPr>
          <w:rFonts w:hint="eastAsia" w:ascii="宋体" w:hAnsi="宋体"/>
          <w:sz w:val="22"/>
          <w:szCs w:val="22"/>
        </w:rPr>
        <w:t>、</w:t>
      </w:r>
      <w:r>
        <w:rPr>
          <w:rFonts w:hint="eastAsia" w:ascii="宋体" w:hAnsi="宋体" w:cs="宋体"/>
          <w:b/>
          <w:sz w:val="22"/>
          <w:szCs w:val="22"/>
        </w:rPr>
        <w:t>服务方案</w:t>
      </w:r>
      <w:bookmarkEnd w:id="1293"/>
      <w:bookmarkEnd w:id="1294"/>
      <w:bookmarkEnd w:id="1295"/>
      <w:bookmarkEnd w:id="1296"/>
      <w:bookmarkEnd w:id="1297"/>
      <w:bookmarkEnd w:id="1298"/>
      <w:bookmarkEnd w:id="1299"/>
      <w:bookmarkEnd w:id="1300"/>
    </w:p>
    <w:p>
      <w:pPr>
        <w:adjustRightInd w:val="0"/>
        <w:spacing w:line="560" w:lineRule="exact"/>
        <w:rPr>
          <w:rFonts w:ascii="宋体" w:hAnsi="宋体" w:cs="宋体"/>
          <w:sz w:val="22"/>
          <w:szCs w:val="22"/>
        </w:rPr>
      </w:pPr>
      <w:r>
        <w:rPr>
          <w:rFonts w:hint="eastAsia" w:ascii="宋体" w:hAnsi="宋体" w:cs="宋体"/>
          <w:sz w:val="22"/>
          <w:szCs w:val="22"/>
        </w:rPr>
        <w:t>项目名称：</w:t>
      </w:r>
      <w:r>
        <w:rPr>
          <w:rFonts w:hint="eastAsia" w:ascii="宋体" w:hAnsi="宋体" w:cs="宋体"/>
          <w:sz w:val="22"/>
          <w:szCs w:val="22"/>
          <w:lang w:eastAsia="zh-CN"/>
        </w:rPr>
        <w:t>东莞市交通投资集团有限公司供应链服务平台项目</w:t>
      </w:r>
      <w:r>
        <w:rPr>
          <w:rFonts w:hint="eastAsia" w:ascii="宋体" w:hAnsi="宋体" w:cs="宋体"/>
          <w:sz w:val="22"/>
          <w:szCs w:val="22"/>
        </w:rPr>
        <w:t xml:space="preserve">  </w:t>
      </w:r>
    </w:p>
    <w:p>
      <w:pPr>
        <w:adjustRightInd w:val="0"/>
        <w:spacing w:line="560" w:lineRule="exact"/>
        <w:rPr>
          <w:rFonts w:ascii="宋体" w:hAnsi="宋体" w:cs="宋体"/>
          <w:sz w:val="22"/>
          <w:szCs w:val="22"/>
          <w:u w:val="single"/>
        </w:rPr>
      </w:pPr>
      <w:r>
        <w:rPr>
          <w:rFonts w:hint="eastAsia" w:ascii="宋体" w:hAnsi="宋体" w:cs="宋体"/>
          <w:sz w:val="22"/>
          <w:szCs w:val="22"/>
        </w:rPr>
        <w:t xml:space="preserve">项目编号：SL-CG2022028         </w:t>
      </w:r>
    </w:p>
    <w:p>
      <w:pPr>
        <w:spacing w:line="560" w:lineRule="exact"/>
        <w:ind w:firstLine="440" w:firstLineChars="200"/>
        <w:rPr>
          <w:rFonts w:ascii="宋体" w:hAnsi="宋体" w:cs="宋体"/>
          <w:sz w:val="22"/>
          <w:szCs w:val="22"/>
        </w:rPr>
      </w:pPr>
      <w:r>
        <w:rPr>
          <w:rFonts w:hint="eastAsia" w:ascii="宋体" w:hAnsi="宋体" w:cs="宋体"/>
          <w:sz w:val="22"/>
          <w:szCs w:val="22"/>
        </w:rPr>
        <w:t>投标人应编制递交详细、完整的《服务方案》，该方案应满足或高于招标文件要求，具体内容应包括但不限于以下内容：</w:t>
      </w:r>
    </w:p>
    <w:p>
      <w:pPr>
        <w:spacing w:line="560" w:lineRule="exact"/>
        <w:ind w:firstLine="440" w:firstLineChars="200"/>
        <w:rPr>
          <w:rFonts w:ascii="宋体" w:hAnsi="宋体" w:cs="宋体"/>
          <w:sz w:val="22"/>
          <w:szCs w:val="22"/>
        </w:rPr>
      </w:pPr>
    </w:p>
    <w:p>
      <w:pPr>
        <w:spacing w:line="560" w:lineRule="exact"/>
        <w:ind w:firstLine="440" w:firstLineChars="200"/>
        <w:rPr>
          <w:rFonts w:ascii="宋体" w:hAnsi="宋体" w:cs="宋体"/>
          <w:sz w:val="22"/>
          <w:szCs w:val="22"/>
        </w:rPr>
      </w:pPr>
      <w:r>
        <w:rPr>
          <w:rFonts w:hint="eastAsia" w:ascii="宋体" w:hAnsi="宋体" w:cs="宋体"/>
          <w:sz w:val="22"/>
          <w:szCs w:val="22"/>
        </w:rPr>
        <w:t>1、技术方案：……</w:t>
      </w:r>
    </w:p>
    <w:p>
      <w:pPr>
        <w:spacing w:line="560" w:lineRule="exact"/>
        <w:ind w:firstLine="440" w:firstLineChars="200"/>
        <w:rPr>
          <w:rFonts w:ascii="宋体" w:hAnsi="宋体" w:cs="宋体"/>
          <w:sz w:val="22"/>
          <w:szCs w:val="22"/>
        </w:rPr>
      </w:pPr>
      <w:r>
        <w:rPr>
          <w:rFonts w:hint="eastAsia" w:ascii="宋体" w:hAnsi="宋体" w:cs="宋体"/>
          <w:sz w:val="22"/>
          <w:szCs w:val="22"/>
        </w:rPr>
        <w:t>2、安全方案：……</w:t>
      </w:r>
    </w:p>
    <w:p>
      <w:pPr>
        <w:spacing w:line="560" w:lineRule="exact"/>
        <w:ind w:firstLine="440" w:firstLineChars="200"/>
        <w:rPr>
          <w:rFonts w:ascii="宋体" w:hAnsi="宋体" w:cs="宋体"/>
          <w:sz w:val="22"/>
          <w:szCs w:val="22"/>
        </w:rPr>
      </w:pPr>
      <w:r>
        <w:rPr>
          <w:rFonts w:hint="eastAsia" w:ascii="宋体" w:hAnsi="宋体" w:cs="宋体"/>
          <w:sz w:val="22"/>
          <w:szCs w:val="22"/>
        </w:rPr>
        <w:t>3、实施方案：……</w:t>
      </w:r>
    </w:p>
    <w:p>
      <w:pPr>
        <w:spacing w:line="560" w:lineRule="exact"/>
        <w:ind w:firstLine="440" w:firstLineChars="200"/>
        <w:rPr>
          <w:rFonts w:ascii="宋体" w:hAnsi="宋体" w:cs="宋体"/>
          <w:sz w:val="22"/>
          <w:szCs w:val="22"/>
        </w:rPr>
      </w:pPr>
      <w:r>
        <w:rPr>
          <w:rFonts w:hint="eastAsia" w:ascii="宋体" w:hAnsi="宋体" w:cs="宋体"/>
          <w:sz w:val="22"/>
          <w:szCs w:val="22"/>
        </w:rPr>
        <w:t>4、投标人认为需增加的其它内容。</w:t>
      </w:r>
    </w:p>
    <w:p>
      <w:pPr>
        <w:pStyle w:val="33"/>
        <w:ind w:firstLine="440"/>
        <w:rPr>
          <w:rFonts w:ascii="宋体" w:hAnsi="宋体" w:cs="宋体"/>
          <w:sz w:val="22"/>
          <w:szCs w:val="22"/>
        </w:rPr>
      </w:pPr>
    </w:p>
    <w:p>
      <w:pPr>
        <w:pStyle w:val="33"/>
        <w:ind w:firstLine="440"/>
        <w:rPr>
          <w:rFonts w:ascii="宋体" w:hAnsi="宋体" w:cs="宋体"/>
          <w:sz w:val="22"/>
          <w:szCs w:val="22"/>
        </w:rPr>
      </w:pPr>
    </w:p>
    <w:p>
      <w:pPr>
        <w:pStyle w:val="47"/>
        <w:spacing w:line="360" w:lineRule="auto"/>
        <w:ind w:firstLine="3964" w:firstLineChars="1802"/>
        <w:rPr>
          <w:rFonts w:ascii="宋体" w:eastAsia="宋体"/>
          <w:sz w:val="22"/>
          <w:szCs w:val="22"/>
        </w:rPr>
      </w:pPr>
    </w:p>
    <w:p>
      <w:pPr>
        <w:pStyle w:val="47"/>
        <w:spacing w:line="360" w:lineRule="auto"/>
        <w:ind w:firstLine="3964" w:firstLineChars="1802"/>
        <w:rPr>
          <w:rFonts w:ascii="宋体" w:eastAsia="宋体"/>
          <w:sz w:val="22"/>
          <w:szCs w:val="22"/>
          <w:u w:val="single"/>
        </w:rPr>
      </w:pPr>
      <w:r>
        <w:rPr>
          <w:rFonts w:hint="eastAsia" w:ascii="宋体" w:eastAsia="宋体"/>
          <w:sz w:val="22"/>
          <w:szCs w:val="22"/>
        </w:rPr>
        <w:t xml:space="preserve">投标人名称（加盖公章）： </w:t>
      </w:r>
    </w:p>
    <w:p>
      <w:pPr>
        <w:pStyle w:val="47"/>
        <w:spacing w:line="360" w:lineRule="auto"/>
        <w:ind w:firstLine="3964" w:firstLineChars="1802"/>
        <w:rPr>
          <w:rFonts w:ascii="宋体" w:eastAsia="宋体"/>
          <w:sz w:val="22"/>
          <w:szCs w:val="22"/>
        </w:rPr>
      </w:pPr>
      <w:r>
        <w:rPr>
          <w:rFonts w:hint="eastAsia" w:ascii="宋体" w:eastAsia="宋体"/>
          <w:sz w:val="22"/>
          <w:szCs w:val="22"/>
        </w:rPr>
        <w:t>投标人法定代表人或被授权人（签名或盖私章）：</w:t>
      </w:r>
    </w:p>
    <w:p>
      <w:pPr>
        <w:pStyle w:val="47"/>
        <w:spacing w:line="360" w:lineRule="auto"/>
        <w:ind w:firstLine="3964" w:firstLineChars="1802"/>
        <w:rPr>
          <w:rFonts w:ascii="宋体" w:eastAsia="宋体"/>
          <w:sz w:val="22"/>
          <w:szCs w:val="22"/>
          <w:u w:val="single"/>
        </w:rPr>
      </w:pPr>
      <w:r>
        <w:rPr>
          <w:rFonts w:hint="eastAsia" w:ascii="宋体" w:eastAsia="宋体"/>
          <w:sz w:val="22"/>
          <w:szCs w:val="22"/>
        </w:rPr>
        <w:t>日期：</w:t>
      </w:r>
      <w:r>
        <w:rPr>
          <w:rFonts w:hint="eastAsia" w:ascii="宋体" w:eastAsia="宋体"/>
          <w:sz w:val="22"/>
          <w:szCs w:val="22"/>
          <w:u w:val="single"/>
        </w:rPr>
        <w:t xml:space="preserve">     年     月      日</w:t>
      </w:r>
    </w:p>
    <w:p>
      <w:pPr>
        <w:pStyle w:val="8"/>
        <w:spacing w:line="560" w:lineRule="exact"/>
        <w:ind w:firstLine="442"/>
        <w:rPr>
          <w:rFonts w:ascii="宋体" w:hAnsi="宋体" w:cs="宋体"/>
          <w:b/>
          <w:sz w:val="22"/>
          <w:szCs w:val="22"/>
        </w:rPr>
      </w:pPr>
      <w:r>
        <w:rPr>
          <w:rFonts w:hint="eastAsia" w:ascii="宋体" w:hAnsi="宋体" w:cs="宋体"/>
          <w:b/>
          <w:sz w:val="22"/>
          <w:szCs w:val="22"/>
        </w:rPr>
        <w:t>注：上述方案标题仅供参考，投标人可根据自身实际进行调整。投标人应尽可能提供详细说明，以便评委会对投标方案有详细了解。如因提供内容不详导致投标方案被否决，责任由投标人自负。</w:t>
      </w:r>
    </w:p>
    <w:p>
      <w:pPr>
        <w:rPr>
          <w:rFonts w:ascii="宋体" w:hAnsi="宋体" w:cs="宋体"/>
          <w:b/>
          <w:sz w:val="22"/>
          <w:szCs w:val="22"/>
        </w:rPr>
      </w:pPr>
      <w:bookmarkStart w:id="1301" w:name="_Toc454875066"/>
      <w:r>
        <w:rPr>
          <w:rFonts w:hint="eastAsia" w:ascii="宋体" w:hAnsi="宋体" w:cs="宋体"/>
          <w:b/>
          <w:sz w:val="22"/>
          <w:szCs w:val="22"/>
        </w:rPr>
        <w:br w:type="page"/>
      </w:r>
    </w:p>
    <w:p>
      <w:pPr>
        <w:pStyle w:val="5"/>
        <w:spacing w:line="360" w:lineRule="auto"/>
        <w:jc w:val="center"/>
        <w:rPr>
          <w:rFonts w:ascii="宋体" w:hAnsi="宋体" w:cs="宋体"/>
          <w:sz w:val="22"/>
          <w:szCs w:val="22"/>
        </w:rPr>
      </w:pPr>
      <w:bookmarkStart w:id="1302" w:name="_Toc24312"/>
      <w:bookmarkStart w:id="1303" w:name="_Toc24433"/>
      <w:bookmarkStart w:id="1304" w:name="_Toc11221"/>
      <w:bookmarkStart w:id="1305" w:name="_Toc1491"/>
      <w:bookmarkStart w:id="1306" w:name="_Toc18053"/>
      <w:r>
        <w:rPr>
          <w:rFonts w:hint="eastAsia" w:ascii="宋体" w:hAnsi="宋体" w:cs="宋体"/>
          <w:sz w:val="22"/>
          <w:szCs w:val="22"/>
        </w:rPr>
        <w:t>13</w:t>
      </w:r>
      <w:r>
        <w:rPr>
          <w:rFonts w:hint="eastAsia" w:ascii="宋体" w:hAnsi="宋体"/>
          <w:sz w:val="22"/>
          <w:szCs w:val="22"/>
        </w:rPr>
        <w:t>、</w:t>
      </w:r>
      <w:r>
        <w:rPr>
          <w:rFonts w:hint="eastAsia" w:ascii="宋体" w:hAnsi="宋体" w:cs="宋体"/>
          <w:sz w:val="22"/>
          <w:szCs w:val="22"/>
        </w:rPr>
        <w:t>用户需求偏离表</w:t>
      </w:r>
      <w:bookmarkEnd w:id="1302"/>
      <w:bookmarkEnd w:id="1303"/>
      <w:bookmarkEnd w:id="1304"/>
      <w:bookmarkEnd w:id="1305"/>
      <w:bookmarkEnd w:id="1306"/>
    </w:p>
    <w:p>
      <w:pPr>
        <w:adjustRightInd w:val="0"/>
        <w:spacing w:line="360" w:lineRule="auto"/>
        <w:rPr>
          <w:rFonts w:ascii="宋体" w:hAnsi="宋体" w:cs="宋体"/>
          <w:sz w:val="22"/>
          <w:szCs w:val="22"/>
        </w:rPr>
      </w:pPr>
      <w:r>
        <w:rPr>
          <w:rFonts w:hint="eastAsia" w:ascii="宋体" w:hAnsi="宋体" w:cs="宋体"/>
          <w:sz w:val="22"/>
          <w:szCs w:val="22"/>
        </w:rPr>
        <w:t>项目名称：</w:t>
      </w:r>
      <w:r>
        <w:rPr>
          <w:rFonts w:hint="eastAsia" w:ascii="宋体" w:hAnsi="宋体" w:cs="宋体"/>
          <w:sz w:val="22"/>
          <w:szCs w:val="22"/>
          <w:lang w:eastAsia="zh-CN"/>
        </w:rPr>
        <w:t>东莞市交通投资集团有限公司供应链服务平台项目</w:t>
      </w:r>
      <w:r>
        <w:rPr>
          <w:rFonts w:hint="eastAsia" w:ascii="宋体" w:hAnsi="宋体" w:cs="宋体"/>
          <w:sz w:val="22"/>
          <w:szCs w:val="22"/>
        </w:rPr>
        <w:t xml:space="preserve">  </w:t>
      </w:r>
    </w:p>
    <w:p>
      <w:pPr>
        <w:adjustRightInd w:val="0"/>
        <w:spacing w:line="360" w:lineRule="auto"/>
        <w:rPr>
          <w:rFonts w:ascii="宋体" w:hAnsi="宋体" w:cs="宋体"/>
          <w:sz w:val="22"/>
          <w:szCs w:val="22"/>
          <w:u w:val="single"/>
        </w:rPr>
      </w:pPr>
      <w:r>
        <w:rPr>
          <w:rFonts w:hint="eastAsia" w:ascii="宋体" w:hAnsi="宋体" w:cs="宋体"/>
          <w:sz w:val="22"/>
          <w:szCs w:val="22"/>
        </w:rPr>
        <w:t xml:space="preserve">项目编号：SL-CG2022028           </w:t>
      </w:r>
    </w:p>
    <w:tbl>
      <w:tblPr>
        <w:tblStyle w:val="34"/>
        <w:tblW w:w="92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115"/>
        <w:gridCol w:w="2126"/>
        <w:gridCol w:w="1462"/>
        <w:gridCol w:w="241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36" w:type="dxa"/>
            <w:vMerge w:val="restart"/>
            <w:vAlign w:val="center"/>
          </w:tcPr>
          <w:p>
            <w:pPr>
              <w:spacing w:line="360" w:lineRule="auto"/>
              <w:jc w:val="center"/>
              <w:rPr>
                <w:rFonts w:ascii="宋体" w:hAnsi="宋体" w:cs="宋体"/>
                <w:sz w:val="22"/>
                <w:szCs w:val="22"/>
              </w:rPr>
            </w:pPr>
            <w:r>
              <w:rPr>
                <w:rFonts w:hint="eastAsia" w:ascii="宋体" w:hAnsi="宋体" w:cs="宋体"/>
                <w:sz w:val="22"/>
                <w:szCs w:val="22"/>
              </w:rPr>
              <w:t>序号</w:t>
            </w:r>
          </w:p>
        </w:tc>
        <w:tc>
          <w:tcPr>
            <w:tcW w:w="3241" w:type="dxa"/>
            <w:gridSpan w:val="2"/>
            <w:vAlign w:val="center"/>
          </w:tcPr>
          <w:p>
            <w:pPr>
              <w:spacing w:line="360" w:lineRule="auto"/>
              <w:jc w:val="center"/>
              <w:rPr>
                <w:rFonts w:ascii="宋体" w:hAnsi="宋体" w:cs="宋体"/>
                <w:sz w:val="22"/>
                <w:szCs w:val="22"/>
              </w:rPr>
            </w:pPr>
            <w:r>
              <w:rPr>
                <w:rFonts w:hint="eastAsia" w:ascii="宋体" w:hAnsi="宋体" w:cs="宋体"/>
                <w:sz w:val="22"/>
                <w:szCs w:val="22"/>
              </w:rPr>
              <w:t>招标文件要求</w:t>
            </w:r>
          </w:p>
        </w:tc>
        <w:tc>
          <w:tcPr>
            <w:tcW w:w="5148" w:type="dxa"/>
            <w:gridSpan w:val="3"/>
            <w:vAlign w:val="center"/>
          </w:tcPr>
          <w:p>
            <w:pPr>
              <w:spacing w:line="360" w:lineRule="auto"/>
              <w:jc w:val="center"/>
              <w:rPr>
                <w:rFonts w:ascii="宋体" w:hAnsi="宋体" w:cs="宋体"/>
                <w:sz w:val="22"/>
                <w:szCs w:val="22"/>
              </w:rPr>
            </w:pPr>
            <w:r>
              <w:rPr>
                <w:rFonts w:hint="eastAsia" w:ascii="宋体" w:hAnsi="宋体" w:cs="宋体"/>
                <w:sz w:val="22"/>
                <w:szCs w:val="22"/>
              </w:rPr>
              <w:t>投标文件内容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36" w:type="dxa"/>
            <w:vMerge w:val="continue"/>
            <w:vAlign w:val="center"/>
          </w:tcPr>
          <w:p>
            <w:pPr>
              <w:spacing w:line="360" w:lineRule="auto"/>
              <w:jc w:val="center"/>
              <w:rPr>
                <w:rFonts w:ascii="宋体" w:hAnsi="宋体" w:cs="宋体"/>
                <w:sz w:val="22"/>
                <w:szCs w:val="22"/>
              </w:rPr>
            </w:pPr>
          </w:p>
        </w:tc>
        <w:tc>
          <w:tcPr>
            <w:tcW w:w="1115" w:type="dxa"/>
            <w:vAlign w:val="center"/>
          </w:tcPr>
          <w:p>
            <w:pPr>
              <w:spacing w:line="360" w:lineRule="auto"/>
              <w:jc w:val="center"/>
              <w:rPr>
                <w:rFonts w:ascii="宋体" w:hAnsi="宋体" w:cs="宋体"/>
                <w:sz w:val="22"/>
                <w:szCs w:val="22"/>
              </w:rPr>
            </w:pPr>
            <w:r>
              <w:rPr>
                <w:rFonts w:hint="eastAsia" w:ascii="宋体" w:hAnsi="宋体" w:cs="宋体"/>
                <w:sz w:val="22"/>
                <w:szCs w:val="22"/>
              </w:rPr>
              <w:t>条款号</w:t>
            </w:r>
          </w:p>
        </w:tc>
        <w:tc>
          <w:tcPr>
            <w:tcW w:w="2126" w:type="dxa"/>
            <w:vAlign w:val="center"/>
          </w:tcPr>
          <w:p>
            <w:pPr>
              <w:spacing w:line="360" w:lineRule="auto"/>
              <w:jc w:val="center"/>
              <w:rPr>
                <w:rFonts w:ascii="宋体" w:hAnsi="宋体" w:cs="宋体"/>
                <w:sz w:val="22"/>
                <w:szCs w:val="22"/>
              </w:rPr>
            </w:pPr>
            <w:r>
              <w:rPr>
                <w:rFonts w:hint="eastAsia" w:ascii="宋体" w:hAnsi="宋体" w:cs="宋体"/>
                <w:sz w:val="22"/>
                <w:szCs w:val="22"/>
              </w:rPr>
              <w:t>简要内容</w:t>
            </w:r>
          </w:p>
        </w:tc>
        <w:tc>
          <w:tcPr>
            <w:tcW w:w="1462" w:type="dxa"/>
            <w:vAlign w:val="center"/>
          </w:tcPr>
          <w:p>
            <w:pPr>
              <w:spacing w:line="360" w:lineRule="auto"/>
              <w:jc w:val="center"/>
              <w:rPr>
                <w:rFonts w:ascii="宋体" w:hAnsi="宋体" w:cs="宋体"/>
                <w:sz w:val="22"/>
                <w:szCs w:val="22"/>
              </w:rPr>
            </w:pPr>
            <w:r>
              <w:rPr>
                <w:rFonts w:hint="eastAsia" w:ascii="宋体" w:hAnsi="宋体" w:cs="宋体"/>
                <w:sz w:val="22"/>
                <w:szCs w:val="22"/>
              </w:rPr>
              <w:t>偏离情况</w:t>
            </w:r>
          </w:p>
        </w:tc>
        <w:tc>
          <w:tcPr>
            <w:tcW w:w="2410" w:type="dxa"/>
            <w:vAlign w:val="center"/>
          </w:tcPr>
          <w:p>
            <w:pPr>
              <w:spacing w:line="360" w:lineRule="auto"/>
              <w:jc w:val="center"/>
              <w:rPr>
                <w:rFonts w:ascii="宋体" w:hAnsi="宋体" w:cs="宋体"/>
                <w:sz w:val="22"/>
                <w:szCs w:val="22"/>
              </w:rPr>
            </w:pPr>
            <w:r>
              <w:rPr>
                <w:rFonts w:hint="eastAsia" w:ascii="宋体" w:hAnsi="宋体" w:cs="宋体"/>
                <w:sz w:val="22"/>
                <w:szCs w:val="22"/>
              </w:rPr>
              <w:t>具体偏离内容</w:t>
            </w:r>
          </w:p>
        </w:tc>
        <w:tc>
          <w:tcPr>
            <w:tcW w:w="1276" w:type="dxa"/>
          </w:tcPr>
          <w:p>
            <w:pPr>
              <w:spacing w:line="360" w:lineRule="auto"/>
              <w:jc w:val="center"/>
              <w:rPr>
                <w:rFonts w:ascii="宋体" w:hAnsi="宋体" w:cs="宋体"/>
                <w:sz w:val="22"/>
                <w:szCs w:val="22"/>
              </w:rPr>
            </w:pPr>
            <w:r>
              <w:rPr>
                <w:rFonts w:hint="eastAsia" w:ascii="宋体" w:hAnsi="宋体" w:cs="宋体"/>
                <w:sz w:val="22"/>
                <w:szCs w:val="22"/>
              </w:rPr>
              <w:t>对应证明材料页码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trPr>
        <w:tc>
          <w:tcPr>
            <w:tcW w:w="836" w:type="dxa"/>
            <w:vAlign w:val="center"/>
          </w:tcPr>
          <w:p>
            <w:pPr>
              <w:spacing w:line="360" w:lineRule="auto"/>
              <w:jc w:val="center"/>
              <w:rPr>
                <w:rFonts w:ascii="宋体" w:hAnsi="宋体" w:cs="宋体"/>
                <w:sz w:val="22"/>
                <w:szCs w:val="22"/>
              </w:rPr>
            </w:pPr>
          </w:p>
        </w:tc>
        <w:tc>
          <w:tcPr>
            <w:tcW w:w="1115" w:type="dxa"/>
            <w:vAlign w:val="center"/>
          </w:tcPr>
          <w:p>
            <w:pPr>
              <w:spacing w:line="360" w:lineRule="auto"/>
              <w:jc w:val="center"/>
              <w:rPr>
                <w:rFonts w:ascii="宋体" w:hAnsi="宋体" w:cs="宋体"/>
                <w:sz w:val="22"/>
                <w:szCs w:val="22"/>
              </w:rPr>
            </w:pPr>
          </w:p>
        </w:tc>
        <w:tc>
          <w:tcPr>
            <w:tcW w:w="2126" w:type="dxa"/>
            <w:vAlign w:val="center"/>
          </w:tcPr>
          <w:p>
            <w:pPr>
              <w:spacing w:line="360" w:lineRule="auto"/>
              <w:jc w:val="center"/>
              <w:rPr>
                <w:rFonts w:ascii="宋体" w:hAnsi="宋体" w:cs="宋体"/>
                <w:sz w:val="22"/>
                <w:szCs w:val="22"/>
              </w:rPr>
            </w:pPr>
          </w:p>
        </w:tc>
        <w:tc>
          <w:tcPr>
            <w:tcW w:w="1462" w:type="dxa"/>
            <w:vAlign w:val="center"/>
          </w:tcPr>
          <w:p>
            <w:pPr>
              <w:spacing w:line="360" w:lineRule="auto"/>
              <w:jc w:val="center"/>
              <w:rPr>
                <w:rFonts w:ascii="宋体" w:hAnsi="宋体" w:cs="宋体"/>
                <w:sz w:val="22"/>
                <w:szCs w:val="22"/>
              </w:rPr>
            </w:pPr>
          </w:p>
        </w:tc>
        <w:tc>
          <w:tcPr>
            <w:tcW w:w="2410" w:type="dxa"/>
            <w:vAlign w:val="center"/>
          </w:tcPr>
          <w:p>
            <w:pPr>
              <w:spacing w:line="360" w:lineRule="auto"/>
              <w:jc w:val="center"/>
              <w:rPr>
                <w:rFonts w:ascii="宋体" w:hAnsi="宋体" w:cs="宋体"/>
                <w:sz w:val="22"/>
                <w:szCs w:val="22"/>
              </w:rPr>
            </w:pPr>
          </w:p>
        </w:tc>
        <w:tc>
          <w:tcPr>
            <w:tcW w:w="1276" w:type="dxa"/>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36" w:type="dxa"/>
            <w:vAlign w:val="center"/>
          </w:tcPr>
          <w:p>
            <w:pPr>
              <w:spacing w:line="360" w:lineRule="auto"/>
              <w:jc w:val="center"/>
              <w:rPr>
                <w:rFonts w:ascii="宋体" w:hAnsi="宋体" w:cs="宋体"/>
                <w:sz w:val="22"/>
                <w:szCs w:val="22"/>
              </w:rPr>
            </w:pPr>
          </w:p>
        </w:tc>
        <w:tc>
          <w:tcPr>
            <w:tcW w:w="1115" w:type="dxa"/>
            <w:vAlign w:val="center"/>
          </w:tcPr>
          <w:p>
            <w:pPr>
              <w:spacing w:line="360" w:lineRule="auto"/>
              <w:jc w:val="center"/>
              <w:rPr>
                <w:rFonts w:ascii="宋体" w:hAnsi="宋体" w:cs="宋体"/>
                <w:sz w:val="22"/>
                <w:szCs w:val="22"/>
              </w:rPr>
            </w:pPr>
          </w:p>
        </w:tc>
        <w:tc>
          <w:tcPr>
            <w:tcW w:w="2126" w:type="dxa"/>
            <w:vAlign w:val="center"/>
          </w:tcPr>
          <w:p>
            <w:pPr>
              <w:spacing w:line="360" w:lineRule="auto"/>
              <w:jc w:val="center"/>
              <w:rPr>
                <w:rFonts w:ascii="宋体" w:hAnsi="宋体" w:cs="宋体"/>
                <w:sz w:val="22"/>
                <w:szCs w:val="22"/>
              </w:rPr>
            </w:pPr>
          </w:p>
        </w:tc>
        <w:tc>
          <w:tcPr>
            <w:tcW w:w="1462" w:type="dxa"/>
            <w:vAlign w:val="center"/>
          </w:tcPr>
          <w:p>
            <w:pPr>
              <w:spacing w:line="360" w:lineRule="auto"/>
              <w:jc w:val="center"/>
              <w:rPr>
                <w:rFonts w:ascii="宋体" w:hAnsi="宋体" w:cs="宋体"/>
                <w:sz w:val="22"/>
                <w:szCs w:val="22"/>
              </w:rPr>
            </w:pPr>
          </w:p>
        </w:tc>
        <w:tc>
          <w:tcPr>
            <w:tcW w:w="2410" w:type="dxa"/>
            <w:vAlign w:val="center"/>
          </w:tcPr>
          <w:p>
            <w:pPr>
              <w:spacing w:line="360" w:lineRule="auto"/>
              <w:jc w:val="center"/>
              <w:rPr>
                <w:rFonts w:ascii="宋体" w:hAnsi="宋体" w:cs="宋体"/>
                <w:sz w:val="22"/>
                <w:szCs w:val="22"/>
              </w:rPr>
            </w:pPr>
          </w:p>
        </w:tc>
        <w:tc>
          <w:tcPr>
            <w:tcW w:w="1276" w:type="dxa"/>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36" w:type="dxa"/>
            <w:vAlign w:val="center"/>
          </w:tcPr>
          <w:p>
            <w:pPr>
              <w:spacing w:line="360" w:lineRule="auto"/>
              <w:jc w:val="center"/>
              <w:rPr>
                <w:rFonts w:ascii="宋体" w:hAnsi="宋体" w:cs="宋体"/>
                <w:sz w:val="22"/>
                <w:szCs w:val="22"/>
              </w:rPr>
            </w:pPr>
          </w:p>
        </w:tc>
        <w:tc>
          <w:tcPr>
            <w:tcW w:w="1115" w:type="dxa"/>
            <w:vAlign w:val="center"/>
          </w:tcPr>
          <w:p>
            <w:pPr>
              <w:spacing w:line="360" w:lineRule="auto"/>
              <w:jc w:val="center"/>
              <w:rPr>
                <w:rFonts w:ascii="宋体" w:hAnsi="宋体" w:cs="宋体"/>
                <w:sz w:val="22"/>
                <w:szCs w:val="22"/>
              </w:rPr>
            </w:pPr>
          </w:p>
        </w:tc>
        <w:tc>
          <w:tcPr>
            <w:tcW w:w="2126" w:type="dxa"/>
            <w:vAlign w:val="center"/>
          </w:tcPr>
          <w:p>
            <w:pPr>
              <w:spacing w:line="360" w:lineRule="auto"/>
              <w:jc w:val="center"/>
              <w:rPr>
                <w:rFonts w:ascii="宋体" w:hAnsi="宋体" w:cs="宋体"/>
                <w:sz w:val="22"/>
                <w:szCs w:val="22"/>
              </w:rPr>
            </w:pPr>
          </w:p>
        </w:tc>
        <w:tc>
          <w:tcPr>
            <w:tcW w:w="1462" w:type="dxa"/>
            <w:vAlign w:val="center"/>
          </w:tcPr>
          <w:p>
            <w:pPr>
              <w:spacing w:line="360" w:lineRule="auto"/>
              <w:jc w:val="center"/>
              <w:rPr>
                <w:rFonts w:ascii="宋体" w:hAnsi="宋体" w:cs="宋体"/>
                <w:sz w:val="22"/>
                <w:szCs w:val="22"/>
              </w:rPr>
            </w:pPr>
          </w:p>
        </w:tc>
        <w:tc>
          <w:tcPr>
            <w:tcW w:w="2410" w:type="dxa"/>
            <w:vAlign w:val="center"/>
          </w:tcPr>
          <w:p>
            <w:pPr>
              <w:spacing w:line="360" w:lineRule="auto"/>
              <w:jc w:val="center"/>
              <w:rPr>
                <w:rFonts w:ascii="宋体" w:hAnsi="宋体" w:cs="宋体"/>
                <w:sz w:val="22"/>
                <w:szCs w:val="22"/>
              </w:rPr>
            </w:pPr>
          </w:p>
        </w:tc>
        <w:tc>
          <w:tcPr>
            <w:tcW w:w="1276" w:type="dxa"/>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36" w:type="dxa"/>
            <w:vAlign w:val="center"/>
          </w:tcPr>
          <w:p>
            <w:pPr>
              <w:spacing w:line="360" w:lineRule="auto"/>
              <w:jc w:val="center"/>
              <w:rPr>
                <w:rFonts w:ascii="宋体" w:hAnsi="宋体" w:cs="宋体"/>
                <w:sz w:val="22"/>
                <w:szCs w:val="22"/>
              </w:rPr>
            </w:pPr>
          </w:p>
        </w:tc>
        <w:tc>
          <w:tcPr>
            <w:tcW w:w="1115" w:type="dxa"/>
            <w:vAlign w:val="center"/>
          </w:tcPr>
          <w:p>
            <w:pPr>
              <w:spacing w:line="360" w:lineRule="auto"/>
              <w:jc w:val="center"/>
              <w:rPr>
                <w:rFonts w:ascii="宋体" w:hAnsi="宋体" w:cs="宋体"/>
                <w:sz w:val="22"/>
                <w:szCs w:val="22"/>
              </w:rPr>
            </w:pPr>
          </w:p>
        </w:tc>
        <w:tc>
          <w:tcPr>
            <w:tcW w:w="2126" w:type="dxa"/>
            <w:vAlign w:val="center"/>
          </w:tcPr>
          <w:p>
            <w:pPr>
              <w:spacing w:line="360" w:lineRule="auto"/>
              <w:jc w:val="center"/>
              <w:rPr>
                <w:rFonts w:ascii="宋体" w:hAnsi="宋体" w:cs="宋体"/>
                <w:sz w:val="22"/>
                <w:szCs w:val="22"/>
              </w:rPr>
            </w:pPr>
          </w:p>
        </w:tc>
        <w:tc>
          <w:tcPr>
            <w:tcW w:w="1462" w:type="dxa"/>
            <w:vAlign w:val="center"/>
          </w:tcPr>
          <w:p>
            <w:pPr>
              <w:spacing w:line="360" w:lineRule="auto"/>
              <w:jc w:val="center"/>
              <w:rPr>
                <w:rFonts w:ascii="宋体" w:hAnsi="宋体" w:cs="宋体"/>
                <w:sz w:val="22"/>
                <w:szCs w:val="22"/>
              </w:rPr>
            </w:pPr>
          </w:p>
        </w:tc>
        <w:tc>
          <w:tcPr>
            <w:tcW w:w="2410" w:type="dxa"/>
            <w:vAlign w:val="center"/>
          </w:tcPr>
          <w:p>
            <w:pPr>
              <w:spacing w:line="360" w:lineRule="auto"/>
              <w:jc w:val="center"/>
              <w:rPr>
                <w:rFonts w:ascii="宋体" w:hAnsi="宋体" w:cs="宋体"/>
                <w:sz w:val="22"/>
                <w:szCs w:val="22"/>
              </w:rPr>
            </w:pPr>
          </w:p>
        </w:tc>
        <w:tc>
          <w:tcPr>
            <w:tcW w:w="1276" w:type="dxa"/>
            <w:vAlign w:val="center"/>
          </w:tcPr>
          <w:p>
            <w:pPr>
              <w:spacing w:line="360" w:lineRule="auto"/>
              <w:jc w:val="center"/>
              <w:rPr>
                <w:rFonts w:ascii="宋体" w:hAnsi="宋体" w:cs="宋体"/>
                <w:sz w:val="22"/>
                <w:szCs w:val="22"/>
              </w:rPr>
            </w:pPr>
          </w:p>
        </w:tc>
      </w:tr>
    </w:tbl>
    <w:p>
      <w:pPr>
        <w:spacing w:line="360" w:lineRule="auto"/>
        <w:ind w:left="1047" w:leftChars="132" w:hanging="770" w:hangingChars="350"/>
        <w:rPr>
          <w:rFonts w:ascii="宋体" w:hAnsi="宋体" w:cs="宋体"/>
          <w:sz w:val="22"/>
          <w:szCs w:val="22"/>
        </w:rPr>
      </w:pPr>
      <w:r>
        <w:rPr>
          <w:rFonts w:hint="eastAsia" w:ascii="宋体" w:hAnsi="宋体" w:cs="宋体"/>
          <w:sz w:val="22"/>
          <w:szCs w:val="22"/>
        </w:rPr>
        <w:t>备注：</w:t>
      </w:r>
    </w:p>
    <w:p>
      <w:pPr>
        <w:spacing w:line="360" w:lineRule="auto"/>
        <w:ind w:left="718" w:leftChars="59" w:hanging="594" w:hangingChars="270"/>
        <w:rPr>
          <w:rFonts w:ascii="宋体" w:hAnsi="宋体" w:cs="宋体"/>
          <w:sz w:val="22"/>
          <w:szCs w:val="22"/>
        </w:rPr>
      </w:pPr>
      <w:r>
        <w:rPr>
          <w:rFonts w:hint="eastAsia" w:ascii="宋体" w:hAnsi="宋体" w:cs="宋体"/>
          <w:sz w:val="22"/>
          <w:szCs w:val="22"/>
        </w:rPr>
        <w:t>（1）</w:t>
      </w:r>
      <w:r>
        <w:rPr>
          <w:rFonts w:hint="eastAsia" w:ascii="宋体" w:hAnsi="宋体" w:cs="宋体"/>
          <w:b/>
          <w:sz w:val="22"/>
          <w:szCs w:val="22"/>
          <w:u w:val="single"/>
        </w:rPr>
        <w:t>投标人应对照招标文件用户需求书（其中“一、项目概况”除外）的响应，逐条逐项、如实地填写“偏离情况”，若发现未填写本表，或虚假填写本表，或伪造、变造证明材料的，按无效投标文件处理</w:t>
      </w:r>
      <w:r>
        <w:rPr>
          <w:rFonts w:hint="eastAsia" w:ascii="宋体" w:hAnsi="宋体" w:cs="宋体"/>
          <w:sz w:val="22"/>
          <w:szCs w:val="22"/>
        </w:rPr>
        <w:t>。</w:t>
      </w:r>
    </w:p>
    <w:p>
      <w:pPr>
        <w:spacing w:line="360" w:lineRule="auto"/>
        <w:ind w:left="718" w:leftChars="59" w:hanging="594" w:hangingChars="270"/>
        <w:rPr>
          <w:rFonts w:ascii="宋体" w:hAnsi="宋体" w:cs="宋体"/>
          <w:sz w:val="22"/>
          <w:szCs w:val="22"/>
        </w:rPr>
      </w:pPr>
      <w:r>
        <w:rPr>
          <w:rFonts w:hint="eastAsia" w:ascii="宋体" w:hAnsi="宋体" w:cs="宋体"/>
          <w:sz w:val="22"/>
          <w:szCs w:val="22"/>
        </w:rPr>
        <w:t>（2）偏离情况分为：正偏离、负偏离、无偏离。正偏离是指投标人提供的服务优于招标文件的要求；负偏离是指投标人提供的服务不满足或不完全满足招标文件的要求；无偏离是指投标人提供的服务完全满足招标文件的要求。</w:t>
      </w:r>
    </w:p>
    <w:p>
      <w:pPr>
        <w:spacing w:line="360" w:lineRule="auto"/>
        <w:ind w:left="718" w:leftChars="59" w:hanging="594" w:hangingChars="270"/>
        <w:rPr>
          <w:rFonts w:ascii="宋体" w:hAnsi="宋体" w:cs="宋体"/>
          <w:b/>
          <w:sz w:val="22"/>
          <w:szCs w:val="22"/>
          <w:u w:val="single"/>
        </w:rPr>
      </w:pPr>
      <w:r>
        <w:rPr>
          <w:rFonts w:hint="eastAsia" w:ascii="宋体" w:hAnsi="宋体" w:cs="宋体"/>
          <w:sz w:val="22"/>
          <w:szCs w:val="22"/>
        </w:rPr>
        <w:t>（3）</w:t>
      </w:r>
      <w:r>
        <w:rPr>
          <w:rFonts w:hint="eastAsia" w:ascii="宋体" w:hAnsi="宋体" w:cs="宋体"/>
          <w:b/>
          <w:sz w:val="22"/>
          <w:szCs w:val="22"/>
          <w:u w:val="single"/>
        </w:rPr>
        <w:t>“偏离情况”项为正偏离（或负偏离）的，必须在“具体偏离内容”项内详细说明与招标文件的偏离内容，“偏离情况”项为无偏离的，在“具体偏离内容”项内填“无”或不填写。如投标人差异内容较多可另附页说明，并在本偏离表注明其在投标文件中的具体页码。</w:t>
      </w:r>
    </w:p>
    <w:p>
      <w:pPr>
        <w:pStyle w:val="47"/>
        <w:spacing w:line="360" w:lineRule="auto"/>
        <w:ind w:left="3969" w:leftChars="1890" w:firstLine="891" w:firstLineChars="405"/>
        <w:rPr>
          <w:rFonts w:ascii="宋体" w:eastAsia="宋体" w:cs="宋体"/>
          <w:sz w:val="22"/>
          <w:szCs w:val="22"/>
          <w:u w:val="single"/>
        </w:rPr>
      </w:pPr>
      <w:r>
        <w:rPr>
          <w:rFonts w:hint="eastAsia" w:ascii="宋体" w:eastAsia="宋体" w:cs="宋体"/>
          <w:sz w:val="22"/>
          <w:szCs w:val="22"/>
        </w:rPr>
        <w:t xml:space="preserve">投标人名称（加盖公章）： </w:t>
      </w:r>
      <w:r>
        <w:rPr>
          <w:rFonts w:hint="eastAsia" w:ascii="宋体" w:eastAsia="宋体" w:cs="宋体"/>
          <w:sz w:val="22"/>
          <w:szCs w:val="22"/>
          <w:u w:val="single"/>
        </w:rPr>
        <w:t xml:space="preserve">                </w:t>
      </w:r>
    </w:p>
    <w:p>
      <w:pPr>
        <w:pStyle w:val="47"/>
        <w:spacing w:line="360" w:lineRule="auto"/>
        <w:ind w:left="3969" w:leftChars="1890" w:firstLine="891" w:firstLineChars="405"/>
        <w:rPr>
          <w:rFonts w:ascii="宋体" w:eastAsia="宋体" w:cs="宋体"/>
          <w:sz w:val="22"/>
          <w:szCs w:val="22"/>
          <w:u w:val="single"/>
        </w:rPr>
      </w:pPr>
      <w:r>
        <w:rPr>
          <w:rFonts w:hint="eastAsia" w:ascii="宋体" w:eastAsia="宋体" w:cs="宋体"/>
          <w:sz w:val="22"/>
          <w:szCs w:val="22"/>
        </w:rPr>
        <w:t>日  期：</w:t>
      </w:r>
      <w:r>
        <w:rPr>
          <w:rFonts w:hint="eastAsia" w:ascii="宋体" w:eastAsia="宋体" w:cs="宋体"/>
          <w:sz w:val="22"/>
          <w:szCs w:val="22"/>
          <w:u w:val="single"/>
        </w:rPr>
        <w:t xml:space="preserve">        年         月       日</w:t>
      </w:r>
    </w:p>
    <w:p>
      <w:pPr>
        <w:widowControl/>
        <w:ind w:firstLine="5280" w:firstLineChars="2400"/>
        <w:jc w:val="left"/>
        <w:rPr>
          <w:rFonts w:ascii="宋体" w:hAnsi="宋体" w:cs="宋体"/>
          <w:bCs/>
          <w:sz w:val="22"/>
          <w:szCs w:val="22"/>
        </w:rPr>
      </w:pPr>
      <w:r>
        <w:rPr>
          <w:rFonts w:hint="eastAsia" w:asciiTheme="minorEastAsia" w:hAnsiTheme="minorEastAsia" w:eastAsiaTheme="minorEastAsia" w:cstheme="minorEastAsia"/>
          <w:sz w:val="22"/>
          <w:szCs w:val="22"/>
        </w:rPr>
        <w:br w:type="page"/>
      </w:r>
    </w:p>
    <w:p>
      <w:pPr>
        <w:pStyle w:val="5"/>
        <w:spacing w:line="360" w:lineRule="auto"/>
        <w:jc w:val="center"/>
        <w:rPr>
          <w:rFonts w:ascii="宋体" w:hAnsi="宋体" w:cs="宋体"/>
          <w:sz w:val="22"/>
          <w:szCs w:val="22"/>
        </w:rPr>
      </w:pPr>
      <w:bookmarkStart w:id="1307" w:name="_Toc21631"/>
      <w:bookmarkStart w:id="1308" w:name="_Toc817"/>
      <w:bookmarkStart w:id="1309" w:name="_Toc6768"/>
      <w:bookmarkStart w:id="1310" w:name="_Toc15672"/>
      <w:bookmarkStart w:id="1311" w:name="_Toc28184"/>
      <w:r>
        <w:rPr>
          <w:rFonts w:hint="eastAsia" w:ascii="宋体" w:hAnsi="宋体" w:cs="宋体"/>
          <w:sz w:val="22"/>
          <w:szCs w:val="22"/>
        </w:rPr>
        <w:t>14</w:t>
      </w:r>
      <w:r>
        <w:rPr>
          <w:rFonts w:hint="eastAsia" w:ascii="宋体" w:hAnsi="宋体"/>
          <w:sz w:val="22"/>
          <w:szCs w:val="22"/>
        </w:rPr>
        <w:t>、</w:t>
      </w:r>
      <w:r>
        <w:rPr>
          <w:rFonts w:hint="eastAsia" w:ascii="宋体" w:hAnsi="宋体" w:cs="宋体"/>
          <w:b w:val="0"/>
          <w:bCs w:val="0"/>
          <w:sz w:val="22"/>
          <w:szCs w:val="22"/>
        </w:rPr>
        <w:t>★</w:t>
      </w:r>
      <w:r>
        <w:rPr>
          <w:rFonts w:hint="eastAsia" w:ascii="宋体" w:hAnsi="宋体" w:cs="宋体"/>
          <w:sz w:val="22"/>
          <w:szCs w:val="22"/>
        </w:rPr>
        <w:t>号条款响应表</w:t>
      </w:r>
      <w:bookmarkEnd w:id="1307"/>
      <w:bookmarkEnd w:id="1308"/>
      <w:bookmarkEnd w:id="1309"/>
      <w:bookmarkEnd w:id="1310"/>
      <w:bookmarkEnd w:id="1311"/>
    </w:p>
    <w:p>
      <w:pPr>
        <w:adjustRightInd w:val="0"/>
        <w:spacing w:line="360" w:lineRule="auto"/>
        <w:rPr>
          <w:rFonts w:ascii="宋体" w:hAnsi="宋体" w:cs="宋体"/>
          <w:sz w:val="22"/>
          <w:szCs w:val="22"/>
        </w:rPr>
      </w:pPr>
      <w:r>
        <w:rPr>
          <w:rFonts w:hint="eastAsia" w:ascii="宋体" w:hAnsi="宋体" w:cs="宋体"/>
          <w:sz w:val="22"/>
          <w:szCs w:val="22"/>
        </w:rPr>
        <w:t>项目名称：</w:t>
      </w:r>
      <w:r>
        <w:rPr>
          <w:rFonts w:hint="eastAsia" w:ascii="宋体" w:hAnsi="宋体" w:cs="宋体"/>
          <w:sz w:val="22"/>
          <w:szCs w:val="22"/>
          <w:lang w:eastAsia="zh-CN"/>
        </w:rPr>
        <w:t>东莞市交通投资集团有限公司供应链服务平台项目</w:t>
      </w:r>
      <w:r>
        <w:rPr>
          <w:rFonts w:hint="eastAsia" w:ascii="宋体" w:hAnsi="宋体" w:cs="宋体"/>
          <w:sz w:val="22"/>
          <w:szCs w:val="22"/>
        </w:rPr>
        <w:t xml:space="preserve">  </w:t>
      </w:r>
    </w:p>
    <w:p>
      <w:pPr>
        <w:adjustRightInd w:val="0"/>
        <w:spacing w:line="360" w:lineRule="auto"/>
        <w:rPr>
          <w:rFonts w:ascii="宋体" w:hAnsi="宋体" w:cs="宋体"/>
          <w:sz w:val="22"/>
          <w:szCs w:val="22"/>
        </w:rPr>
      </w:pPr>
      <w:r>
        <w:rPr>
          <w:rFonts w:hint="eastAsia" w:ascii="宋体" w:hAnsi="宋体" w:cs="宋体"/>
          <w:sz w:val="22"/>
          <w:szCs w:val="22"/>
        </w:rPr>
        <w:t xml:space="preserve">项目编号：SL-CG2022028        </w:t>
      </w:r>
    </w:p>
    <w:tbl>
      <w:tblPr>
        <w:tblStyle w:val="3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1759"/>
        <w:gridCol w:w="4513"/>
        <w:gridCol w:w="1285"/>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485" w:type="pct"/>
            <w:vMerge w:val="restart"/>
            <w:vAlign w:val="center"/>
          </w:tcPr>
          <w:p>
            <w:pPr>
              <w:spacing w:line="360" w:lineRule="auto"/>
              <w:jc w:val="center"/>
              <w:rPr>
                <w:rFonts w:ascii="宋体" w:hAnsi="宋体" w:cs="宋体"/>
                <w:sz w:val="22"/>
                <w:szCs w:val="22"/>
              </w:rPr>
            </w:pPr>
            <w:r>
              <w:rPr>
                <w:rFonts w:hint="eastAsia" w:ascii="宋体" w:hAnsi="宋体" w:cs="宋体"/>
                <w:sz w:val="22"/>
                <w:szCs w:val="22"/>
              </w:rPr>
              <w:t>序号</w:t>
            </w:r>
          </w:p>
        </w:tc>
        <w:tc>
          <w:tcPr>
            <w:tcW w:w="3128" w:type="pct"/>
            <w:gridSpan w:val="2"/>
            <w:vAlign w:val="center"/>
          </w:tcPr>
          <w:p>
            <w:pPr>
              <w:spacing w:line="360" w:lineRule="auto"/>
              <w:jc w:val="center"/>
              <w:rPr>
                <w:rFonts w:ascii="宋体" w:hAnsi="宋体" w:cs="宋体"/>
                <w:sz w:val="22"/>
                <w:szCs w:val="22"/>
              </w:rPr>
            </w:pPr>
            <w:r>
              <w:rPr>
                <w:rFonts w:hint="eastAsia" w:ascii="宋体" w:hAnsi="宋体" w:cs="宋体"/>
                <w:sz w:val="22"/>
                <w:szCs w:val="22"/>
              </w:rPr>
              <w:t>招标文件要求</w:t>
            </w:r>
          </w:p>
        </w:tc>
        <w:tc>
          <w:tcPr>
            <w:tcW w:w="641" w:type="pct"/>
            <w:vMerge w:val="restart"/>
            <w:vAlign w:val="center"/>
          </w:tcPr>
          <w:p>
            <w:pPr>
              <w:spacing w:line="360" w:lineRule="auto"/>
              <w:jc w:val="center"/>
              <w:rPr>
                <w:rFonts w:ascii="宋体" w:hAnsi="宋体" w:cs="宋体"/>
                <w:sz w:val="22"/>
                <w:szCs w:val="22"/>
              </w:rPr>
            </w:pPr>
            <w:r>
              <w:rPr>
                <w:rFonts w:hint="eastAsia" w:ascii="宋体" w:hAnsi="宋体" w:cs="宋体"/>
                <w:sz w:val="22"/>
                <w:szCs w:val="22"/>
              </w:rPr>
              <w:t>投标文件对应内容</w:t>
            </w:r>
          </w:p>
        </w:tc>
        <w:tc>
          <w:tcPr>
            <w:tcW w:w="355" w:type="pct"/>
            <w:vMerge w:val="restart"/>
            <w:vAlign w:val="center"/>
          </w:tcPr>
          <w:p>
            <w:pPr>
              <w:spacing w:line="360" w:lineRule="auto"/>
              <w:jc w:val="center"/>
              <w:rPr>
                <w:rFonts w:ascii="宋体" w:hAnsi="宋体" w:cs="宋体"/>
                <w:sz w:val="22"/>
                <w:szCs w:val="22"/>
              </w:rPr>
            </w:pPr>
            <w:r>
              <w:rPr>
                <w:rFonts w:hint="eastAsia" w:ascii="宋体" w:hAnsi="宋体" w:cs="宋体"/>
                <w:sz w:val="22"/>
                <w:szCs w:val="22"/>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485" w:type="pct"/>
            <w:vMerge w:val="continue"/>
            <w:vAlign w:val="center"/>
          </w:tcPr>
          <w:p>
            <w:pPr>
              <w:spacing w:line="360" w:lineRule="auto"/>
              <w:jc w:val="center"/>
              <w:rPr>
                <w:rFonts w:ascii="宋体" w:hAnsi="宋体" w:cs="宋体"/>
                <w:sz w:val="22"/>
                <w:szCs w:val="22"/>
              </w:rPr>
            </w:pPr>
          </w:p>
        </w:tc>
        <w:tc>
          <w:tcPr>
            <w:tcW w:w="877" w:type="pct"/>
            <w:vAlign w:val="center"/>
          </w:tcPr>
          <w:p>
            <w:pPr>
              <w:spacing w:line="360" w:lineRule="auto"/>
              <w:jc w:val="center"/>
              <w:rPr>
                <w:rFonts w:ascii="宋体" w:hAnsi="宋体" w:cs="宋体"/>
                <w:sz w:val="22"/>
                <w:szCs w:val="22"/>
              </w:rPr>
            </w:pPr>
            <w:r>
              <w:rPr>
                <w:rFonts w:hint="eastAsia" w:ascii="宋体" w:hAnsi="宋体" w:cs="宋体"/>
                <w:sz w:val="22"/>
                <w:szCs w:val="22"/>
              </w:rPr>
              <w:t>条款号</w:t>
            </w:r>
          </w:p>
        </w:tc>
        <w:tc>
          <w:tcPr>
            <w:tcW w:w="2251" w:type="pct"/>
            <w:vAlign w:val="center"/>
          </w:tcPr>
          <w:p>
            <w:pPr>
              <w:spacing w:line="360" w:lineRule="auto"/>
              <w:jc w:val="center"/>
              <w:rPr>
                <w:rFonts w:ascii="宋体" w:hAnsi="宋体" w:cs="宋体"/>
                <w:sz w:val="22"/>
                <w:szCs w:val="22"/>
              </w:rPr>
            </w:pPr>
            <w:r>
              <w:rPr>
                <w:rFonts w:hint="eastAsia" w:ascii="宋体" w:hAnsi="宋体" w:cs="宋体"/>
                <w:sz w:val="22"/>
                <w:szCs w:val="22"/>
              </w:rPr>
              <w:t>招标文件要求</w:t>
            </w:r>
          </w:p>
        </w:tc>
        <w:tc>
          <w:tcPr>
            <w:tcW w:w="641" w:type="pct"/>
            <w:vMerge w:val="continue"/>
            <w:vAlign w:val="center"/>
          </w:tcPr>
          <w:p>
            <w:pPr>
              <w:spacing w:line="360" w:lineRule="auto"/>
              <w:jc w:val="center"/>
              <w:rPr>
                <w:rFonts w:ascii="宋体" w:hAnsi="宋体" w:cs="宋体"/>
                <w:sz w:val="22"/>
                <w:szCs w:val="22"/>
              </w:rPr>
            </w:pPr>
          </w:p>
        </w:tc>
        <w:tc>
          <w:tcPr>
            <w:tcW w:w="355" w:type="pct"/>
            <w:vMerge w:val="continue"/>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trPr>
        <w:tc>
          <w:tcPr>
            <w:tcW w:w="485" w:type="pct"/>
            <w:vAlign w:val="center"/>
          </w:tcPr>
          <w:p>
            <w:pPr>
              <w:spacing w:line="360" w:lineRule="auto"/>
              <w:jc w:val="center"/>
              <w:rPr>
                <w:rFonts w:ascii="宋体" w:hAnsi="宋体" w:cs="宋体"/>
                <w:sz w:val="22"/>
                <w:szCs w:val="22"/>
              </w:rPr>
            </w:pPr>
            <w:r>
              <w:rPr>
                <w:rFonts w:hint="eastAsia" w:ascii="宋体" w:hAnsi="宋体" w:cs="宋体"/>
                <w:sz w:val="22"/>
                <w:szCs w:val="22"/>
              </w:rPr>
              <w:t>1</w:t>
            </w:r>
          </w:p>
        </w:tc>
        <w:tc>
          <w:tcPr>
            <w:tcW w:w="877" w:type="pct"/>
            <w:vAlign w:val="center"/>
          </w:tcPr>
          <w:p>
            <w:pPr>
              <w:pStyle w:val="4"/>
              <w:numPr>
                <w:ilvl w:val="1"/>
                <w:numId w:val="107"/>
              </w:numPr>
              <w:tabs>
                <w:tab w:val="clear" w:pos="0"/>
              </w:tabs>
              <w:snapToGrid w:val="0"/>
              <w:spacing w:line="360" w:lineRule="auto"/>
              <w:rPr>
                <w:rFonts w:ascii="宋体" w:hAnsi="宋体" w:cs="宋体"/>
                <w:sz w:val="22"/>
                <w:szCs w:val="22"/>
              </w:rPr>
            </w:pPr>
            <w:r>
              <w:rPr>
                <w:rFonts w:hint="eastAsia" w:ascii="宋体" w:hAnsi="宋体" w:eastAsia="宋体" w:cs="宋体"/>
                <w:sz w:val="22"/>
                <w:szCs w:val="22"/>
              </w:rPr>
              <w:t>★技术要求</w:t>
            </w:r>
          </w:p>
        </w:tc>
        <w:tc>
          <w:tcPr>
            <w:tcW w:w="2251" w:type="pct"/>
            <w:vAlign w:val="center"/>
          </w:tcPr>
          <w:p>
            <w:pPr>
              <w:spacing w:line="360" w:lineRule="auto"/>
              <w:rPr>
                <w:rFonts w:ascii="宋体" w:hAnsi="宋体" w:cs="宋体"/>
                <w:sz w:val="22"/>
                <w:szCs w:val="22"/>
              </w:rPr>
            </w:pPr>
            <w:r>
              <w:rPr>
                <w:rFonts w:hint="eastAsia" w:ascii="宋体" w:hAnsi="宋体" w:cs="宋体"/>
                <w:sz w:val="22"/>
                <w:szCs w:val="22"/>
              </w:rPr>
              <w:t>/</w:t>
            </w:r>
          </w:p>
        </w:tc>
        <w:tc>
          <w:tcPr>
            <w:tcW w:w="641" w:type="pct"/>
            <w:vAlign w:val="center"/>
          </w:tcPr>
          <w:p>
            <w:pPr>
              <w:spacing w:line="360" w:lineRule="auto"/>
              <w:jc w:val="center"/>
              <w:rPr>
                <w:rFonts w:ascii="宋体" w:hAnsi="宋体" w:cs="宋体"/>
                <w:sz w:val="22"/>
                <w:szCs w:val="22"/>
              </w:rPr>
            </w:pPr>
          </w:p>
        </w:tc>
        <w:tc>
          <w:tcPr>
            <w:tcW w:w="355" w:type="pct"/>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485" w:type="pct"/>
            <w:vAlign w:val="center"/>
          </w:tcPr>
          <w:p>
            <w:pPr>
              <w:spacing w:line="360" w:lineRule="auto"/>
              <w:jc w:val="center"/>
              <w:rPr>
                <w:rFonts w:ascii="宋体" w:hAnsi="宋体" w:cs="宋体"/>
                <w:sz w:val="22"/>
                <w:szCs w:val="22"/>
              </w:rPr>
            </w:pPr>
            <w:r>
              <w:rPr>
                <w:rFonts w:hint="eastAsia" w:ascii="宋体" w:hAnsi="宋体" w:cs="宋体"/>
                <w:sz w:val="22"/>
                <w:szCs w:val="22"/>
              </w:rPr>
              <w:t>2</w:t>
            </w:r>
          </w:p>
        </w:tc>
        <w:tc>
          <w:tcPr>
            <w:tcW w:w="877" w:type="pct"/>
            <w:vAlign w:val="center"/>
          </w:tcPr>
          <w:p>
            <w:pPr>
              <w:pStyle w:val="5"/>
              <w:numPr>
                <w:ilvl w:val="2"/>
                <w:numId w:val="107"/>
              </w:numPr>
              <w:snapToGrid w:val="0"/>
              <w:spacing w:before="0" w:after="0" w:line="360" w:lineRule="auto"/>
              <w:rPr>
                <w:rFonts w:ascii="宋体" w:hAnsi="宋体" w:cs="宋体"/>
                <w:bCs w:val="0"/>
                <w:sz w:val="22"/>
                <w:szCs w:val="22"/>
              </w:rPr>
            </w:pPr>
            <w:r>
              <w:rPr>
                <w:rFonts w:hint="eastAsia" w:ascii="宋体" w:hAnsi="宋体" w:cs="宋体"/>
                <w:bCs w:val="0"/>
                <w:sz w:val="22"/>
                <w:szCs w:val="22"/>
              </w:rPr>
              <w:t>通用要求</w:t>
            </w:r>
          </w:p>
          <w:p>
            <w:pPr>
              <w:spacing w:line="360" w:lineRule="auto"/>
              <w:rPr>
                <w:rFonts w:ascii="宋体" w:hAnsi="宋体" w:cs="宋体"/>
                <w:sz w:val="22"/>
                <w:szCs w:val="22"/>
              </w:rPr>
            </w:pPr>
          </w:p>
        </w:tc>
        <w:tc>
          <w:tcPr>
            <w:tcW w:w="2251" w:type="pct"/>
            <w:vAlign w:val="center"/>
          </w:tcPr>
          <w:p>
            <w:pPr>
              <w:keepNext w:val="0"/>
              <w:keepLines w:val="0"/>
              <w:pageBreakBefore w:val="0"/>
              <w:widowControl w:val="0"/>
              <w:numPr>
                <w:ilvl w:val="0"/>
                <w:numId w:val="108"/>
              </w:numPr>
              <w:kinsoku/>
              <w:wordWrap/>
              <w:overflowPunct/>
              <w:topLinePunct w:val="0"/>
              <w:autoSpaceDE/>
              <w:autoSpaceDN/>
              <w:bidi w:val="0"/>
              <w:adjustRightInd w:val="0"/>
              <w:snapToGrid w:val="0"/>
              <w:spacing w:line="360" w:lineRule="auto"/>
              <w:ind w:left="0" w:firstLine="0" w:firstLineChars="0"/>
              <w:textAlignment w:val="auto"/>
              <w:rPr>
                <w:rFonts w:ascii="宋体" w:hAnsi="宋体" w:cs="宋体"/>
                <w:kern w:val="0"/>
                <w:sz w:val="22"/>
                <w:szCs w:val="22"/>
              </w:rPr>
            </w:pPr>
            <w:r>
              <w:rPr>
                <w:rFonts w:hint="eastAsia" w:ascii="宋体" w:hAnsi="宋体" w:cs="宋体"/>
                <w:kern w:val="0"/>
                <w:sz w:val="22"/>
                <w:szCs w:val="22"/>
              </w:rPr>
              <w:t>系统应基于当前主流技术体系（如</w:t>
            </w:r>
            <w:r>
              <w:rPr>
                <w:rFonts w:hint="eastAsia" w:ascii="宋体" w:hAnsi="宋体"/>
                <w:kern w:val="0"/>
                <w:sz w:val="22"/>
                <w:szCs w:val="22"/>
                <w:lang w:val="en-US" w:eastAsia="zh-CN"/>
              </w:rPr>
              <w:t>J2EE</w:t>
            </w:r>
            <w:r>
              <w:rPr>
                <w:rFonts w:hint="eastAsia" w:ascii="宋体" w:hAnsi="宋体" w:cs="宋体"/>
                <w:kern w:val="0"/>
                <w:sz w:val="22"/>
                <w:szCs w:val="22"/>
              </w:rPr>
              <w:t>）设计研发，系统必须为平台性产品，</w:t>
            </w:r>
            <w:r>
              <w:rPr>
                <w:rFonts w:hint="eastAsia" w:ascii="宋体" w:hAnsi="宋体"/>
                <w:kern w:val="0"/>
                <w:sz w:val="22"/>
                <w:szCs w:val="22"/>
                <w:lang w:val="en-US" w:eastAsia="zh-CN"/>
              </w:rPr>
              <w:t>支持微服务架构、</w:t>
            </w:r>
            <w:r>
              <w:rPr>
                <w:rFonts w:hint="eastAsia" w:ascii="宋体" w:hAnsi="宋体" w:cs="宋体"/>
                <w:kern w:val="0"/>
                <w:sz w:val="22"/>
                <w:szCs w:val="22"/>
              </w:rPr>
              <w:t>易于客户开发和配置。</w:t>
            </w:r>
          </w:p>
          <w:p>
            <w:pPr>
              <w:keepNext w:val="0"/>
              <w:keepLines w:val="0"/>
              <w:pageBreakBefore w:val="0"/>
              <w:widowControl w:val="0"/>
              <w:numPr>
                <w:ilvl w:val="0"/>
                <w:numId w:val="108"/>
              </w:numPr>
              <w:kinsoku/>
              <w:wordWrap/>
              <w:overflowPunct/>
              <w:topLinePunct w:val="0"/>
              <w:autoSpaceDE/>
              <w:autoSpaceDN/>
              <w:bidi w:val="0"/>
              <w:adjustRightInd w:val="0"/>
              <w:snapToGrid w:val="0"/>
              <w:spacing w:line="360" w:lineRule="auto"/>
              <w:ind w:left="0" w:firstLine="0" w:firstLineChars="0"/>
              <w:textAlignment w:val="auto"/>
              <w:rPr>
                <w:rFonts w:ascii="宋体" w:hAnsi="宋体" w:cs="宋体"/>
                <w:kern w:val="0"/>
                <w:sz w:val="22"/>
                <w:szCs w:val="22"/>
              </w:rPr>
            </w:pPr>
            <w:r>
              <w:rPr>
                <w:rFonts w:hint="eastAsia" w:ascii="宋体" w:hAnsi="宋体" w:cs="宋体"/>
                <w:kern w:val="0"/>
                <w:sz w:val="22"/>
                <w:szCs w:val="22"/>
              </w:rPr>
              <w:t>系统以B/S架构为主，支持主流浏览器访问登录</w:t>
            </w:r>
            <w:r>
              <w:rPr>
                <w:rFonts w:hint="eastAsia" w:ascii="宋体" w:hAnsi="宋体" w:eastAsia="宋体"/>
                <w:kern w:val="0"/>
                <w:sz w:val="22"/>
                <w:szCs w:val="22"/>
              </w:rPr>
              <w:t>，支持堡垒机跳转访问</w:t>
            </w:r>
            <w:r>
              <w:rPr>
                <w:rFonts w:hint="eastAsia" w:ascii="宋体" w:hAnsi="宋体" w:cs="宋体"/>
                <w:kern w:val="0"/>
                <w:sz w:val="22"/>
                <w:szCs w:val="22"/>
              </w:rPr>
              <w:t>。</w:t>
            </w:r>
          </w:p>
          <w:p>
            <w:pPr>
              <w:keepNext w:val="0"/>
              <w:keepLines w:val="0"/>
              <w:pageBreakBefore w:val="0"/>
              <w:widowControl w:val="0"/>
              <w:numPr>
                <w:ilvl w:val="0"/>
                <w:numId w:val="108"/>
              </w:numPr>
              <w:kinsoku/>
              <w:wordWrap/>
              <w:overflowPunct/>
              <w:topLinePunct w:val="0"/>
              <w:autoSpaceDE/>
              <w:autoSpaceDN/>
              <w:bidi w:val="0"/>
              <w:adjustRightInd w:val="0"/>
              <w:snapToGrid w:val="0"/>
              <w:spacing w:line="360" w:lineRule="auto"/>
              <w:ind w:left="0" w:firstLine="0" w:firstLineChars="0"/>
              <w:textAlignment w:val="auto"/>
              <w:rPr>
                <w:rFonts w:ascii="宋体" w:hAnsi="宋体" w:cs="宋体"/>
                <w:kern w:val="0"/>
                <w:sz w:val="22"/>
                <w:szCs w:val="22"/>
              </w:rPr>
            </w:pPr>
            <w:r>
              <w:rPr>
                <w:rFonts w:hint="eastAsia" w:ascii="宋体" w:hAnsi="宋体" w:eastAsia="宋体"/>
                <w:kern w:val="0"/>
                <w:sz w:val="22"/>
                <w:szCs w:val="22"/>
                <w:lang w:val="en-US" w:eastAsia="zh-CN"/>
              </w:rPr>
              <w:t>手机</w:t>
            </w:r>
            <w:r>
              <w:rPr>
                <w:rFonts w:hint="eastAsia" w:ascii="宋体" w:hAnsi="宋体" w:eastAsia="宋体"/>
                <w:kern w:val="0"/>
                <w:sz w:val="22"/>
                <w:szCs w:val="22"/>
              </w:rPr>
              <w:t>端APP</w:t>
            </w:r>
            <w:r>
              <w:rPr>
                <w:rFonts w:hint="eastAsia" w:ascii="宋体" w:hAnsi="宋体"/>
                <w:kern w:val="0"/>
                <w:sz w:val="22"/>
                <w:szCs w:val="22"/>
                <w:lang w:val="en-US" w:eastAsia="zh-CN"/>
              </w:rPr>
              <w:t>支持Android、IOS</w:t>
            </w:r>
            <w:r>
              <w:rPr>
                <w:rFonts w:hint="eastAsia" w:ascii="宋体" w:hAnsi="宋体" w:eastAsia="宋体"/>
                <w:kern w:val="0"/>
                <w:sz w:val="22"/>
                <w:szCs w:val="22"/>
              </w:rPr>
              <w:t>，支持登录</w:t>
            </w:r>
            <w:r>
              <w:rPr>
                <w:rFonts w:hint="eastAsia" w:ascii="宋体" w:hAnsi="宋体"/>
                <w:kern w:val="0"/>
                <w:sz w:val="22"/>
                <w:szCs w:val="22"/>
                <w:lang w:val="en-US" w:eastAsia="zh-CN"/>
              </w:rPr>
              <w:t>身份认证</w:t>
            </w:r>
            <w:r>
              <w:rPr>
                <w:rFonts w:hint="eastAsia" w:ascii="宋体" w:hAnsi="宋体" w:eastAsia="宋体"/>
                <w:kern w:val="0"/>
                <w:sz w:val="22"/>
                <w:szCs w:val="22"/>
              </w:rPr>
              <w:t>，</w:t>
            </w:r>
            <w:r>
              <w:rPr>
                <w:rFonts w:hint="eastAsia" w:ascii="宋体" w:hAnsi="宋体"/>
                <w:kern w:val="0"/>
                <w:sz w:val="22"/>
                <w:szCs w:val="22"/>
                <w:lang w:val="en-US" w:eastAsia="zh-CN"/>
              </w:rPr>
              <w:t>提供供应商、采购经办人在线查看、审批功能</w:t>
            </w:r>
            <w:r>
              <w:rPr>
                <w:rFonts w:hint="eastAsia" w:ascii="宋体" w:hAnsi="宋体" w:eastAsia="宋体"/>
                <w:kern w:val="0"/>
                <w:sz w:val="22"/>
                <w:szCs w:val="22"/>
              </w:rPr>
              <w:t>。</w:t>
            </w:r>
          </w:p>
          <w:p>
            <w:pPr>
              <w:keepNext w:val="0"/>
              <w:keepLines w:val="0"/>
              <w:pageBreakBefore w:val="0"/>
              <w:widowControl w:val="0"/>
              <w:numPr>
                <w:ilvl w:val="0"/>
                <w:numId w:val="108"/>
              </w:numPr>
              <w:kinsoku/>
              <w:wordWrap/>
              <w:overflowPunct/>
              <w:topLinePunct w:val="0"/>
              <w:autoSpaceDE/>
              <w:autoSpaceDN/>
              <w:bidi w:val="0"/>
              <w:adjustRightInd w:val="0"/>
              <w:snapToGrid w:val="0"/>
              <w:spacing w:line="360" w:lineRule="auto"/>
              <w:ind w:left="0" w:firstLine="0" w:firstLineChars="0"/>
              <w:textAlignment w:val="auto"/>
              <w:rPr>
                <w:rFonts w:ascii="宋体" w:hAnsi="宋体" w:cs="宋体"/>
                <w:kern w:val="0"/>
                <w:sz w:val="22"/>
                <w:szCs w:val="22"/>
              </w:rPr>
            </w:pPr>
            <w:r>
              <w:rPr>
                <w:rFonts w:hint="eastAsia" w:ascii="宋体" w:hAnsi="宋体" w:cs="宋体"/>
                <w:kern w:val="0"/>
                <w:sz w:val="22"/>
                <w:szCs w:val="22"/>
                <w:lang w:val="en-US" w:eastAsia="zh-CN"/>
              </w:rPr>
              <w:t>系统</w:t>
            </w:r>
            <w:r>
              <w:rPr>
                <w:rFonts w:hint="eastAsia" w:ascii="宋体" w:hAnsi="宋体"/>
                <w:kern w:val="0"/>
                <w:sz w:val="22"/>
                <w:szCs w:val="22"/>
                <w:lang w:val="en-US" w:eastAsia="zh-CN"/>
              </w:rPr>
              <w:t>支持Restful接口规范，可以与集团OA等系统进行对接；系统元数据支持接入集团数据仓库。</w:t>
            </w:r>
          </w:p>
          <w:p>
            <w:pPr>
              <w:keepNext w:val="0"/>
              <w:keepLines w:val="0"/>
              <w:pageBreakBefore w:val="0"/>
              <w:widowControl w:val="0"/>
              <w:numPr>
                <w:ilvl w:val="0"/>
                <w:numId w:val="108"/>
              </w:numPr>
              <w:kinsoku/>
              <w:wordWrap/>
              <w:overflowPunct/>
              <w:topLinePunct w:val="0"/>
              <w:autoSpaceDE/>
              <w:autoSpaceDN/>
              <w:bidi w:val="0"/>
              <w:adjustRightInd w:val="0"/>
              <w:snapToGrid w:val="0"/>
              <w:spacing w:line="360" w:lineRule="auto"/>
              <w:ind w:left="0" w:firstLine="0" w:firstLineChars="0"/>
              <w:textAlignment w:val="auto"/>
              <w:rPr>
                <w:rFonts w:ascii="宋体" w:hAnsi="宋体" w:cs="宋体"/>
                <w:kern w:val="0"/>
                <w:sz w:val="22"/>
                <w:szCs w:val="22"/>
              </w:rPr>
            </w:pPr>
            <w:r>
              <w:rPr>
                <w:rFonts w:hint="eastAsia" w:ascii="宋体" w:hAnsi="宋体" w:cs="宋体"/>
                <w:kern w:val="0"/>
                <w:sz w:val="22"/>
                <w:szCs w:val="22"/>
              </w:rPr>
              <w:t>支持标准的J2EE中间件，如Tomcat等。</w:t>
            </w:r>
          </w:p>
          <w:p>
            <w:pPr>
              <w:keepNext w:val="0"/>
              <w:keepLines w:val="0"/>
              <w:pageBreakBefore w:val="0"/>
              <w:widowControl w:val="0"/>
              <w:numPr>
                <w:ilvl w:val="0"/>
                <w:numId w:val="108"/>
              </w:numPr>
              <w:kinsoku/>
              <w:wordWrap/>
              <w:overflowPunct/>
              <w:topLinePunct w:val="0"/>
              <w:autoSpaceDE/>
              <w:autoSpaceDN/>
              <w:bidi w:val="0"/>
              <w:adjustRightInd w:val="0"/>
              <w:snapToGrid w:val="0"/>
              <w:spacing w:line="360" w:lineRule="auto"/>
              <w:ind w:left="0" w:firstLine="0" w:firstLineChars="0"/>
              <w:textAlignment w:val="auto"/>
              <w:rPr>
                <w:rFonts w:ascii="宋体" w:hAnsi="宋体" w:cs="宋体"/>
                <w:kern w:val="0"/>
                <w:sz w:val="22"/>
                <w:szCs w:val="22"/>
              </w:rPr>
            </w:pPr>
            <w:r>
              <w:rPr>
                <w:rFonts w:hint="eastAsia" w:ascii="宋体" w:hAnsi="宋体" w:cs="宋体"/>
                <w:kern w:val="0"/>
                <w:sz w:val="22"/>
                <w:szCs w:val="22"/>
              </w:rPr>
              <w:t>支持主流数据库系统，如MySQL、Oracle等。</w:t>
            </w:r>
          </w:p>
          <w:p>
            <w:pPr>
              <w:keepNext w:val="0"/>
              <w:keepLines w:val="0"/>
              <w:pageBreakBefore w:val="0"/>
              <w:widowControl w:val="0"/>
              <w:numPr>
                <w:ilvl w:val="0"/>
                <w:numId w:val="108"/>
              </w:numPr>
              <w:kinsoku/>
              <w:wordWrap/>
              <w:overflowPunct/>
              <w:topLinePunct w:val="0"/>
              <w:autoSpaceDE/>
              <w:autoSpaceDN/>
              <w:bidi w:val="0"/>
              <w:adjustRightInd w:val="0"/>
              <w:snapToGrid w:val="0"/>
              <w:spacing w:line="360" w:lineRule="auto"/>
              <w:ind w:left="0" w:firstLine="0" w:firstLineChars="0"/>
              <w:textAlignment w:val="auto"/>
              <w:rPr>
                <w:rFonts w:ascii="宋体" w:hAnsi="宋体" w:cs="宋体"/>
                <w:kern w:val="0"/>
                <w:sz w:val="22"/>
                <w:szCs w:val="22"/>
              </w:rPr>
            </w:pPr>
            <w:r>
              <w:rPr>
                <w:rFonts w:hint="eastAsia" w:ascii="宋体" w:hAnsi="宋体" w:cs="宋体"/>
                <w:kern w:val="0"/>
                <w:sz w:val="22"/>
                <w:szCs w:val="22"/>
              </w:rPr>
              <w:t>数据库服务器、应用服务器和Web服务器等采用Unix/Linux操作系统。</w:t>
            </w:r>
          </w:p>
          <w:p>
            <w:pPr>
              <w:keepNext w:val="0"/>
              <w:keepLines w:val="0"/>
              <w:pageBreakBefore w:val="0"/>
              <w:widowControl w:val="0"/>
              <w:numPr>
                <w:ilvl w:val="0"/>
                <w:numId w:val="108"/>
              </w:numPr>
              <w:kinsoku/>
              <w:wordWrap/>
              <w:overflowPunct/>
              <w:topLinePunct w:val="0"/>
              <w:autoSpaceDE/>
              <w:autoSpaceDN/>
              <w:bidi w:val="0"/>
              <w:adjustRightInd w:val="0"/>
              <w:snapToGrid w:val="0"/>
              <w:spacing w:line="360" w:lineRule="auto"/>
              <w:ind w:left="0" w:firstLine="0" w:firstLineChars="0"/>
              <w:textAlignment w:val="auto"/>
              <w:rPr>
                <w:rFonts w:ascii="宋体" w:hAnsi="宋体" w:cs="宋体"/>
                <w:kern w:val="0"/>
                <w:sz w:val="22"/>
                <w:szCs w:val="22"/>
              </w:rPr>
            </w:pPr>
            <w:r>
              <w:rPr>
                <w:rFonts w:hint="eastAsia" w:ascii="宋体" w:hAnsi="宋体" w:cs="宋体"/>
                <w:kern w:val="0"/>
                <w:sz w:val="22"/>
                <w:szCs w:val="22"/>
              </w:rPr>
              <w:t>系统支持公司内网云环境的部署。</w:t>
            </w:r>
          </w:p>
          <w:p>
            <w:pPr>
              <w:keepNext w:val="0"/>
              <w:keepLines w:val="0"/>
              <w:pageBreakBefore w:val="0"/>
              <w:widowControl w:val="0"/>
              <w:numPr>
                <w:ilvl w:val="0"/>
                <w:numId w:val="108"/>
              </w:numPr>
              <w:kinsoku/>
              <w:wordWrap/>
              <w:overflowPunct/>
              <w:topLinePunct w:val="0"/>
              <w:autoSpaceDE/>
              <w:autoSpaceDN/>
              <w:bidi w:val="0"/>
              <w:adjustRightInd w:val="0"/>
              <w:snapToGrid w:val="0"/>
              <w:spacing w:line="360" w:lineRule="auto"/>
              <w:ind w:left="0" w:firstLine="0" w:firstLineChars="0"/>
              <w:textAlignment w:val="auto"/>
              <w:rPr>
                <w:rFonts w:ascii="宋体" w:hAnsi="宋体" w:cs="宋体"/>
                <w:sz w:val="22"/>
                <w:szCs w:val="22"/>
              </w:rPr>
            </w:pPr>
            <w:r>
              <w:rPr>
                <w:rFonts w:hint="eastAsia" w:ascii="宋体" w:hAnsi="宋体" w:cs="宋体"/>
                <w:kern w:val="0"/>
                <w:sz w:val="22"/>
                <w:szCs w:val="22"/>
                <w:lang w:val="en-US" w:eastAsia="zh-CN"/>
              </w:rPr>
              <w:t>系统</w:t>
            </w:r>
            <w:r>
              <w:rPr>
                <w:rFonts w:hint="eastAsia" w:ascii="宋体" w:hAnsi="宋体" w:eastAsia="宋体"/>
                <w:kern w:val="0"/>
                <w:sz w:val="22"/>
                <w:szCs w:val="22"/>
              </w:rPr>
              <w:t>应有数据库灾备方案，支持数据定时同步，远程同步，具备容灾、备份、恢复、迁移等功能，兼容多点异地备份方式，支持备份恢复</w:t>
            </w:r>
            <w:r>
              <w:rPr>
                <w:rFonts w:hint="eastAsia" w:ascii="宋体" w:hAnsi="宋体"/>
                <w:kern w:val="0"/>
                <w:sz w:val="22"/>
                <w:szCs w:val="22"/>
                <w:lang w:eastAsia="zh-CN"/>
              </w:rPr>
              <w:t>。</w:t>
            </w:r>
          </w:p>
        </w:tc>
        <w:tc>
          <w:tcPr>
            <w:tcW w:w="641" w:type="pct"/>
            <w:vAlign w:val="center"/>
          </w:tcPr>
          <w:p>
            <w:pPr>
              <w:spacing w:line="360" w:lineRule="auto"/>
              <w:jc w:val="center"/>
              <w:rPr>
                <w:rFonts w:ascii="宋体" w:hAnsi="宋体" w:cs="宋体"/>
                <w:sz w:val="22"/>
                <w:szCs w:val="22"/>
              </w:rPr>
            </w:pPr>
          </w:p>
        </w:tc>
        <w:tc>
          <w:tcPr>
            <w:tcW w:w="355" w:type="pct"/>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485" w:type="pct"/>
            <w:vAlign w:val="center"/>
          </w:tcPr>
          <w:p>
            <w:pPr>
              <w:spacing w:line="360" w:lineRule="auto"/>
              <w:jc w:val="center"/>
              <w:rPr>
                <w:rFonts w:ascii="宋体" w:hAnsi="宋体" w:cs="宋体"/>
                <w:sz w:val="22"/>
                <w:szCs w:val="22"/>
              </w:rPr>
            </w:pPr>
            <w:r>
              <w:rPr>
                <w:rFonts w:hint="eastAsia" w:ascii="宋体" w:hAnsi="宋体" w:cs="宋体"/>
                <w:sz w:val="22"/>
                <w:szCs w:val="22"/>
              </w:rPr>
              <w:t>3</w:t>
            </w:r>
          </w:p>
        </w:tc>
        <w:tc>
          <w:tcPr>
            <w:tcW w:w="877" w:type="pct"/>
            <w:vAlign w:val="center"/>
          </w:tcPr>
          <w:p>
            <w:pPr>
              <w:pStyle w:val="5"/>
              <w:numPr>
                <w:ilvl w:val="2"/>
                <w:numId w:val="107"/>
              </w:numPr>
              <w:snapToGrid w:val="0"/>
              <w:spacing w:before="0" w:after="0" w:line="360" w:lineRule="auto"/>
              <w:rPr>
                <w:rFonts w:ascii="宋体" w:hAnsi="宋体" w:cs="宋体"/>
                <w:sz w:val="22"/>
                <w:szCs w:val="22"/>
              </w:rPr>
            </w:pPr>
            <w:r>
              <w:rPr>
                <w:rFonts w:hint="eastAsia" w:ascii="宋体" w:hAnsi="宋体" w:cs="宋体"/>
                <w:bCs w:val="0"/>
                <w:sz w:val="22"/>
                <w:szCs w:val="22"/>
              </w:rPr>
              <w:t>安全要求</w:t>
            </w:r>
          </w:p>
        </w:tc>
        <w:tc>
          <w:tcPr>
            <w:tcW w:w="2251"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cs="宋体"/>
                <w:b/>
                <w:bCs/>
                <w:kern w:val="0"/>
                <w:sz w:val="22"/>
                <w:szCs w:val="22"/>
              </w:rPr>
            </w:pPr>
            <w:r>
              <w:rPr>
                <w:rFonts w:hint="eastAsia" w:ascii="宋体" w:hAnsi="宋体" w:cs="宋体"/>
                <w:b/>
                <w:bCs/>
                <w:kern w:val="0"/>
                <w:sz w:val="22"/>
                <w:szCs w:val="22"/>
              </w:rPr>
              <w:t>1)</w:t>
            </w:r>
            <w:r>
              <w:rPr>
                <w:rFonts w:hint="eastAsia" w:ascii="宋体" w:hAnsi="宋体" w:eastAsia="宋体" w:cs="Times New Roman"/>
                <w:b/>
                <w:bCs/>
                <w:kern w:val="0"/>
                <w:sz w:val="22"/>
                <w:szCs w:val="22"/>
                <w:lang w:val="en-US" w:eastAsia="zh-CN"/>
              </w:rPr>
              <w:t>用户管理：</w:t>
            </w:r>
            <w:r>
              <w:rPr>
                <w:rFonts w:hint="eastAsia" w:ascii="宋体" w:hAnsi="宋体" w:eastAsia="宋体" w:cs="Times New Roman"/>
                <w:b w:val="0"/>
                <w:bCs w:val="0"/>
                <w:kern w:val="0"/>
                <w:sz w:val="22"/>
                <w:szCs w:val="22"/>
                <w:lang w:val="en-US" w:eastAsia="zh-CN"/>
              </w:rPr>
              <w:t>系统支持用户注册、登录、管理、权限划分与配置；外部用户可通过实名注册使用系统；内部用户通过系统管理员开通账号使用系统；系统支持游客身份浏览公开信息，无法进行其他操作；内部用户首次登录需强制修改密码；密码设置规则</w:t>
            </w:r>
            <w:r>
              <w:rPr>
                <w:rFonts w:hint="eastAsia" w:ascii="宋体" w:hAnsi="宋体" w:cs="Times New Roman"/>
                <w:b w:val="0"/>
                <w:bCs w:val="0"/>
                <w:kern w:val="0"/>
                <w:sz w:val="22"/>
                <w:szCs w:val="22"/>
                <w:lang w:val="en-US" w:eastAsia="zh-CN"/>
              </w:rPr>
              <w:t>符合主流安全要求</w:t>
            </w:r>
            <w:r>
              <w:rPr>
                <w:rFonts w:hint="eastAsia" w:ascii="宋体" w:hAnsi="宋体" w:eastAsia="宋体" w:cs="Times New Roman"/>
                <w:b w:val="0"/>
                <w:bCs w:val="0"/>
                <w:kern w:val="0"/>
                <w:sz w:val="22"/>
                <w:szCs w:val="22"/>
                <w:lang w:val="en-US" w:eastAsia="zh-CN"/>
              </w:rPr>
              <w:t>复杂度</w:t>
            </w:r>
            <w:r>
              <w:rPr>
                <w:rFonts w:hint="eastAsia" w:ascii="宋体" w:hAnsi="宋体" w:cs="Times New Roman"/>
                <w:b w:val="0"/>
                <w:bCs w:val="0"/>
                <w:kern w:val="0"/>
                <w:sz w:val="22"/>
                <w:szCs w:val="22"/>
                <w:lang w:val="en-US" w:eastAsia="zh-CN"/>
              </w:rPr>
              <w:t>；支持用户登陆系统后用户水印机制。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ascii="宋体" w:hAnsi="宋体" w:cs="宋体"/>
                <w:kern w:val="0"/>
                <w:sz w:val="22"/>
                <w:szCs w:val="22"/>
              </w:rPr>
            </w:pPr>
            <w:r>
              <w:rPr>
                <w:rFonts w:hint="eastAsia" w:ascii="宋体" w:hAnsi="宋体" w:cs="宋体"/>
                <w:b/>
                <w:bCs/>
                <w:kern w:val="0"/>
                <w:sz w:val="22"/>
                <w:szCs w:val="22"/>
                <w:lang w:val="en-US" w:eastAsia="zh-CN"/>
              </w:rPr>
              <w:t>2）</w:t>
            </w:r>
            <w:r>
              <w:rPr>
                <w:rFonts w:hint="eastAsia" w:ascii="宋体" w:hAnsi="宋体" w:cs="宋体"/>
                <w:b/>
                <w:bCs/>
                <w:kern w:val="0"/>
                <w:sz w:val="22"/>
                <w:szCs w:val="22"/>
              </w:rPr>
              <w:t>权限控制</w:t>
            </w:r>
            <w:r>
              <w:rPr>
                <w:rFonts w:hint="eastAsia" w:ascii="宋体" w:hAnsi="宋体" w:cs="宋体"/>
                <w:kern w:val="0"/>
                <w:sz w:val="22"/>
                <w:szCs w:val="22"/>
              </w:rPr>
              <w:t>：系统支持</w:t>
            </w:r>
            <w:r>
              <w:rPr>
                <w:rFonts w:hint="eastAsia" w:ascii="宋体" w:hAnsi="宋体" w:eastAsia="宋体" w:cs="Times New Roman"/>
                <w:kern w:val="0"/>
                <w:sz w:val="22"/>
                <w:szCs w:val="22"/>
                <w:lang w:val="en-US" w:eastAsia="zh-CN"/>
              </w:rPr>
              <w:t>对注册用户</w:t>
            </w:r>
            <w:r>
              <w:rPr>
                <w:rFonts w:hint="eastAsia" w:ascii="宋体" w:hAnsi="宋体" w:cs="宋体"/>
                <w:kern w:val="0"/>
                <w:sz w:val="22"/>
                <w:szCs w:val="22"/>
              </w:rPr>
              <w:t>进行功能权限、部门、单位权限的</w:t>
            </w:r>
            <w:r>
              <w:rPr>
                <w:rFonts w:hint="eastAsia" w:ascii="宋体" w:hAnsi="宋体" w:eastAsia="宋体" w:cs="Times New Roman"/>
                <w:kern w:val="0"/>
                <w:sz w:val="22"/>
                <w:szCs w:val="22"/>
              </w:rPr>
              <w:t>配置、</w:t>
            </w:r>
            <w:r>
              <w:rPr>
                <w:rFonts w:hint="eastAsia" w:ascii="宋体" w:hAnsi="宋体" w:cs="宋体"/>
                <w:kern w:val="0"/>
                <w:sz w:val="22"/>
                <w:szCs w:val="22"/>
              </w:rPr>
              <w:t>判断和控制。根据不同用户，</w:t>
            </w:r>
            <w:r>
              <w:rPr>
                <w:rFonts w:hint="eastAsia" w:ascii="宋体" w:hAnsi="宋体" w:eastAsia="宋体" w:cs="Times New Roman"/>
                <w:kern w:val="0"/>
                <w:sz w:val="22"/>
                <w:szCs w:val="22"/>
              </w:rPr>
              <w:t>系统管理员可</w:t>
            </w:r>
            <w:r>
              <w:rPr>
                <w:rFonts w:hint="eastAsia" w:ascii="宋体" w:hAnsi="宋体" w:cs="宋体"/>
                <w:kern w:val="0"/>
                <w:sz w:val="22"/>
                <w:szCs w:val="22"/>
              </w:rPr>
              <w:t>设置相应权限，用户的操作设日志记录以备查看，没有权限的用户禁止使用系统。用户根据权限，可以作不同的操作。</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ascii="宋体" w:hAnsi="宋体" w:cs="宋体"/>
                <w:kern w:val="0"/>
                <w:sz w:val="22"/>
                <w:szCs w:val="22"/>
              </w:rPr>
            </w:pPr>
            <w:r>
              <w:rPr>
                <w:rFonts w:hint="eastAsia" w:ascii="宋体" w:hAnsi="宋体" w:cs="宋体"/>
                <w:b/>
                <w:bCs/>
                <w:kern w:val="0"/>
                <w:sz w:val="22"/>
                <w:szCs w:val="22"/>
                <w:lang w:val="en-US" w:eastAsia="zh-CN"/>
              </w:rPr>
              <w:t>3</w:t>
            </w:r>
            <w:r>
              <w:rPr>
                <w:rFonts w:hint="eastAsia" w:ascii="宋体" w:hAnsi="宋体" w:cs="宋体"/>
                <w:b/>
                <w:bCs/>
                <w:kern w:val="0"/>
                <w:sz w:val="22"/>
                <w:szCs w:val="22"/>
              </w:rPr>
              <w:t>)重要数据</w:t>
            </w:r>
            <w:r>
              <w:rPr>
                <w:rFonts w:hint="eastAsia" w:ascii="宋体" w:hAnsi="宋体" w:eastAsia="宋体" w:cs="Times New Roman"/>
                <w:b/>
                <w:bCs/>
                <w:kern w:val="0"/>
                <w:sz w:val="22"/>
                <w:szCs w:val="22"/>
              </w:rPr>
              <w:t>加</w:t>
            </w:r>
            <w:r>
              <w:rPr>
                <w:rFonts w:hint="eastAsia" w:ascii="宋体" w:hAnsi="宋体" w:cs="Times New Roman"/>
                <w:b/>
                <w:bCs/>
                <w:kern w:val="0"/>
                <w:sz w:val="22"/>
                <w:szCs w:val="22"/>
                <w:lang w:val="en-US" w:eastAsia="zh-CN"/>
              </w:rPr>
              <w:t>解</w:t>
            </w:r>
            <w:r>
              <w:rPr>
                <w:rFonts w:hint="eastAsia" w:ascii="宋体" w:hAnsi="宋体" w:eastAsia="宋体" w:cs="Times New Roman"/>
                <w:b/>
                <w:bCs/>
                <w:kern w:val="0"/>
                <w:sz w:val="22"/>
                <w:szCs w:val="22"/>
              </w:rPr>
              <w:t>密</w:t>
            </w:r>
            <w:r>
              <w:rPr>
                <w:rFonts w:hint="eastAsia" w:ascii="宋体" w:hAnsi="宋体" w:cs="宋体"/>
                <w:kern w:val="0"/>
                <w:sz w:val="22"/>
                <w:szCs w:val="22"/>
              </w:rPr>
              <w:t>：系统支持对用户密码</w:t>
            </w:r>
            <w:r>
              <w:rPr>
                <w:rFonts w:hint="eastAsia" w:ascii="宋体" w:hAnsi="宋体" w:eastAsia="宋体" w:cs="Times New Roman"/>
                <w:kern w:val="0"/>
                <w:sz w:val="22"/>
                <w:szCs w:val="22"/>
                <w:lang w:val="en-US" w:eastAsia="zh-CN"/>
              </w:rPr>
              <w:t>进行不可逆加密，对</w:t>
            </w:r>
            <w:r>
              <w:rPr>
                <w:rFonts w:hint="eastAsia" w:ascii="宋体" w:hAnsi="宋体" w:cs="宋体"/>
                <w:kern w:val="0"/>
                <w:sz w:val="22"/>
                <w:szCs w:val="22"/>
              </w:rPr>
              <w:t>供应商投标文件等一些重要的数据进行加密</w:t>
            </w:r>
            <w:r>
              <w:rPr>
                <w:rFonts w:hint="eastAsia" w:ascii="宋体" w:hAnsi="宋体" w:eastAsia="宋体" w:cs="Times New Roman"/>
                <w:kern w:val="0"/>
                <w:sz w:val="22"/>
                <w:szCs w:val="22"/>
                <w:lang w:val="en-US" w:eastAsia="zh-CN"/>
              </w:rPr>
              <w:t>存储，</w:t>
            </w:r>
            <w:r>
              <w:rPr>
                <w:rFonts w:hint="eastAsia" w:ascii="宋体" w:hAnsi="宋体" w:cs="Times New Roman"/>
                <w:kern w:val="0"/>
                <w:sz w:val="22"/>
                <w:szCs w:val="22"/>
                <w:lang w:val="en-US" w:eastAsia="zh-CN"/>
              </w:rPr>
              <w:t>供应商满足解密条件时</w:t>
            </w:r>
            <w:r>
              <w:rPr>
                <w:rFonts w:hint="eastAsia" w:ascii="宋体" w:hAnsi="宋体" w:eastAsia="宋体" w:cs="Times New Roman"/>
                <w:kern w:val="0"/>
                <w:sz w:val="22"/>
                <w:szCs w:val="22"/>
                <w:lang w:val="en-US" w:eastAsia="zh-CN"/>
              </w:rPr>
              <w:t>可</w:t>
            </w:r>
            <w:r>
              <w:rPr>
                <w:rFonts w:hint="eastAsia" w:ascii="宋体" w:hAnsi="宋体" w:cs="Times New Roman"/>
                <w:kern w:val="0"/>
                <w:sz w:val="22"/>
                <w:szCs w:val="22"/>
                <w:lang w:val="en-US" w:eastAsia="zh-CN"/>
              </w:rPr>
              <w:t>输入密钥进行</w:t>
            </w:r>
            <w:r>
              <w:rPr>
                <w:rFonts w:hint="eastAsia" w:ascii="宋体" w:hAnsi="宋体" w:eastAsia="宋体" w:cs="Times New Roman"/>
                <w:kern w:val="0"/>
                <w:sz w:val="22"/>
                <w:szCs w:val="22"/>
                <w:lang w:val="en-US" w:eastAsia="zh-CN"/>
              </w:rPr>
              <w:t>解密获取对应内容</w:t>
            </w:r>
            <w:r>
              <w:rPr>
                <w:rFonts w:hint="eastAsia" w:ascii="宋体" w:hAnsi="宋体" w:cs="宋体"/>
                <w:kern w:val="0"/>
                <w:sz w:val="22"/>
                <w:szCs w:val="22"/>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cs="宋体"/>
                <w:kern w:val="0"/>
                <w:sz w:val="22"/>
                <w:szCs w:val="22"/>
              </w:rPr>
            </w:pPr>
            <w:r>
              <w:rPr>
                <w:rFonts w:hint="eastAsia" w:ascii="宋体" w:hAnsi="宋体" w:cs="宋体"/>
                <w:b/>
                <w:bCs/>
                <w:kern w:val="0"/>
                <w:sz w:val="22"/>
                <w:szCs w:val="22"/>
                <w:lang w:val="en-US" w:eastAsia="zh-CN"/>
              </w:rPr>
              <w:t>4</w:t>
            </w:r>
            <w:r>
              <w:rPr>
                <w:rFonts w:hint="eastAsia" w:ascii="宋体" w:hAnsi="宋体" w:cs="宋体"/>
                <w:b/>
                <w:bCs/>
                <w:kern w:val="0"/>
                <w:sz w:val="22"/>
                <w:szCs w:val="22"/>
              </w:rPr>
              <w:t>)日志记录</w:t>
            </w:r>
            <w:r>
              <w:rPr>
                <w:rFonts w:hint="eastAsia" w:ascii="宋体" w:hAnsi="宋体" w:cs="宋体"/>
                <w:kern w:val="0"/>
                <w:sz w:val="22"/>
                <w:szCs w:val="22"/>
              </w:rPr>
              <w:t>：支持系统日志记录，系统记录用户登录日志、操作IP、操作模块等信息，便于后续进行安全审查。</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ascii="宋体" w:hAnsi="宋体" w:cs="宋体"/>
                <w:kern w:val="0"/>
                <w:sz w:val="22"/>
                <w:szCs w:val="22"/>
              </w:rPr>
            </w:pPr>
            <w:r>
              <w:rPr>
                <w:rFonts w:ascii="宋体" w:hAnsi="宋体" w:cs="宋体"/>
                <w:b/>
                <w:bCs/>
                <w:kern w:val="0"/>
                <w:sz w:val="22"/>
                <w:szCs w:val="22"/>
              </w:rPr>
              <w:t>5</w:t>
            </w:r>
            <w:r>
              <w:rPr>
                <w:rFonts w:hint="eastAsia" w:ascii="宋体" w:hAnsi="宋体" w:cs="宋体"/>
                <w:b/>
                <w:bCs/>
                <w:kern w:val="0"/>
                <w:sz w:val="22"/>
                <w:szCs w:val="22"/>
              </w:rPr>
              <w:t>）三级等保：</w:t>
            </w:r>
            <w:r>
              <w:rPr>
                <w:rFonts w:hint="eastAsia" w:ascii="宋体" w:hAnsi="宋体" w:cs="宋体"/>
                <w:b w:val="0"/>
                <w:bCs w:val="0"/>
                <w:kern w:val="0"/>
                <w:sz w:val="22"/>
                <w:szCs w:val="22"/>
              </w:rPr>
              <w:t>系统完成建设后，需要</w:t>
            </w:r>
            <w:r>
              <w:rPr>
                <w:rFonts w:hint="eastAsia" w:ascii="宋体" w:hAnsi="宋体" w:cs="宋体"/>
                <w:b w:val="0"/>
                <w:bCs w:val="0"/>
                <w:kern w:val="0"/>
                <w:sz w:val="22"/>
                <w:szCs w:val="22"/>
                <w:lang w:val="en-US" w:eastAsia="zh-CN"/>
              </w:rPr>
              <w:t>配合招标人</w:t>
            </w:r>
            <w:r>
              <w:rPr>
                <w:rFonts w:hint="eastAsia" w:ascii="宋体" w:hAnsi="宋体" w:cs="宋体"/>
                <w:b w:val="0"/>
                <w:bCs w:val="0"/>
                <w:kern w:val="0"/>
                <w:sz w:val="22"/>
                <w:szCs w:val="22"/>
              </w:rPr>
              <w:t>通过三级等保</w:t>
            </w:r>
            <w:r>
              <w:rPr>
                <w:rFonts w:hint="eastAsia" w:ascii="宋体" w:hAnsi="宋体" w:cs="宋体"/>
                <w:b w:val="0"/>
                <w:bCs w:val="0"/>
                <w:kern w:val="0"/>
                <w:sz w:val="22"/>
                <w:szCs w:val="22"/>
                <w:lang w:val="en-US" w:eastAsia="zh-CN"/>
              </w:rPr>
              <w:t>安全</w:t>
            </w:r>
            <w:r>
              <w:rPr>
                <w:rFonts w:hint="eastAsia" w:ascii="宋体" w:hAnsi="宋体" w:cs="宋体"/>
                <w:b w:val="0"/>
                <w:bCs w:val="0"/>
                <w:kern w:val="0"/>
                <w:sz w:val="22"/>
                <w:szCs w:val="22"/>
              </w:rPr>
              <w:t>测试。</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0" w:firstLineChars="0"/>
              <w:textAlignment w:val="auto"/>
              <w:rPr>
                <w:rFonts w:ascii="宋体" w:hAnsi="宋体" w:cs="宋体"/>
                <w:sz w:val="22"/>
                <w:szCs w:val="22"/>
              </w:rPr>
            </w:pPr>
            <w:r>
              <w:rPr>
                <w:rFonts w:ascii="宋体" w:hAnsi="宋体" w:cs="宋体"/>
                <w:b/>
                <w:bCs/>
                <w:kern w:val="0"/>
                <w:sz w:val="22"/>
                <w:szCs w:val="22"/>
              </w:rPr>
              <w:t>6</w:t>
            </w:r>
            <w:r>
              <w:rPr>
                <w:rFonts w:hint="eastAsia" w:ascii="宋体" w:hAnsi="宋体" w:cs="宋体"/>
                <w:b/>
                <w:bCs/>
                <w:kern w:val="0"/>
                <w:sz w:val="22"/>
                <w:szCs w:val="22"/>
              </w:rPr>
              <w:t>）接口访问要求：</w:t>
            </w:r>
            <w:r>
              <w:rPr>
                <w:rFonts w:hint="eastAsia" w:ascii="宋体" w:hAnsi="宋体" w:cs="宋体"/>
                <w:kern w:val="0"/>
                <w:sz w:val="22"/>
                <w:szCs w:val="22"/>
              </w:rPr>
              <w:t>系统支持验证请求合法性后才允许访问接口，如临时token等方式。</w:t>
            </w:r>
          </w:p>
        </w:tc>
        <w:tc>
          <w:tcPr>
            <w:tcW w:w="641" w:type="pct"/>
            <w:vAlign w:val="center"/>
          </w:tcPr>
          <w:p>
            <w:pPr>
              <w:spacing w:line="360" w:lineRule="auto"/>
              <w:jc w:val="center"/>
              <w:rPr>
                <w:rFonts w:ascii="宋体" w:hAnsi="宋体" w:cs="宋体"/>
                <w:sz w:val="22"/>
                <w:szCs w:val="22"/>
              </w:rPr>
            </w:pPr>
          </w:p>
        </w:tc>
        <w:tc>
          <w:tcPr>
            <w:tcW w:w="355" w:type="pct"/>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485" w:type="pct"/>
            <w:vAlign w:val="center"/>
          </w:tcPr>
          <w:p>
            <w:pPr>
              <w:spacing w:line="360" w:lineRule="auto"/>
              <w:jc w:val="center"/>
              <w:rPr>
                <w:rFonts w:ascii="宋体" w:hAnsi="宋体" w:cs="宋体"/>
                <w:sz w:val="22"/>
                <w:szCs w:val="22"/>
              </w:rPr>
            </w:pPr>
            <w:r>
              <w:rPr>
                <w:rFonts w:hint="eastAsia" w:ascii="宋体" w:hAnsi="宋体" w:cs="宋体"/>
                <w:sz w:val="22"/>
                <w:szCs w:val="22"/>
              </w:rPr>
              <w:t>4</w:t>
            </w:r>
          </w:p>
        </w:tc>
        <w:tc>
          <w:tcPr>
            <w:tcW w:w="877" w:type="pct"/>
            <w:vAlign w:val="center"/>
          </w:tcPr>
          <w:p>
            <w:pPr>
              <w:pStyle w:val="5"/>
              <w:numPr>
                <w:ilvl w:val="2"/>
                <w:numId w:val="107"/>
              </w:numPr>
              <w:snapToGrid w:val="0"/>
              <w:spacing w:before="0" w:after="0" w:line="360" w:lineRule="auto"/>
              <w:rPr>
                <w:rFonts w:ascii="宋体" w:hAnsi="宋体" w:cs="宋体"/>
                <w:sz w:val="22"/>
                <w:szCs w:val="22"/>
              </w:rPr>
            </w:pPr>
            <w:r>
              <w:rPr>
                <w:rFonts w:hint="eastAsia" w:ascii="宋体" w:hAnsi="宋体" w:cs="宋体"/>
                <w:bCs w:val="0"/>
                <w:sz w:val="22"/>
                <w:szCs w:val="22"/>
              </w:rPr>
              <w:t>工作流引擎要求</w:t>
            </w:r>
          </w:p>
        </w:tc>
        <w:tc>
          <w:tcPr>
            <w:tcW w:w="2251"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ascii="宋体" w:hAnsi="宋体" w:cs="宋体"/>
                <w:sz w:val="22"/>
                <w:szCs w:val="22"/>
              </w:rPr>
            </w:pPr>
            <w:r>
              <w:rPr>
                <w:rFonts w:hint="eastAsia" w:ascii="宋体" w:hAnsi="宋体" w:cs="宋体"/>
                <w:kern w:val="0"/>
                <w:sz w:val="22"/>
                <w:szCs w:val="22"/>
              </w:rPr>
              <w:t>本系统中存在大量的内部业务流和审批流，系统的运行和维护期间对于业务流、审批流的配置、监控等有大量的工作，系统应具有工作流引擎平台，引擎的设计遵循WFMC提出的工作流参考模型标准，符合XPDL的规范。</w:t>
            </w:r>
            <w:r>
              <w:rPr>
                <w:rFonts w:hint="eastAsia" w:ascii="宋体" w:hAnsi="宋体"/>
                <w:kern w:val="0"/>
                <w:sz w:val="22"/>
                <w:szCs w:val="22"/>
                <w:lang w:val="en-US" w:eastAsia="zh-CN"/>
              </w:rPr>
              <w:t>工作流应支持图形化界面配置，支持已发起流程通过监控界面进行人工干预调整等功能。</w:t>
            </w:r>
          </w:p>
        </w:tc>
        <w:tc>
          <w:tcPr>
            <w:tcW w:w="641" w:type="pct"/>
            <w:vAlign w:val="center"/>
          </w:tcPr>
          <w:p>
            <w:pPr>
              <w:spacing w:line="360" w:lineRule="auto"/>
              <w:jc w:val="center"/>
              <w:rPr>
                <w:rFonts w:ascii="宋体" w:hAnsi="宋体" w:cs="宋体"/>
                <w:sz w:val="22"/>
                <w:szCs w:val="22"/>
              </w:rPr>
            </w:pPr>
          </w:p>
        </w:tc>
        <w:tc>
          <w:tcPr>
            <w:tcW w:w="355" w:type="pct"/>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485" w:type="pct"/>
            <w:vAlign w:val="center"/>
          </w:tcPr>
          <w:p>
            <w:pPr>
              <w:spacing w:line="360" w:lineRule="auto"/>
              <w:jc w:val="center"/>
              <w:rPr>
                <w:rFonts w:ascii="宋体" w:hAnsi="宋体" w:cs="宋体"/>
                <w:sz w:val="22"/>
                <w:szCs w:val="22"/>
              </w:rPr>
            </w:pPr>
            <w:r>
              <w:rPr>
                <w:rFonts w:hint="eastAsia" w:ascii="宋体" w:hAnsi="宋体" w:cs="宋体"/>
                <w:sz w:val="22"/>
                <w:szCs w:val="22"/>
              </w:rPr>
              <w:t>5</w:t>
            </w:r>
          </w:p>
        </w:tc>
        <w:tc>
          <w:tcPr>
            <w:tcW w:w="877" w:type="pct"/>
            <w:vAlign w:val="center"/>
          </w:tcPr>
          <w:p>
            <w:pPr>
              <w:pStyle w:val="5"/>
              <w:numPr>
                <w:ilvl w:val="2"/>
                <w:numId w:val="107"/>
              </w:numPr>
              <w:snapToGrid w:val="0"/>
              <w:spacing w:before="0" w:after="0" w:line="360" w:lineRule="auto"/>
              <w:rPr>
                <w:rFonts w:ascii="宋体" w:hAnsi="宋体" w:cs="宋体"/>
                <w:sz w:val="22"/>
                <w:szCs w:val="22"/>
              </w:rPr>
            </w:pPr>
            <w:r>
              <w:rPr>
                <w:rFonts w:hint="eastAsia" w:ascii="宋体" w:hAnsi="宋体" w:cs="宋体"/>
                <w:bCs w:val="0"/>
                <w:sz w:val="22"/>
                <w:szCs w:val="22"/>
              </w:rPr>
              <w:t>服务器环境要求</w:t>
            </w:r>
          </w:p>
        </w:tc>
        <w:tc>
          <w:tcPr>
            <w:tcW w:w="2251"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0" w:firstLineChars="0"/>
              <w:textAlignment w:val="auto"/>
              <w:rPr>
                <w:rFonts w:ascii="宋体" w:hAnsi="宋体" w:cs="宋体"/>
                <w:sz w:val="22"/>
                <w:szCs w:val="22"/>
              </w:rPr>
            </w:pPr>
            <w:r>
              <w:rPr>
                <w:rFonts w:hint="eastAsia" w:ascii="宋体" w:hAnsi="宋体" w:cs="宋体"/>
                <w:sz w:val="22"/>
                <w:szCs w:val="22"/>
              </w:rPr>
              <w:t>该应用为交投数据中心私有云部署，系统应支持容器化部署，符合交投信息化管理规范。投标人需提出硬件支撑要求。</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0" w:firstLineChars="0"/>
              <w:textAlignment w:val="auto"/>
              <w:rPr>
                <w:rFonts w:ascii="宋体" w:hAnsi="宋体" w:cs="宋体"/>
                <w:sz w:val="22"/>
                <w:szCs w:val="22"/>
              </w:rPr>
            </w:pPr>
            <w:r>
              <w:rPr>
                <w:rFonts w:hint="eastAsia" w:ascii="宋体" w:hAnsi="宋体" w:cs="宋体"/>
                <w:sz w:val="22"/>
                <w:szCs w:val="22"/>
              </w:rPr>
              <w:t>数据库：Mysql</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0" w:firstLineChars="0"/>
              <w:textAlignment w:val="auto"/>
              <w:rPr>
                <w:rFonts w:ascii="宋体" w:hAnsi="宋体" w:cs="宋体"/>
                <w:sz w:val="22"/>
                <w:szCs w:val="22"/>
              </w:rPr>
            </w:pPr>
            <w:r>
              <w:rPr>
                <w:rFonts w:hint="eastAsia" w:ascii="宋体" w:hAnsi="宋体" w:cs="宋体"/>
                <w:sz w:val="22"/>
                <w:szCs w:val="22"/>
              </w:rPr>
              <w:t>操作系统：Linux</w:t>
            </w:r>
          </w:p>
        </w:tc>
        <w:tc>
          <w:tcPr>
            <w:tcW w:w="641" w:type="pct"/>
            <w:vAlign w:val="center"/>
          </w:tcPr>
          <w:p>
            <w:pPr>
              <w:spacing w:line="360" w:lineRule="auto"/>
              <w:jc w:val="center"/>
              <w:rPr>
                <w:rFonts w:ascii="宋体" w:hAnsi="宋体" w:cs="宋体"/>
                <w:sz w:val="22"/>
                <w:szCs w:val="22"/>
              </w:rPr>
            </w:pPr>
          </w:p>
        </w:tc>
        <w:tc>
          <w:tcPr>
            <w:tcW w:w="355" w:type="pct"/>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485" w:type="pct"/>
            <w:vAlign w:val="center"/>
          </w:tcPr>
          <w:p>
            <w:pPr>
              <w:spacing w:line="360" w:lineRule="auto"/>
              <w:jc w:val="center"/>
              <w:rPr>
                <w:rFonts w:ascii="宋体" w:hAnsi="宋体" w:cs="宋体"/>
                <w:sz w:val="22"/>
                <w:szCs w:val="22"/>
              </w:rPr>
            </w:pPr>
            <w:r>
              <w:rPr>
                <w:rFonts w:hint="eastAsia" w:ascii="宋体" w:hAnsi="宋体" w:cs="宋体"/>
                <w:sz w:val="22"/>
                <w:szCs w:val="22"/>
              </w:rPr>
              <w:t>6</w:t>
            </w:r>
          </w:p>
        </w:tc>
        <w:tc>
          <w:tcPr>
            <w:tcW w:w="877" w:type="pct"/>
            <w:vAlign w:val="center"/>
          </w:tcPr>
          <w:p>
            <w:pPr>
              <w:spacing w:line="360" w:lineRule="auto"/>
              <w:ind w:left="663" w:hanging="663" w:hangingChars="300"/>
              <w:rPr>
                <w:rFonts w:ascii="宋体" w:hAnsi="宋体" w:cs="宋体"/>
                <w:sz w:val="22"/>
                <w:szCs w:val="22"/>
              </w:rPr>
            </w:pPr>
            <w:r>
              <w:rPr>
                <w:rFonts w:hint="eastAsia" w:ascii="宋体" w:hAnsi="宋体" w:cs="宋体"/>
                <w:b/>
                <w:sz w:val="22"/>
                <w:szCs w:val="22"/>
              </w:rPr>
              <w:t>1.5.5.接口预留要求</w:t>
            </w:r>
          </w:p>
        </w:tc>
        <w:tc>
          <w:tcPr>
            <w:tcW w:w="2251"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cs="宋体"/>
                <w:b w:val="0"/>
                <w:bCs w:val="0"/>
                <w:kern w:val="0"/>
                <w:sz w:val="22"/>
                <w:szCs w:val="22"/>
              </w:rPr>
            </w:pPr>
            <w:r>
              <w:rPr>
                <w:rFonts w:hint="eastAsia" w:ascii="宋体" w:hAnsi="宋体" w:cs="宋体"/>
                <w:b/>
                <w:bCs/>
                <w:kern w:val="0"/>
                <w:sz w:val="22"/>
                <w:szCs w:val="22"/>
              </w:rPr>
              <w:t>1）数据接口：</w:t>
            </w:r>
            <w:r>
              <w:rPr>
                <w:rFonts w:hint="eastAsia" w:ascii="宋体" w:hAnsi="宋体" w:cs="宋体"/>
                <w:color w:val="auto"/>
                <w:kern w:val="2"/>
                <w:sz w:val="22"/>
                <w:szCs w:val="22"/>
              </w:rPr>
              <w:t>考虑到系统的可扩展性和技术储备,需要预留一定数量的接口</w:t>
            </w:r>
            <w:r>
              <w:rPr>
                <w:rFonts w:hint="eastAsia" w:ascii="宋体" w:hAnsi="宋体" w:cs="宋体"/>
                <w:color w:val="auto"/>
                <w:kern w:val="2"/>
                <w:sz w:val="22"/>
                <w:szCs w:val="22"/>
                <w:lang w:eastAsia="zh-CN"/>
              </w:rPr>
              <w:t>（</w:t>
            </w:r>
            <w:r>
              <w:rPr>
                <w:rFonts w:hint="eastAsia" w:ascii="宋体" w:hAnsi="宋体" w:cs="宋体"/>
                <w:color w:val="auto"/>
                <w:kern w:val="2"/>
                <w:sz w:val="22"/>
                <w:szCs w:val="22"/>
                <w:lang w:val="en-US" w:eastAsia="zh-CN"/>
              </w:rPr>
              <w:t>总数不超过10个</w:t>
            </w:r>
            <w:r>
              <w:rPr>
                <w:rFonts w:hint="eastAsia" w:ascii="宋体" w:hAnsi="宋体" w:cs="宋体"/>
                <w:color w:val="auto"/>
                <w:kern w:val="2"/>
                <w:sz w:val="22"/>
                <w:szCs w:val="22"/>
                <w:lang w:eastAsia="zh-CN"/>
              </w:rPr>
              <w:t>）</w:t>
            </w:r>
            <w:r>
              <w:rPr>
                <w:rFonts w:hint="eastAsia" w:ascii="宋体" w:hAnsi="宋体" w:cs="宋体"/>
                <w:b w:val="0"/>
                <w:bCs w:val="0"/>
                <w:kern w:val="0"/>
                <w:sz w:val="22"/>
                <w:szCs w:val="22"/>
              </w:rPr>
              <w:t>，支持其他系统对接数据。</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ascii="宋体" w:hAnsi="宋体" w:cs="宋体"/>
                <w:sz w:val="22"/>
                <w:szCs w:val="22"/>
              </w:rPr>
            </w:pPr>
            <w:r>
              <w:rPr>
                <w:rFonts w:hint="eastAsia" w:ascii="宋体" w:hAnsi="宋体" w:cs="宋体"/>
                <w:b/>
                <w:bCs/>
                <w:kern w:val="0"/>
                <w:sz w:val="22"/>
                <w:szCs w:val="22"/>
              </w:rPr>
              <w:t>2）二次开发：</w:t>
            </w:r>
            <w:r>
              <w:rPr>
                <w:rFonts w:hint="eastAsia" w:ascii="宋体" w:hAnsi="宋体" w:cs="宋体"/>
                <w:b w:val="0"/>
                <w:bCs w:val="0"/>
                <w:kern w:val="0"/>
                <w:sz w:val="22"/>
                <w:szCs w:val="22"/>
              </w:rPr>
              <w:t>根据业务需求提供接口</w:t>
            </w:r>
            <w:r>
              <w:rPr>
                <w:rFonts w:hint="eastAsia" w:ascii="宋体" w:hAnsi="宋体" w:cs="宋体"/>
                <w:b w:val="0"/>
                <w:bCs w:val="0"/>
                <w:kern w:val="0"/>
                <w:sz w:val="22"/>
                <w:szCs w:val="22"/>
                <w:lang w:val="en-US" w:eastAsia="zh-CN"/>
              </w:rPr>
              <w:t>二次</w:t>
            </w:r>
            <w:r>
              <w:rPr>
                <w:rFonts w:hint="eastAsia" w:ascii="宋体" w:hAnsi="宋体" w:cs="宋体"/>
                <w:b w:val="0"/>
                <w:bCs w:val="0"/>
                <w:kern w:val="0"/>
                <w:sz w:val="22"/>
                <w:szCs w:val="22"/>
              </w:rPr>
              <w:t>开发</w:t>
            </w:r>
            <w:r>
              <w:rPr>
                <w:rFonts w:hint="eastAsia" w:ascii="宋体" w:hAnsi="宋体" w:cs="宋体"/>
                <w:b w:val="0"/>
                <w:bCs w:val="0"/>
                <w:kern w:val="0"/>
                <w:sz w:val="22"/>
                <w:szCs w:val="22"/>
                <w:lang w:val="en-US" w:eastAsia="zh-CN"/>
              </w:rPr>
              <w:t>改造</w:t>
            </w:r>
            <w:r>
              <w:rPr>
                <w:rFonts w:hint="eastAsia" w:ascii="宋体" w:hAnsi="宋体" w:cs="宋体"/>
                <w:b w:val="0"/>
                <w:bCs w:val="0"/>
                <w:kern w:val="0"/>
                <w:sz w:val="22"/>
                <w:szCs w:val="22"/>
              </w:rPr>
              <w:t>服务</w:t>
            </w:r>
            <w:r>
              <w:rPr>
                <w:rFonts w:hint="eastAsia" w:ascii="宋体" w:hAnsi="宋体" w:cs="宋体"/>
                <w:b w:val="0"/>
                <w:bCs w:val="0"/>
                <w:kern w:val="0"/>
                <w:sz w:val="22"/>
                <w:szCs w:val="22"/>
                <w:lang w:eastAsia="zh-CN"/>
              </w:rPr>
              <w:t>（</w:t>
            </w:r>
            <w:r>
              <w:rPr>
                <w:rFonts w:hint="eastAsia" w:ascii="宋体" w:hAnsi="宋体" w:cs="宋体"/>
                <w:b w:val="0"/>
                <w:bCs w:val="0"/>
                <w:kern w:val="0"/>
                <w:sz w:val="22"/>
                <w:szCs w:val="22"/>
                <w:lang w:val="en-US" w:eastAsia="zh-CN"/>
              </w:rPr>
              <w:t>二次接口开发不超过15次</w:t>
            </w:r>
            <w:r>
              <w:rPr>
                <w:rFonts w:hint="eastAsia" w:ascii="宋体" w:hAnsi="宋体" w:cs="宋体"/>
                <w:b w:val="0"/>
                <w:bCs w:val="0"/>
                <w:kern w:val="0"/>
                <w:sz w:val="22"/>
                <w:szCs w:val="22"/>
                <w:lang w:eastAsia="zh-CN"/>
              </w:rPr>
              <w:t>）</w:t>
            </w:r>
            <w:r>
              <w:rPr>
                <w:rFonts w:hint="eastAsia" w:ascii="宋体" w:hAnsi="宋体" w:cs="宋体"/>
                <w:b w:val="0"/>
                <w:bCs w:val="0"/>
                <w:kern w:val="0"/>
                <w:sz w:val="22"/>
                <w:szCs w:val="22"/>
              </w:rPr>
              <w:t>。</w:t>
            </w:r>
          </w:p>
        </w:tc>
        <w:tc>
          <w:tcPr>
            <w:tcW w:w="641" w:type="pct"/>
            <w:vAlign w:val="center"/>
          </w:tcPr>
          <w:p>
            <w:pPr>
              <w:spacing w:line="360" w:lineRule="auto"/>
              <w:jc w:val="center"/>
              <w:rPr>
                <w:rFonts w:ascii="宋体" w:hAnsi="宋体" w:cs="宋体"/>
                <w:sz w:val="22"/>
                <w:szCs w:val="22"/>
              </w:rPr>
            </w:pPr>
          </w:p>
        </w:tc>
        <w:tc>
          <w:tcPr>
            <w:tcW w:w="355" w:type="pct"/>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485" w:type="pct"/>
            <w:vAlign w:val="center"/>
          </w:tcPr>
          <w:p>
            <w:pPr>
              <w:spacing w:line="360" w:lineRule="auto"/>
              <w:jc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7</w:t>
            </w:r>
          </w:p>
        </w:tc>
        <w:tc>
          <w:tcPr>
            <w:tcW w:w="877" w:type="pct"/>
            <w:vAlign w:val="center"/>
          </w:tcPr>
          <w:p>
            <w:pPr>
              <w:spacing w:line="360" w:lineRule="auto"/>
              <w:ind w:left="663" w:hanging="663" w:hangingChars="300"/>
              <w:rPr>
                <w:rFonts w:hint="eastAsia" w:ascii="宋体" w:hAnsi="宋体" w:cs="宋体"/>
                <w:b/>
                <w:sz w:val="22"/>
                <w:szCs w:val="22"/>
              </w:rPr>
            </w:pPr>
            <w:r>
              <w:rPr>
                <w:rFonts w:hint="eastAsia" w:ascii="宋体" w:hAnsi="宋体" w:cs="宋体"/>
                <w:b/>
                <w:sz w:val="22"/>
                <w:szCs w:val="22"/>
              </w:rPr>
              <w:t>1.5.6.电子招标投标系统（EBS）三星级认证要求</w:t>
            </w:r>
          </w:p>
        </w:tc>
        <w:tc>
          <w:tcPr>
            <w:tcW w:w="2251"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cs="宋体"/>
                <w:b/>
                <w:bCs/>
                <w:kern w:val="0"/>
                <w:sz w:val="22"/>
                <w:szCs w:val="22"/>
              </w:rPr>
            </w:pPr>
            <w:r>
              <w:rPr>
                <w:rFonts w:hint="eastAsia" w:ascii="宋体" w:hAnsi="宋体" w:cs="宋体"/>
                <w:sz w:val="22"/>
                <w:szCs w:val="22"/>
                <w:shd w:val="clear" w:color="auto" w:fill="FFFFFF"/>
              </w:rPr>
              <w:t>系统功能、技术安全、数据交互、合法合规、流程管理等方面均需达到中国网络安全审查技术与认证中心电子招标投标系统（EBS）三星级认证的标准；中标人须配合招标人完成“电子招标投标系统（EBS）三星级认证”工作。</w:t>
            </w:r>
          </w:p>
        </w:tc>
        <w:tc>
          <w:tcPr>
            <w:tcW w:w="641" w:type="pct"/>
            <w:vAlign w:val="center"/>
          </w:tcPr>
          <w:p>
            <w:pPr>
              <w:spacing w:line="360" w:lineRule="auto"/>
              <w:jc w:val="center"/>
              <w:rPr>
                <w:rFonts w:ascii="宋体" w:hAnsi="宋体" w:cs="宋体"/>
                <w:sz w:val="22"/>
                <w:szCs w:val="22"/>
              </w:rPr>
            </w:pPr>
          </w:p>
        </w:tc>
        <w:tc>
          <w:tcPr>
            <w:tcW w:w="355" w:type="pct"/>
            <w:vAlign w:val="center"/>
          </w:tcPr>
          <w:p>
            <w:pPr>
              <w:spacing w:line="360" w:lineRule="auto"/>
              <w:jc w:val="center"/>
              <w:rPr>
                <w:rFonts w:ascii="宋体" w:hAnsi="宋体" w:cs="宋体"/>
                <w:sz w:val="22"/>
                <w:szCs w:val="22"/>
              </w:rPr>
            </w:pPr>
          </w:p>
        </w:tc>
      </w:tr>
    </w:tbl>
    <w:p>
      <w:pPr>
        <w:spacing w:line="360" w:lineRule="auto"/>
        <w:rPr>
          <w:rFonts w:ascii="宋体" w:hAnsi="宋体" w:cs="宋体"/>
          <w:sz w:val="22"/>
          <w:szCs w:val="22"/>
        </w:rPr>
      </w:pPr>
      <w:r>
        <w:rPr>
          <w:rFonts w:hint="eastAsia" w:ascii="宋体" w:hAnsi="宋体" w:cs="宋体"/>
          <w:sz w:val="22"/>
          <w:szCs w:val="22"/>
        </w:rPr>
        <w:t>注：</w:t>
      </w:r>
    </w:p>
    <w:p>
      <w:pPr>
        <w:spacing w:line="360" w:lineRule="auto"/>
        <w:ind w:left="550" w:hanging="550" w:hangingChars="250"/>
        <w:rPr>
          <w:rFonts w:ascii="宋体" w:hAnsi="宋体" w:cs="宋体"/>
          <w:sz w:val="22"/>
          <w:szCs w:val="22"/>
        </w:rPr>
      </w:pPr>
      <w:r>
        <w:rPr>
          <w:rFonts w:hint="eastAsia" w:ascii="宋体" w:hAnsi="宋体" w:cs="宋体"/>
          <w:sz w:val="22"/>
          <w:szCs w:val="22"/>
        </w:rPr>
        <w:t>（1）</w:t>
      </w:r>
      <w:r>
        <w:rPr>
          <w:rFonts w:hint="eastAsia" w:ascii="宋体" w:hAnsi="宋体" w:cs="宋体"/>
          <w:b/>
          <w:bCs/>
          <w:sz w:val="22"/>
          <w:szCs w:val="22"/>
          <w:u w:val="single"/>
        </w:rPr>
        <w:t>凡标有“★”的地方均被视为实质性内容或重要的技术指标要求或性能要求。投标人要特别加以注意，必须对此回答并完全满足这些要求，否则若有一项带“★”的指标未响应或不满足，将按无效投标处理。</w:t>
      </w:r>
    </w:p>
    <w:p>
      <w:pPr>
        <w:spacing w:line="360" w:lineRule="auto"/>
        <w:ind w:left="550" w:hanging="550" w:hangingChars="250"/>
        <w:rPr>
          <w:rFonts w:ascii="宋体" w:hAnsi="宋体" w:cs="宋体"/>
          <w:sz w:val="22"/>
          <w:szCs w:val="22"/>
        </w:rPr>
      </w:pPr>
      <w:r>
        <w:rPr>
          <w:rFonts w:hint="eastAsia" w:ascii="宋体" w:hAnsi="宋体" w:cs="宋体"/>
          <w:sz w:val="22"/>
          <w:szCs w:val="22"/>
        </w:rPr>
        <w:t>（2）“投标文件对应内容”填写“★”内容的响应内容，“响应情况”填写“完全响应”。</w:t>
      </w:r>
    </w:p>
    <w:p>
      <w:pPr>
        <w:spacing w:line="360" w:lineRule="auto"/>
        <w:ind w:firstLine="4840" w:firstLineChars="2200"/>
        <w:rPr>
          <w:rFonts w:ascii="宋体" w:hAnsi="宋体" w:cs="宋体"/>
          <w:sz w:val="22"/>
          <w:szCs w:val="22"/>
        </w:rPr>
      </w:pPr>
    </w:p>
    <w:p>
      <w:pPr>
        <w:spacing w:line="360" w:lineRule="auto"/>
        <w:ind w:firstLine="4840" w:firstLineChars="2200"/>
        <w:rPr>
          <w:rFonts w:ascii="宋体" w:hAnsi="宋体" w:cs="宋体"/>
          <w:sz w:val="22"/>
          <w:szCs w:val="22"/>
          <w:u w:val="single"/>
        </w:rPr>
      </w:pPr>
      <w:r>
        <w:rPr>
          <w:rFonts w:hint="eastAsia" w:ascii="宋体" w:hAnsi="宋体" w:cs="宋体"/>
          <w:sz w:val="22"/>
          <w:szCs w:val="22"/>
        </w:rPr>
        <w:t xml:space="preserve">投标人名称（加盖公章）： </w:t>
      </w:r>
      <w:r>
        <w:rPr>
          <w:rFonts w:hint="eastAsia" w:ascii="宋体" w:hAnsi="宋体" w:cs="宋体"/>
          <w:sz w:val="22"/>
          <w:szCs w:val="22"/>
          <w:u w:val="single"/>
        </w:rPr>
        <w:t xml:space="preserve">                </w:t>
      </w:r>
    </w:p>
    <w:p>
      <w:pPr>
        <w:pStyle w:val="47"/>
        <w:spacing w:line="360" w:lineRule="auto"/>
        <w:ind w:left="3969" w:leftChars="1890" w:firstLine="891" w:firstLineChars="405"/>
        <w:rPr>
          <w:rFonts w:ascii="宋体" w:eastAsia="宋体" w:cs="宋体"/>
          <w:sz w:val="22"/>
          <w:szCs w:val="22"/>
          <w:u w:val="single"/>
        </w:rPr>
      </w:pPr>
      <w:r>
        <w:rPr>
          <w:rFonts w:hint="eastAsia" w:ascii="宋体" w:eastAsia="宋体" w:cs="宋体"/>
          <w:sz w:val="22"/>
          <w:szCs w:val="22"/>
        </w:rPr>
        <w:t>日  期：</w:t>
      </w:r>
      <w:r>
        <w:rPr>
          <w:rFonts w:hint="eastAsia" w:ascii="宋体" w:eastAsia="宋体" w:cs="宋体"/>
          <w:sz w:val="22"/>
          <w:szCs w:val="22"/>
          <w:u w:val="single"/>
        </w:rPr>
        <w:t xml:space="preserve">        年         月       日</w:t>
      </w:r>
    </w:p>
    <w:p>
      <w:pPr>
        <w:spacing w:line="360" w:lineRule="auto"/>
        <w:jc w:val="center"/>
        <w:rPr>
          <w:rFonts w:hint="eastAsia" w:ascii="宋体" w:hAnsi="宋体" w:cs="宋体"/>
          <w:sz w:val="22"/>
          <w:szCs w:val="22"/>
        </w:rPr>
      </w:pPr>
      <w:bookmarkStart w:id="1312" w:name="_Toc110411551"/>
      <w:bookmarkStart w:id="1313" w:name="_Toc10400"/>
      <w:bookmarkStart w:id="1314" w:name="_Toc25"/>
      <w:r>
        <w:rPr>
          <w:rFonts w:hint="eastAsia" w:ascii="宋体" w:hAnsi="宋体" w:cs="宋体"/>
          <w:sz w:val="22"/>
          <w:szCs w:val="22"/>
        </w:rPr>
        <w:br w:type="page"/>
      </w:r>
    </w:p>
    <w:p>
      <w:pPr>
        <w:pStyle w:val="5"/>
        <w:spacing w:line="360" w:lineRule="auto"/>
        <w:jc w:val="center"/>
        <w:rPr>
          <w:rFonts w:ascii="宋体" w:hAnsi="宋体" w:cs="宋体"/>
          <w:sz w:val="22"/>
          <w:szCs w:val="22"/>
        </w:rPr>
      </w:pPr>
      <w:r>
        <w:rPr>
          <w:rFonts w:hint="eastAsia" w:ascii="宋体" w:hAnsi="宋体" w:cs="宋体"/>
          <w:sz w:val="22"/>
          <w:szCs w:val="22"/>
        </w:rPr>
        <w:t>14.1</w:t>
      </w:r>
      <w:r>
        <w:rPr>
          <w:rFonts w:hint="eastAsia" w:ascii="宋体" w:hAnsi="宋体"/>
          <w:sz w:val="22"/>
          <w:szCs w:val="22"/>
        </w:rPr>
        <w:t>、▲</w:t>
      </w:r>
      <w:r>
        <w:rPr>
          <w:rFonts w:hint="eastAsia" w:ascii="宋体" w:hAnsi="宋体" w:cs="宋体"/>
          <w:sz w:val="22"/>
          <w:szCs w:val="22"/>
        </w:rPr>
        <w:t>号条款响应表（如需）</w:t>
      </w:r>
      <w:bookmarkEnd w:id="1312"/>
      <w:bookmarkEnd w:id="1313"/>
      <w:bookmarkEnd w:id="1314"/>
    </w:p>
    <w:p>
      <w:pPr>
        <w:adjustRightInd w:val="0"/>
        <w:spacing w:line="360" w:lineRule="auto"/>
        <w:rPr>
          <w:rFonts w:ascii="宋体" w:hAnsi="宋体" w:cs="宋体"/>
          <w:sz w:val="22"/>
          <w:szCs w:val="22"/>
        </w:rPr>
      </w:pPr>
      <w:r>
        <w:rPr>
          <w:rFonts w:hint="eastAsia" w:ascii="宋体" w:hAnsi="宋体" w:cs="宋体"/>
          <w:sz w:val="22"/>
          <w:szCs w:val="22"/>
        </w:rPr>
        <w:t>项目名称：</w:t>
      </w:r>
      <w:r>
        <w:rPr>
          <w:rFonts w:hint="eastAsia" w:ascii="宋体" w:hAnsi="宋体" w:cs="宋体"/>
          <w:sz w:val="22"/>
          <w:szCs w:val="22"/>
          <w:lang w:eastAsia="zh-CN"/>
        </w:rPr>
        <w:t>东莞市交通投资集团有限公司供应链服务平台项目</w:t>
      </w:r>
      <w:r>
        <w:rPr>
          <w:rFonts w:hint="eastAsia" w:ascii="宋体" w:hAnsi="宋体" w:cs="宋体"/>
          <w:sz w:val="22"/>
          <w:szCs w:val="22"/>
        </w:rPr>
        <w:t xml:space="preserve">  </w:t>
      </w:r>
    </w:p>
    <w:p>
      <w:pPr>
        <w:adjustRightInd w:val="0"/>
        <w:spacing w:line="360" w:lineRule="auto"/>
        <w:rPr>
          <w:rFonts w:ascii="宋体" w:hAnsi="宋体" w:cs="宋体"/>
          <w:sz w:val="22"/>
          <w:szCs w:val="22"/>
        </w:rPr>
      </w:pPr>
      <w:r>
        <w:rPr>
          <w:rFonts w:hint="eastAsia" w:ascii="宋体" w:hAnsi="宋体" w:cs="宋体"/>
          <w:sz w:val="22"/>
          <w:szCs w:val="22"/>
        </w:rPr>
        <w:t xml:space="preserve">项目编号：SL-CG2022028        </w:t>
      </w:r>
    </w:p>
    <w:tbl>
      <w:tblPr>
        <w:tblStyle w:val="3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1296"/>
        <w:gridCol w:w="2469"/>
        <w:gridCol w:w="2678"/>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26" w:type="pct"/>
            <w:vMerge w:val="restart"/>
            <w:vAlign w:val="center"/>
          </w:tcPr>
          <w:p>
            <w:pPr>
              <w:spacing w:line="360" w:lineRule="auto"/>
              <w:jc w:val="center"/>
              <w:rPr>
                <w:rFonts w:ascii="宋体" w:hAnsi="宋体" w:cs="宋体"/>
                <w:sz w:val="22"/>
                <w:szCs w:val="22"/>
              </w:rPr>
            </w:pPr>
            <w:r>
              <w:rPr>
                <w:rFonts w:hint="eastAsia" w:ascii="宋体" w:hAnsi="宋体" w:cs="宋体"/>
                <w:sz w:val="22"/>
                <w:szCs w:val="22"/>
              </w:rPr>
              <w:t>序号</w:t>
            </w:r>
          </w:p>
        </w:tc>
        <w:tc>
          <w:tcPr>
            <w:tcW w:w="2037" w:type="pct"/>
            <w:gridSpan w:val="2"/>
            <w:vAlign w:val="center"/>
          </w:tcPr>
          <w:p>
            <w:pPr>
              <w:spacing w:line="360" w:lineRule="auto"/>
              <w:jc w:val="center"/>
              <w:rPr>
                <w:rFonts w:ascii="宋体" w:hAnsi="宋体" w:cs="宋体"/>
                <w:sz w:val="22"/>
                <w:szCs w:val="22"/>
              </w:rPr>
            </w:pPr>
            <w:r>
              <w:rPr>
                <w:rFonts w:hint="eastAsia" w:ascii="宋体" w:hAnsi="宋体" w:cs="宋体"/>
                <w:sz w:val="22"/>
                <w:szCs w:val="22"/>
              </w:rPr>
              <w:t>招标文件要求</w:t>
            </w:r>
          </w:p>
        </w:tc>
        <w:tc>
          <w:tcPr>
            <w:tcW w:w="1449" w:type="pct"/>
            <w:vMerge w:val="restart"/>
            <w:vAlign w:val="center"/>
          </w:tcPr>
          <w:p>
            <w:pPr>
              <w:spacing w:line="360" w:lineRule="auto"/>
              <w:jc w:val="center"/>
              <w:rPr>
                <w:rFonts w:ascii="宋体" w:hAnsi="宋体" w:cs="宋体"/>
                <w:sz w:val="22"/>
                <w:szCs w:val="22"/>
              </w:rPr>
            </w:pPr>
            <w:r>
              <w:rPr>
                <w:rFonts w:hint="eastAsia" w:ascii="宋体" w:hAnsi="宋体" w:cs="宋体"/>
                <w:sz w:val="22"/>
                <w:szCs w:val="22"/>
              </w:rPr>
              <w:t>投标文件对应内容</w:t>
            </w:r>
          </w:p>
        </w:tc>
        <w:tc>
          <w:tcPr>
            <w:tcW w:w="988" w:type="pct"/>
            <w:vMerge w:val="restart"/>
            <w:vAlign w:val="center"/>
          </w:tcPr>
          <w:p>
            <w:pPr>
              <w:spacing w:line="360" w:lineRule="auto"/>
              <w:jc w:val="center"/>
              <w:rPr>
                <w:rFonts w:ascii="宋体" w:hAnsi="宋体" w:cs="宋体"/>
                <w:sz w:val="22"/>
                <w:szCs w:val="22"/>
              </w:rPr>
            </w:pPr>
            <w:r>
              <w:rPr>
                <w:rFonts w:hint="eastAsia" w:ascii="宋体" w:hAnsi="宋体" w:cs="宋体"/>
                <w:sz w:val="22"/>
                <w:szCs w:val="22"/>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26" w:type="pct"/>
            <w:vMerge w:val="continue"/>
            <w:vAlign w:val="center"/>
          </w:tcPr>
          <w:p>
            <w:pPr>
              <w:spacing w:line="360" w:lineRule="auto"/>
              <w:jc w:val="center"/>
              <w:rPr>
                <w:rFonts w:ascii="宋体" w:hAnsi="宋体" w:cs="宋体"/>
                <w:sz w:val="22"/>
                <w:szCs w:val="22"/>
              </w:rPr>
            </w:pPr>
          </w:p>
        </w:tc>
        <w:tc>
          <w:tcPr>
            <w:tcW w:w="701" w:type="pct"/>
            <w:vAlign w:val="center"/>
          </w:tcPr>
          <w:p>
            <w:pPr>
              <w:spacing w:line="360" w:lineRule="auto"/>
              <w:jc w:val="center"/>
              <w:rPr>
                <w:rFonts w:ascii="宋体" w:hAnsi="宋体" w:cs="宋体"/>
                <w:sz w:val="22"/>
                <w:szCs w:val="22"/>
              </w:rPr>
            </w:pPr>
            <w:r>
              <w:rPr>
                <w:rFonts w:hint="eastAsia" w:ascii="宋体" w:hAnsi="宋体" w:cs="宋体"/>
                <w:sz w:val="22"/>
                <w:szCs w:val="22"/>
              </w:rPr>
              <w:t>条款号</w:t>
            </w:r>
          </w:p>
        </w:tc>
        <w:tc>
          <w:tcPr>
            <w:tcW w:w="1336" w:type="pct"/>
            <w:vAlign w:val="center"/>
          </w:tcPr>
          <w:p>
            <w:pPr>
              <w:spacing w:line="360" w:lineRule="auto"/>
              <w:jc w:val="center"/>
              <w:rPr>
                <w:rFonts w:ascii="宋体" w:hAnsi="宋体" w:cs="宋体"/>
                <w:sz w:val="22"/>
                <w:szCs w:val="22"/>
              </w:rPr>
            </w:pPr>
            <w:r>
              <w:rPr>
                <w:rFonts w:hint="eastAsia" w:ascii="宋体" w:hAnsi="宋体" w:cs="宋体"/>
                <w:sz w:val="22"/>
                <w:szCs w:val="22"/>
              </w:rPr>
              <w:t>招标文件要求</w:t>
            </w:r>
          </w:p>
        </w:tc>
        <w:tc>
          <w:tcPr>
            <w:tcW w:w="1449" w:type="pct"/>
            <w:vMerge w:val="continue"/>
            <w:vAlign w:val="center"/>
          </w:tcPr>
          <w:p>
            <w:pPr>
              <w:spacing w:line="360" w:lineRule="auto"/>
              <w:jc w:val="center"/>
              <w:rPr>
                <w:rFonts w:ascii="宋体" w:hAnsi="宋体" w:cs="宋体"/>
                <w:sz w:val="22"/>
                <w:szCs w:val="22"/>
              </w:rPr>
            </w:pPr>
          </w:p>
        </w:tc>
        <w:tc>
          <w:tcPr>
            <w:tcW w:w="988" w:type="pct"/>
            <w:vMerge w:val="continue"/>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trPr>
        <w:tc>
          <w:tcPr>
            <w:tcW w:w="526" w:type="pct"/>
            <w:vAlign w:val="center"/>
          </w:tcPr>
          <w:p>
            <w:pPr>
              <w:spacing w:line="360" w:lineRule="auto"/>
              <w:jc w:val="center"/>
              <w:rPr>
                <w:rFonts w:ascii="宋体" w:hAnsi="宋体" w:cs="宋体"/>
                <w:sz w:val="22"/>
                <w:szCs w:val="22"/>
              </w:rPr>
            </w:pPr>
            <w:r>
              <w:rPr>
                <w:rFonts w:hint="eastAsia" w:ascii="宋体" w:hAnsi="宋体" w:cs="宋体"/>
                <w:sz w:val="22"/>
                <w:szCs w:val="22"/>
              </w:rPr>
              <w:t>1</w:t>
            </w:r>
          </w:p>
        </w:tc>
        <w:tc>
          <w:tcPr>
            <w:tcW w:w="701" w:type="pct"/>
            <w:vAlign w:val="center"/>
          </w:tcPr>
          <w:p>
            <w:pPr>
              <w:spacing w:line="360" w:lineRule="auto"/>
              <w:jc w:val="center"/>
              <w:rPr>
                <w:rFonts w:ascii="宋体" w:hAnsi="宋体" w:cs="宋体"/>
                <w:sz w:val="22"/>
                <w:szCs w:val="22"/>
              </w:rPr>
            </w:pPr>
          </w:p>
        </w:tc>
        <w:tc>
          <w:tcPr>
            <w:tcW w:w="1336" w:type="pct"/>
            <w:vAlign w:val="center"/>
          </w:tcPr>
          <w:p>
            <w:pPr>
              <w:spacing w:line="360" w:lineRule="auto"/>
              <w:jc w:val="center"/>
              <w:rPr>
                <w:rFonts w:ascii="宋体" w:hAnsi="宋体" w:cs="宋体"/>
                <w:sz w:val="22"/>
                <w:szCs w:val="22"/>
              </w:rPr>
            </w:pPr>
          </w:p>
        </w:tc>
        <w:tc>
          <w:tcPr>
            <w:tcW w:w="1449" w:type="pct"/>
            <w:vAlign w:val="center"/>
          </w:tcPr>
          <w:p>
            <w:pPr>
              <w:spacing w:line="360" w:lineRule="auto"/>
              <w:jc w:val="center"/>
              <w:rPr>
                <w:rFonts w:ascii="宋体" w:hAnsi="宋体" w:cs="宋体"/>
                <w:sz w:val="22"/>
                <w:szCs w:val="22"/>
              </w:rPr>
            </w:pPr>
          </w:p>
        </w:tc>
        <w:tc>
          <w:tcPr>
            <w:tcW w:w="988" w:type="pct"/>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1" w:hRule="atLeast"/>
        </w:trPr>
        <w:tc>
          <w:tcPr>
            <w:tcW w:w="526" w:type="pct"/>
            <w:vAlign w:val="center"/>
          </w:tcPr>
          <w:p>
            <w:pPr>
              <w:spacing w:line="360" w:lineRule="auto"/>
              <w:jc w:val="center"/>
              <w:rPr>
                <w:rFonts w:ascii="宋体" w:hAnsi="宋体" w:cs="宋体"/>
                <w:sz w:val="22"/>
                <w:szCs w:val="22"/>
              </w:rPr>
            </w:pPr>
            <w:r>
              <w:rPr>
                <w:rFonts w:hint="eastAsia" w:ascii="宋体" w:hAnsi="宋体" w:cs="宋体"/>
                <w:sz w:val="22"/>
                <w:szCs w:val="22"/>
              </w:rPr>
              <w:t>2</w:t>
            </w:r>
          </w:p>
        </w:tc>
        <w:tc>
          <w:tcPr>
            <w:tcW w:w="701" w:type="pct"/>
            <w:vAlign w:val="center"/>
          </w:tcPr>
          <w:p>
            <w:pPr>
              <w:spacing w:line="360" w:lineRule="auto"/>
              <w:jc w:val="center"/>
              <w:rPr>
                <w:rFonts w:ascii="宋体" w:hAnsi="宋体" w:cs="宋体"/>
                <w:sz w:val="22"/>
                <w:szCs w:val="22"/>
              </w:rPr>
            </w:pPr>
          </w:p>
        </w:tc>
        <w:tc>
          <w:tcPr>
            <w:tcW w:w="1336" w:type="pct"/>
            <w:vAlign w:val="center"/>
          </w:tcPr>
          <w:p>
            <w:pPr>
              <w:spacing w:line="360" w:lineRule="auto"/>
              <w:jc w:val="center"/>
              <w:rPr>
                <w:rFonts w:ascii="宋体" w:hAnsi="宋体" w:cs="宋体"/>
                <w:sz w:val="22"/>
                <w:szCs w:val="22"/>
              </w:rPr>
            </w:pPr>
          </w:p>
        </w:tc>
        <w:tc>
          <w:tcPr>
            <w:tcW w:w="1449" w:type="pct"/>
            <w:vAlign w:val="center"/>
          </w:tcPr>
          <w:p>
            <w:pPr>
              <w:spacing w:line="360" w:lineRule="auto"/>
              <w:jc w:val="center"/>
              <w:rPr>
                <w:rFonts w:ascii="宋体" w:hAnsi="宋体" w:cs="宋体"/>
                <w:sz w:val="22"/>
                <w:szCs w:val="22"/>
              </w:rPr>
            </w:pPr>
          </w:p>
        </w:tc>
        <w:tc>
          <w:tcPr>
            <w:tcW w:w="988" w:type="pct"/>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26" w:type="pct"/>
            <w:vAlign w:val="center"/>
          </w:tcPr>
          <w:p>
            <w:pPr>
              <w:spacing w:line="360" w:lineRule="auto"/>
              <w:jc w:val="center"/>
              <w:rPr>
                <w:rFonts w:ascii="宋体" w:hAnsi="宋体" w:cs="宋体"/>
                <w:sz w:val="22"/>
                <w:szCs w:val="22"/>
              </w:rPr>
            </w:pPr>
            <w:r>
              <w:rPr>
                <w:rFonts w:hint="eastAsia" w:ascii="宋体" w:hAnsi="宋体" w:cs="宋体"/>
                <w:sz w:val="22"/>
                <w:szCs w:val="22"/>
              </w:rPr>
              <w:t>3</w:t>
            </w:r>
          </w:p>
        </w:tc>
        <w:tc>
          <w:tcPr>
            <w:tcW w:w="701" w:type="pct"/>
            <w:vAlign w:val="center"/>
          </w:tcPr>
          <w:p>
            <w:pPr>
              <w:spacing w:line="360" w:lineRule="auto"/>
              <w:jc w:val="center"/>
              <w:rPr>
                <w:rFonts w:ascii="宋体" w:hAnsi="宋体" w:cs="宋体"/>
                <w:sz w:val="22"/>
                <w:szCs w:val="22"/>
              </w:rPr>
            </w:pPr>
          </w:p>
        </w:tc>
        <w:tc>
          <w:tcPr>
            <w:tcW w:w="1336" w:type="pct"/>
            <w:vAlign w:val="center"/>
          </w:tcPr>
          <w:p>
            <w:pPr>
              <w:spacing w:line="360" w:lineRule="auto"/>
              <w:jc w:val="center"/>
              <w:rPr>
                <w:rFonts w:ascii="宋体" w:hAnsi="宋体" w:cs="宋体"/>
                <w:sz w:val="22"/>
                <w:szCs w:val="22"/>
              </w:rPr>
            </w:pPr>
          </w:p>
        </w:tc>
        <w:tc>
          <w:tcPr>
            <w:tcW w:w="1449" w:type="pct"/>
            <w:vAlign w:val="center"/>
          </w:tcPr>
          <w:p>
            <w:pPr>
              <w:spacing w:line="360" w:lineRule="auto"/>
              <w:jc w:val="center"/>
              <w:rPr>
                <w:rFonts w:ascii="宋体" w:hAnsi="宋体" w:cs="宋体"/>
                <w:sz w:val="22"/>
                <w:szCs w:val="22"/>
              </w:rPr>
            </w:pPr>
          </w:p>
        </w:tc>
        <w:tc>
          <w:tcPr>
            <w:tcW w:w="988" w:type="pct"/>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26" w:type="pct"/>
            <w:vAlign w:val="center"/>
          </w:tcPr>
          <w:p>
            <w:pPr>
              <w:spacing w:line="360" w:lineRule="auto"/>
              <w:jc w:val="center"/>
              <w:rPr>
                <w:rFonts w:ascii="宋体" w:hAnsi="宋体" w:cs="宋体"/>
                <w:sz w:val="22"/>
                <w:szCs w:val="22"/>
              </w:rPr>
            </w:pPr>
            <w:r>
              <w:rPr>
                <w:rFonts w:hint="eastAsia" w:ascii="宋体" w:hAnsi="宋体" w:cs="宋体"/>
                <w:sz w:val="22"/>
                <w:szCs w:val="22"/>
              </w:rPr>
              <w:t>4</w:t>
            </w:r>
          </w:p>
        </w:tc>
        <w:tc>
          <w:tcPr>
            <w:tcW w:w="701" w:type="pct"/>
            <w:vAlign w:val="center"/>
          </w:tcPr>
          <w:p>
            <w:pPr>
              <w:spacing w:line="360" w:lineRule="auto"/>
              <w:jc w:val="center"/>
              <w:rPr>
                <w:rFonts w:ascii="宋体" w:hAnsi="宋体" w:cs="宋体"/>
                <w:sz w:val="22"/>
                <w:szCs w:val="22"/>
              </w:rPr>
            </w:pPr>
          </w:p>
        </w:tc>
        <w:tc>
          <w:tcPr>
            <w:tcW w:w="1336" w:type="pct"/>
            <w:vAlign w:val="center"/>
          </w:tcPr>
          <w:p>
            <w:pPr>
              <w:spacing w:line="360" w:lineRule="auto"/>
              <w:jc w:val="center"/>
              <w:rPr>
                <w:rFonts w:ascii="宋体" w:hAnsi="宋体" w:cs="宋体"/>
                <w:sz w:val="22"/>
                <w:szCs w:val="22"/>
              </w:rPr>
            </w:pPr>
          </w:p>
        </w:tc>
        <w:tc>
          <w:tcPr>
            <w:tcW w:w="1449" w:type="pct"/>
            <w:vAlign w:val="center"/>
          </w:tcPr>
          <w:p>
            <w:pPr>
              <w:spacing w:line="360" w:lineRule="auto"/>
              <w:jc w:val="center"/>
              <w:rPr>
                <w:rFonts w:ascii="宋体" w:hAnsi="宋体" w:cs="宋体"/>
                <w:sz w:val="22"/>
                <w:szCs w:val="22"/>
              </w:rPr>
            </w:pPr>
          </w:p>
        </w:tc>
        <w:tc>
          <w:tcPr>
            <w:tcW w:w="988" w:type="pct"/>
            <w:vAlign w:val="center"/>
          </w:tcPr>
          <w:p>
            <w:pPr>
              <w:spacing w:line="360" w:lineRule="auto"/>
              <w:jc w:val="center"/>
              <w:rPr>
                <w:rFonts w:ascii="宋体" w:hAnsi="宋体" w:cs="宋体"/>
                <w:sz w:val="22"/>
                <w:szCs w:val="22"/>
              </w:rPr>
            </w:pPr>
          </w:p>
        </w:tc>
      </w:tr>
    </w:tbl>
    <w:p>
      <w:pPr>
        <w:spacing w:line="360" w:lineRule="auto"/>
        <w:rPr>
          <w:rFonts w:ascii="宋体" w:hAnsi="宋体" w:cs="宋体"/>
          <w:sz w:val="22"/>
          <w:szCs w:val="22"/>
        </w:rPr>
      </w:pPr>
    </w:p>
    <w:p>
      <w:pPr>
        <w:spacing w:line="360" w:lineRule="auto"/>
        <w:rPr>
          <w:rFonts w:ascii="宋体" w:hAnsi="宋体" w:cs="宋体"/>
          <w:sz w:val="22"/>
          <w:szCs w:val="22"/>
        </w:rPr>
      </w:pPr>
      <w:r>
        <w:rPr>
          <w:rFonts w:hint="eastAsia" w:ascii="宋体" w:hAnsi="宋体" w:cs="宋体"/>
          <w:sz w:val="22"/>
          <w:szCs w:val="22"/>
        </w:rPr>
        <w:t>注：</w:t>
      </w:r>
    </w:p>
    <w:p>
      <w:pPr>
        <w:spacing w:line="360" w:lineRule="auto"/>
        <w:ind w:left="550" w:hanging="550" w:hangingChars="250"/>
        <w:rPr>
          <w:rFonts w:ascii="宋体" w:hAnsi="宋体" w:cs="宋体"/>
          <w:sz w:val="22"/>
          <w:szCs w:val="22"/>
        </w:rPr>
      </w:pPr>
      <w:r>
        <w:rPr>
          <w:rFonts w:hint="eastAsia" w:ascii="宋体" w:hAnsi="宋体" w:cs="宋体"/>
          <w:sz w:val="22"/>
          <w:szCs w:val="22"/>
        </w:rPr>
        <w:t>（1）投标人应按招标文件技术需求明细中带 “▲”条款的进行逐一响应，相关资料按评分标准中要求提供。投标人必须按相关实际参数进行响应，否则视为提供虚假材料谋取中标资格。</w:t>
      </w:r>
    </w:p>
    <w:p>
      <w:pPr>
        <w:spacing w:line="360" w:lineRule="auto"/>
        <w:ind w:left="550" w:hanging="550" w:hangingChars="250"/>
        <w:rPr>
          <w:rFonts w:ascii="宋体" w:hAnsi="宋体" w:cs="宋体"/>
          <w:sz w:val="22"/>
          <w:szCs w:val="22"/>
        </w:rPr>
      </w:pPr>
      <w:r>
        <w:rPr>
          <w:rFonts w:hint="eastAsia" w:ascii="宋体" w:hAnsi="宋体" w:cs="宋体"/>
          <w:sz w:val="22"/>
          <w:szCs w:val="22"/>
        </w:rPr>
        <w:t>（2）“投标文件对应内容”填写“▲”内容的响应内容，“响应情况”填写“完全响应”。</w:t>
      </w:r>
    </w:p>
    <w:p>
      <w:pPr>
        <w:spacing w:line="360" w:lineRule="auto"/>
        <w:ind w:firstLine="4840" w:firstLineChars="2200"/>
        <w:rPr>
          <w:rFonts w:ascii="宋体" w:hAnsi="宋体" w:cs="宋体"/>
          <w:sz w:val="22"/>
          <w:szCs w:val="22"/>
        </w:rPr>
      </w:pPr>
    </w:p>
    <w:p>
      <w:pPr>
        <w:spacing w:line="360" w:lineRule="auto"/>
        <w:ind w:firstLine="4840" w:firstLineChars="2200"/>
        <w:rPr>
          <w:rFonts w:ascii="宋体" w:hAnsi="宋体" w:cs="宋体"/>
          <w:sz w:val="22"/>
          <w:szCs w:val="22"/>
          <w:u w:val="single"/>
        </w:rPr>
      </w:pPr>
      <w:r>
        <w:rPr>
          <w:rFonts w:hint="eastAsia" w:ascii="宋体" w:hAnsi="宋体" w:cs="宋体"/>
          <w:sz w:val="22"/>
          <w:szCs w:val="22"/>
        </w:rPr>
        <w:t xml:space="preserve">投标人名称（加盖公章）： </w:t>
      </w:r>
      <w:r>
        <w:rPr>
          <w:rFonts w:hint="eastAsia" w:ascii="宋体" w:hAnsi="宋体" w:cs="宋体"/>
          <w:sz w:val="22"/>
          <w:szCs w:val="22"/>
          <w:u w:val="single"/>
        </w:rPr>
        <w:t xml:space="preserve">                </w:t>
      </w:r>
    </w:p>
    <w:p>
      <w:pPr>
        <w:pStyle w:val="47"/>
        <w:spacing w:line="360" w:lineRule="auto"/>
        <w:ind w:left="3969" w:leftChars="1890" w:firstLine="891" w:firstLineChars="405"/>
        <w:rPr>
          <w:rFonts w:ascii="宋体" w:eastAsia="宋体" w:cs="宋体"/>
          <w:sz w:val="22"/>
          <w:szCs w:val="22"/>
          <w:u w:val="single"/>
        </w:rPr>
      </w:pPr>
      <w:r>
        <w:rPr>
          <w:rFonts w:hint="eastAsia" w:ascii="宋体" w:eastAsia="宋体" w:cs="宋体"/>
          <w:sz w:val="22"/>
          <w:szCs w:val="22"/>
        </w:rPr>
        <w:t>日  期：</w:t>
      </w:r>
      <w:r>
        <w:rPr>
          <w:rFonts w:hint="eastAsia" w:ascii="宋体" w:eastAsia="宋体" w:cs="宋体"/>
          <w:sz w:val="22"/>
          <w:szCs w:val="22"/>
          <w:u w:val="single"/>
        </w:rPr>
        <w:t xml:space="preserve">        年         月       日</w:t>
      </w:r>
    </w:p>
    <w:p>
      <w:pPr>
        <w:pStyle w:val="33"/>
        <w:ind w:firstLine="400"/>
      </w:pPr>
    </w:p>
    <w:p>
      <w:pPr>
        <w:rPr>
          <w:rFonts w:ascii="宋体" w:hAnsi="宋体" w:cs="宋体"/>
          <w:b/>
          <w:sz w:val="22"/>
          <w:szCs w:val="22"/>
        </w:rPr>
      </w:pPr>
      <w:bookmarkStart w:id="1315" w:name="_Toc5120"/>
      <w:bookmarkStart w:id="1316" w:name="_Toc20633"/>
      <w:bookmarkStart w:id="1317" w:name="_Toc26993"/>
      <w:r>
        <w:rPr>
          <w:rFonts w:hint="eastAsia" w:ascii="宋体" w:hAnsi="宋体" w:cs="宋体"/>
          <w:b/>
          <w:sz w:val="22"/>
          <w:szCs w:val="22"/>
        </w:rPr>
        <w:br w:type="page"/>
      </w:r>
    </w:p>
    <w:p>
      <w:pPr>
        <w:pStyle w:val="5"/>
        <w:spacing w:line="360" w:lineRule="auto"/>
        <w:jc w:val="center"/>
        <w:rPr>
          <w:rFonts w:ascii="宋体" w:hAnsi="宋体" w:cs="宋体"/>
          <w:sz w:val="22"/>
          <w:szCs w:val="22"/>
        </w:rPr>
      </w:pPr>
      <w:bookmarkStart w:id="1318" w:name="_Toc11157"/>
      <w:bookmarkStart w:id="1319" w:name="_Toc9762"/>
      <w:r>
        <w:rPr>
          <w:rFonts w:hint="eastAsia" w:ascii="宋体" w:hAnsi="宋体" w:cs="宋体"/>
          <w:sz w:val="22"/>
          <w:szCs w:val="22"/>
        </w:rPr>
        <w:t>15</w:t>
      </w:r>
      <w:r>
        <w:rPr>
          <w:rFonts w:hint="eastAsia" w:ascii="宋体" w:hAnsi="宋体"/>
          <w:sz w:val="22"/>
          <w:szCs w:val="22"/>
        </w:rPr>
        <w:t>、</w:t>
      </w:r>
      <w:r>
        <w:rPr>
          <w:rFonts w:hint="eastAsia" w:ascii="宋体" w:hAnsi="宋体" w:cs="宋体"/>
          <w:sz w:val="22"/>
          <w:szCs w:val="22"/>
        </w:rPr>
        <w:t>合同条款偏离表</w:t>
      </w:r>
      <w:bookmarkEnd w:id="1315"/>
      <w:bookmarkEnd w:id="1316"/>
      <w:bookmarkEnd w:id="1317"/>
      <w:bookmarkEnd w:id="1318"/>
      <w:bookmarkEnd w:id="1319"/>
    </w:p>
    <w:p>
      <w:pPr>
        <w:spacing w:line="360" w:lineRule="auto"/>
        <w:rPr>
          <w:rFonts w:ascii="宋体" w:hAnsi="宋体" w:cs="宋体"/>
          <w:sz w:val="22"/>
          <w:szCs w:val="22"/>
        </w:rPr>
      </w:pPr>
      <w:r>
        <w:rPr>
          <w:rFonts w:hint="eastAsia" w:ascii="宋体" w:hAnsi="宋体" w:cs="宋体"/>
          <w:sz w:val="22"/>
          <w:szCs w:val="22"/>
        </w:rPr>
        <w:t>项目名称：</w:t>
      </w:r>
      <w:r>
        <w:rPr>
          <w:rFonts w:hint="eastAsia" w:ascii="宋体" w:hAnsi="宋体" w:cs="宋体"/>
          <w:sz w:val="22"/>
          <w:szCs w:val="22"/>
          <w:lang w:eastAsia="zh-CN"/>
        </w:rPr>
        <w:t>东莞市交通投资集团有限公司供应链服务平台项目</w:t>
      </w:r>
      <w:r>
        <w:rPr>
          <w:rFonts w:hint="eastAsia" w:ascii="宋体" w:hAnsi="宋体" w:cs="宋体"/>
          <w:sz w:val="22"/>
          <w:szCs w:val="22"/>
        </w:rPr>
        <w:t xml:space="preserve">  </w:t>
      </w:r>
    </w:p>
    <w:p>
      <w:pPr>
        <w:spacing w:line="360" w:lineRule="auto"/>
        <w:rPr>
          <w:rFonts w:ascii="Times New Roman" w:hAnsi="Times New Roman"/>
          <w:szCs w:val="21"/>
          <w:u w:val="single"/>
        </w:rPr>
      </w:pPr>
      <w:r>
        <w:rPr>
          <w:rFonts w:hint="eastAsia" w:ascii="宋体" w:hAnsi="宋体" w:cs="宋体"/>
          <w:sz w:val="22"/>
          <w:szCs w:val="22"/>
        </w:rPr>
        <w:t xml:space="preserve">项目编号：SL-CG2022028       </w:t>
      </w:r>
    </w:p>
    <w:tbl>
      <w:tblPr>
        <w:tblStyle w:val="34"/>
        <w:tblW w:w="9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290"/>
        <w:gridCol w:w="1346"/>
        <w:gridCol w:w="3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993" w:type="dxa"/>
            <w:vMerge w:val="restart"/>
            <w:vAlign w:val="center"/>
          </w:tcPr>
          <w:p>
            <w:pPr>
              <w:spacing w:line="360" w:lineRule="auto"/>
              <w:jc w:val="center"/>
              <w:rPr>
                <w:rFonts w:ascii="宋体" w:hAnsi="宋体" w:cs="宋体"/>
                <w:sz w:val="22"/>
                <w:szCs w:val="22"/>
              </w:rPr>
            </w:pPr>
            <w:r>
              <w:rPr>
                <w:rFonts w:hint="eastAsia" w:ascii="宋体" w:hAnsi="宋体" w:cs="宋体"/>
                <w:sz w:val="22"/>
                <w:szCs w:val="22"/>
              </w:rPr>
              <w:t>序号</w:t>
            </w:r>
          </w:p>
        </w:tc>
        <w:tc>
          <w:tcPr>
            <w:tcW w:w="3290" w:type="dxa"/>
            <w:vAlign w:val="center"/>
          </w:tcPr>
          <w:p>
            <w:pPr>
              <w:spacing w:line="360" w:lineRule="auto"/>
              <w:jc w:val="center"/>
              <w:rPr>
                <w:rFonts w:ascii="宋体" w:hAnsi="宋体" w:cs="宋体"/>
                <w:sz w:val="22"/>
                <w:szCs w:val="22"/>
              </w:rPr>
            </w:pPr>
            <w:r>
              <w:rPr>
                <w:rFonts w:hint="eastAsia" w:ascii="宋体" w:hAnsi="宋体" w:cs="宋体"/>
                <w:sz w:val="22"/>
                <w:szCs w:val="22"/>
              </w:rPr>
              <w:t>招标文件要求</w:t>
            </w:r>
          </w:p>
        </w:tc>
        <w:tc>
          <w:tcPr>
            <w:tcW w:w="4870" w:type="dxa"/>
            <w:gridSpan w:val="2"/>
            <w:vAlign w:val="center"/>
          </w:tcPr>
          <w:p>
            <w:pPr>
              <w:spacing w:line="360" w:lineRule="auto"/>
              <w:jc w:val="center"/>
              <w:rPr>
                <w:rFonts w:ascii="宋体" w:hAnsi="宋体" w:cs="宋体"/>
                <w:sz w:val="22"/>
                <w:szCs w:val="22"/>
              </w:rPr>
            </w:pPr>
            <w:r>
              <w:rPr>
                <w:rFonts w:hint="eastAsia" w:ascii="宋体" w:hAnsi="宋体" w:cs="宋体"/>
                <w:sz w:val="22"/>
                <w:szCs w:val="22"/>
              </w:rPr>
              <w:t>投标文件内容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993" w:type="dxa"/>
            <w:vMerge w:val="continue"/>
            <w:vAlign w:val="center"/>
          </w:tcPr>
          <w:p>
            <w:pPr>
              <w:spacing w:line="360" w:lineRule="auto"/>
              <w:jc w:val="center"/>
              <w:rPr>
                <w:rFonts w:ascii="宋体" w:hAnsi="宋体" w:cs="宋体"/>
                <w:sz w:val="22"/>
                <w:szCs w:val="22"/>
              </w:rPr>
            </w:pPr>
          </w:p>
        </w:tc>
        <w:tc>
          <w:tcPr>
            <w:tcW w:w="3290" w:type="dxa"/>
            <w:vAlign w:val="center"/>
          </w:tcPr>
          <w:p>
            <w:pPr>
              <w:spacing w:line="360" w:lineRule="auto"/>
              <w:jc w:val="center"/>
              <w:rPr>
                <w:rFonts w:ascii="宋体" w:hAnsi="宋体" w:cs="宋体"/>
                <w:sz w:val="22"/>
                <w:szCs w:val="22"/>
              </w:rPr>
            </w:pPr>
            <w:r>
              <w:rPr>
                <w:rFonts w:hint="eastAsia" w:ascii="宋体" w:hAnsi="宋体" w:cs="宋体"/>
                <w:sz w:val="22"/>
                <w:szCs w:val="22"/>
              </w:rPr>
              <w:t>简要内容</w:t>
            </w:r>
          </w:p>
        </w:tc>
        <w:tc>
          <w:tcPr>
            <w:tcW w:w="1346" w:type="dxa"/>
            <w:vAlign w:val="center"/>
          </w:tcPr>
          <w:p>
            <w:pPr>
              <w:spacing w:line="360" w:lineRule="auto"/>
              <w:jc w:val="center"/>
              <w:rPr>
                <w:rFonts w:ascii="宋体" w:hAnsi="宋体" w:cs="宋体"/>
                <w:sz w:val="22"/>
                <w:szCs w:val="22"/>
              </w:rPr>
            </w:pPr>
            <w:r>
              <w:rPr>
                <w:rFonts w:hint="eastAsia" w:ascii="宋体" w:hAnsi="宋体" w:cs="宋体"/>
                <w:sz w:val="22"/>
                <w:szCs w:val="22"/>
              </w:rPr>
              <w:t>偏离情况</w:t>
            </w:r>
          </w:p>
        </w:tc>
        <w:tc>
          <w:tcPr>
            <w:tcW w:w="3524" w:type="dxa"/>
            <w:vAlign w:val="center"/>
          </w:tcPr>
          <w:p>
            <w:pPr>
              <w:spacing w:line="360" w:lineRule="auto"/>
              <w:jc w:val="center"/>
              <w:rPr>
                <w:rFonts w:ascii="宋体" w:hAnsi="宋体" w:cs="宋体"/>
                <w:sz w:val="22"/>
                <w:szCs w:val="22"/>
              </w:rPr>
            </w:pPr>
            <w:r>
              <w:rPr>
                <w:rFonts w:hint="eastAsia" w:ascii="宋体" w:hAnsi="宋体" w:cs="宋体"/>
                <w:sz w:val="22"/>
                <w:szCs w:val="22"/>
              </w:rPr>
              <w:t>具体偏离内容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993" w:type="dxa"/>
            <w:vAlign w:val="center"/>
          </w:tcPr>
          <w:p>
            <w:pPr>
              <w:spacing w:line="360" w:lineRule="auto"/>
              <w:jc w:val="center"/>
              <w:rPr>
                <w:rFonts w:ascii="宋体" w:hAnsi="宋体" w:cs="宋体"/>
                <w:sz w:val="22"/>
                <w:szCs w:val="22"/>
              </w:rPr>
            </w:pPr>
          </w:p>
        </w:tc>
        <w:tc>
          <w:tcPr>
            <w:tcW w:w="3290" w:type="dxa"/>
            <w:vAlign w:val="center"/>
          </w:tcPr>
          <w:p>
            <w:pPr>
              <w:pStyle w:val="47"/>
              <w:spacing w:line="360" w:lineRule="auto"/>
              <w:ind w:firstLine="0" w:firstLineChars="0"/>
              <w:jc w:val="left"/>
              <w:rPr>
                <w:rFonts w:ascii="宋体" w:eastAsia="宋体" w:cs="宋体"/>
                <w:b/>
                <w:sz w:val="22"/>
                <w:szCs w:val="22"/>
              </w:rPr>
            </w:pPr>
          </w:p>
        </w:tc>
        <w:tc>
          <w:tcPr>
            <w:tcW w:w="1346" w:type="dxa"/>
            <w:vAlign w:val="center"/>
          </w:tcPr>
          <w:p>
            <w:pPr>
              <w:spacing w:line="360" w:lineRule="auto"/>
              <w:jc w:val="center"/>
              <w:rPr>
                <w:rFonts w:ascii="宋体" w:hAnsi="宋体" w:cs="宋体"/>
                <w:sz w:val="22"/>
                <w:szCs w:val="22"/>
              </w:rPr>
            </w:pPr>
          </w:p>
        </w:tc>
        <w:tc>
          <w:tcPr>
            <w:tcW w:w="3524" w:type="dxa"/>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60" w:lineRule="auto"/>
              <w:jc w:val="center"/>
              <w:rPr>
                <w:rFonts w:ascii="宋体" w:hAnsi="宋体" w:cs="宋体"/>
                <w:sz w:val="22"/>
                <w:szCs w:val="22"/>
              </w:rPr>
            </w:pPr>
          </w:p>
        </w:tc>
        <w:tc>
          <w:tcPr>
            <w:tcW w:w="3290" w:type="dxa"/>
            <w:vAlign w:val="center"/>
          </w:tcPr>
          <w:p>
            <w:pPr>
              <w:pStyle w:val="47"/>
              <w:spacing w:line="360" w:lineRule="auto"/>
              <w:ind w:firstLine="0" w:firstLineChars="0"/>
              <w:jc w:val="left"/>
              <w:rPr>
                <w:rFonts w:ascii="宋体" w:eastAsia="宋体" w:cs="宋体"/>
                <w:b/>
                <w:sz w:val="22"/>
                <w:szCs w:val="22"/>
              </w:rPr>
            </w:pPr>
          </w:p>
        </w:tc>
        <w:tc>
          <w:tcPr>
            <w:tcW w:w="1346" w:type="dxa"/>
            <w:vAlign w:val="center"/>
          </w:tcPr>
          <w:p>
            <w:pPr>
              <w:spacing w:line="360" w:lineRule="auto"/>
              <w:jc w:val="center"/>
              <w:rPr>
                <w:rFonts w:ascii="宋体" w:hAnsi="宋体" w:cs="宋体"/>
                <w:sz w:val="22"/>
                <w:szCs w:val="22"/>
              </w:rPr>
            </w:pPr>
          </w:p>
        </w:tc>
        <w:tc>
          <w:tcPr>
            <w:tcW w:w="3524" w:type="dxa"/>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93" w:type="dxa"/>
            <w:vAlign w:val="center"/>
          </w:tcPr>
          <w:p>
            <w:pPr>
              <w:spacing w:line="360" w:lineRule="auto"/>
              <w:jc w:val="center"/>
              <w:rPr>
                <w:rFonts w:ascii="宋体" w:hAnsi="宋体" w:cs="宋体"/>
                <w:sz w:val="22"/>
                <w:szCs w:val="22"/>
              </w:rPr>
            </w:pPr>
          </w:p>
        </w:tc>
        <w:tc>
          <w:tcPr>
            <w:tcW w:w="3290" w:type="dxa"/>
            <w:vAlign w:val="center"/>
          </w:tcPr>
          <w:p>
            <w:pPr>
              <w:pStyle w:val="47"/>
              <w:spacing w:line="360" w:lineRule="auto"/>
              <w:ind w:firstLine="0" w:firstLineChars="0"/>
              <w:jc w:val="left"/>
              <w:rPr>
                <w:rFonts w:ascii="宋体" w:eastAsia="宋体" w:cs="宋体"/>
                <w:b/>
                <w:sz w:val="22"/>
                <w:szCs w:val="22"/>
              </w:rPr>
            </w:pPr>
          </w:p>
        </w:tc>
        <w:tc>
          <w:tcPr>
            <w:tcW w:w="1346" w:type="dxa"/>
            <w:vAlign w:val="center"/>
          </w:tcPr>
          <w:p>
            <w:pPr>
              <w:spacing w:line="360" w:lineRule="auto"/>
              <w:jc w:val="center"/>
              <w:rPr>
                <w:rFonts w:ascii="宋体" w:hAnsi="宋体" w:cs="宋体"/>
                <w:sz w:val="22"/>
                <w:szCs w:val="22"/>
              </w:rPr>
            </w:pPr>
          </w:p>
        </w:tc>
        <w:tc>
          <w:tcPr>
            <w:tcW w:w="3524" w:type="dxa"/>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60" w:lineRule="auto"/>
              <w:jc w:val="center"/>
              <w:rPr>
                <w:rFonts w:ascii="宋体" w:hAnsi="宋体" w:cs="宋体"/>
                <w:sz w:val="22"/>
                <w:szCs w:val="22"/>
              </w:rPr>
            </w:pPr>
          </w:p>
        </w:tc>
        <w:tc>
          <w:tcPr>
            <w:tcW w:w="3290" w:type="dxa"/>
            <w:vAlign w:val="center"/>
          </w:tcPr>
          <w:p>
            <w:pPr>
              <w:pStyle w:val="47"/>
              <w:spacing w:line="360" w:lineRule="auto"/>
              <w:ind w:firstLine="0" w:firstLineChars="0"/>
              <w:jc w:val="left"/>
              <w:rPr>
                <w:rFonts w:ascii="宋体" w:eastAsia="宋体" w:cs="宋体"/>
                <w:b/>
                <w:sz w:val="22"/>
                <w:szCs w:val="22"/>
              </w:rPr>
            </w:pPr>
          </w:p>
        </w:tc>
        <w:tc>
          <w:tcPr>
            <w:tcW w:w="1346" w:type="dxa"/>
            <w:vAlign w:val="center"/>
          </w:tcPr>
          <w:p>
            <w:pPr>
              <w:spacing w:line="360" w:lineRule="auto"/>
              <w:jc w:val="center"/>
              <w:rPr>
                <w:rFonts w:ascii="宋体" w:hAnsi="宋体" w:cs="宋体"/>
                <w:sz w:val="22"/>
                <w:szCs w:val="22"/>
              </w:rPr>
            </w:pPr>
          </w:p>
        </w:tc>
        <w:tc>
          <w:tcPr>
            <w:tcW w:w="3524" w:type="dxa"/>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993" w:type="dxa"/>
            <w:vAlign w:val="center"/>
          </w:tcPr>
          <w:p>
            <w:pPr>
              <w:spacing w:line="360" w:lineRule="auto"/>
              <w:jc w:val="center"/>
              <w:rPr>
                <w:rFonts w:ascii="宋体" w:hAnsi="宋体" w:cs="宋体"/>
                <w:sz w:val="22"/>
                <w:szCs w:val="22"/>
              </w:rPr>
            </w:pPr>
          </w:p>
        </w:tc>
        <w:tc>
          <w:tcPr>
            <w:tcW w:w="3290" w:type="dxa"/>
            <w:vAlign w:val="center"/>
          </w:tcPr>
          <w:p>
            <w:pPr>
              <w:pStyle w:val="47"/>
              <w:spacing w:line="360" w:lineRule="auto"/>
              <w:ind w:firstLine="0" w:firstLineChars="0"/>
              <w:jc w:val="left"/>
              <w:rPr>
                <w:rFonts w:ascii="宋体" w:eastAsia="宋体" w:cs="宋体"/>
                <w:b/>
                <w:sz w:val="22"/>
                <w:szCs w:val="22"/>
              </w:rPr>
            </w:pPr>
          </w:p>
        </w:tc>
        <w:tc>
          <w:tcPr>
            <w:tcW w:w="1346" w:type="dxa"/>
            <w:vAlign w:val="center"/>
          </w:tcPr>
          <w:p>
            <w:pPr>
              <w:spacing w:line="360" w:lineRule="auto"/>
              <w:jc w:val="center"/>
              <w:rPr>
                <w:rFonts w:ascii="宋体" w:hAnsi="宋体" w:cs="宋体"/>
                <w:sz w:val="22"/>
                <w:szCs w:val="22"/>
              </w:rPr>
            </w:pPr>
          </w:p>
        </w:tc>
        <w:tc>
          <w:tcPr>
            <w:tcW w:w="3524" w:type="dxa"/>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60" w:lineRule="auto"/>
              <w:jc w:val="center"/>
              <w:rPr>
                <w:rFonts w:ascii="宋体" w:hAnsi="宋体" w:cs="宋体"/>
                <w:sz w:val="22"/>
                <w:szCs w:val="22"/>
              </w:rPr>
            </w:pPr>
          </w:p>
        </w:tc>
        <w:tc>
          <w:tcPr>
            <w:tcW w:w="3290" w:type="dxa"/>
            <w:vAlign w:val="center"/>
          </w:tcPr>
          <w:p>
            <w:pPr>
              <w:pStyle w:val="47"/>
              <w:spacing w:line="360" w:lineRule="auto"/>
              <w:ind w:firstLine="0" w:firstLineChars="0"/>
              <w:jc w:val="left"/>
              <w:rPr>
                <w:rFonts w:ascii="宋体" w:eastAsia="宋体" w:cs="宋体"/>
                <w:b/>
                <w:sz w:val="22"/>
                <w:szCs w:val="22"/>
              </w:rPr>
            </w:pPr>
          </w:p>
        </w:tc>
        <w:tc>
          <w:tcPr>
            <w:tcW w:w="1346" w:type="dxa"/>
            <w:vAlign w:val="center"/>
          </w:tcPr>
          <w:p>
            <w:pPr>
              <w:spacing w:line="360" w:lineRule="auto"/>
              <w:jc w:val="center"/>
              <w:rPr>
                <w:rFonts w:ascii="宋体" w:hAnsi="宋体" w:cs="宋体"/>
                <w:sz w:val="22"/>
                <w:szCs w:val="22"/>
              </w:rPr>
            </w:pPr>
          </w:p>
        </w:tc>
        <w:tc>
          <w:tcPr>
            <w:tcW w:w="3524" w:type="dxa"/>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60" w:lineRule="auto"/>
              <w:jc w:val="center"/>
              <w:rPr>
                <w:rFonts w:ascii="宋体" w:hAnsi="宋体" w:cs="宋体"/>
                <w:sz w:val="22"/>
                <w:szCs w:val="22"/>
              </w:rPr>
            </w:pPr>
          </w:p>
        </w:tc>
        <w:tc>
          <w:tcPr>
            <w:tcW w:w="3290" w:type="dxa"/>
            <w:vAlign w:val="center"/>
          </w:tcPr>
          <w:p>
            <w:pPr>
              <w:pStyle w:val="47"/>
              <w:spacing w:line="360" w:lineRule="auto"/>
              <w:ind w:firstLine="0" w:firstLineChars="0"/>
              <w:jc w:val="left"/>
              <w:rPr>
                <w:rFonts w:ascii="宋体" w:eastAsia="宋体" w:cs="宋体"/>
                <w:b/>
                <w:sz w:val="22"/>
                <w:szCs w:val="22"/>
              </w:rPr>
            </w:pPr>
          </w:p>
        </w:tc>
        <w:tc>
          <w:tcPr>
            <w:tcW w:w="1346" w:type="dxa"/>
            <w:vAlign w:val="center"/>
          </w:tcPr>
          <w:p>
            <w:pPr>
              <w:spacing w:line="360" w:lineRule="auto"/>
              <w:jc w:val="center"/>
              <w:rPr>
                <w:rFonts w:ascii="宋体" w:hAnsi="宋体" w:cs="宋体"/>
                <w:sz w:val="22"/>
                <w:szCs w:val="22"/>
              </w:rPr>
            </w:pPr>
          </w:p>
        </w:tc>
        <w:tc>
          <w:tcPr>
            <w:tcW w:w="3524" w:type="dxa"/>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60" w:lineRule="auto"/>
              <w:jc w:val="center"/>
              <w:rPr>
                <w:rFonts w:ascii="宋体" w:hAnsi="宋体" w:cs="宋体"/>
                <w:bCs/>
                <w:sz w:val="22"/>
                <w:szCs w:val="22"/>
              </w:rPr>
            </w:pPr>
          </w:p>
        </w:tc>
        <w:tc>
          <w:tcPr>
            <w:tcW w:w="3290" w:type="dxa"/>
            <w:vAlign w:val="center"/>
          </w:tcPr>
          <w:p>
            <w:pPr>
              <w:spacing w:line="360" w:lineRule="auto"/>
              <w:rPr>
                <w:rFonts w:ascii="宋体" w:hAnsi="宋体" w:cs="宋体"/>
                <w:bCs/>
                <w:sz w:val="22"/>
                <w:szCs w:val="22"/>
              </w:rPr>
            </w:pPr>
          </w:p>
        </w:tc>
        <w:tc>
          <w:tcPr>
            <w:tcW w:w="1346" w:type="dxa"/>
            <w:vAlign w:val="center"/>
          </w:tcPr>
          <w:p>
            <w:pPr>
              <w:spacing w:line="360" w:lineRule="auto"/>
              <w:jc w:val="center"/>
              <w:rPr>
                <w:rFonts w:ascii="宋体" w:hAnsi="宋体" w:cs="宋体"/>
                <w:sz w:val="22"/>
                <w:szCs w:val="22"/>
              </w:rPr>
            </w:pPr>
          </w:p>
        </w:tc>
        <w:tc>
          <w:tcPr>
            <w:tcW w:w="3524" w:type="dxa"/>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60" w:lineRule="auto"/>
              <w:jc w:val="center"/>
              <w:rPr>
                <w:rFonts w:ascii="宋体" w:hAnsi="宋体" w:cs="宋体"/>
                <w:bCs/>
                <w:sz w:val="22"/>
                <w:szCs w:val="22"/>
              </w:rPr>
            </w:pPr>
          </w:p>
        </w:tc>
        <w:tc>
          <w:tcPr>
            <w:tcW w:w="3290" w:type="dxa"/>
            <w:vAlign w:val="center"/>
          </w:tcPr>
          <w:p>
            <w:pPr>
              <w:spacing w:line="360" w:lineRule="auto"/>
              <w:rPr>
                <w:rFonts w:ascii="宋体" w:hAnsi="宋体" w:cs="宋体"/>
                <w:bCs/>
                <w:sz w:val="22"/>
                <w:szCs w:val="22"/>
              </w:rPr>
            </w:pPr>
          </w:p>
        </w:tc>
        <w:tc>
          <w:tcPr>
            <w:tcW w:w="1346" w:type="dxa"/>
            <w:vAlign w:val="center"/>
          </w:tcPr>
          <w:p>
            <w:pPr>
              <w:spacing w:line="360" w:lineRule="auto"/>
              <w:jc w:val="center"/>
              <w:rPr>
                <w:rFonts w:ascii="宋体" w:hAnsi="宋体" w:cs="宋体"/>
                <w:sz w:val="22"/>
                <w:szCs w:val="22"/>
              </w:rPr>
            </w:pPr>
          </w:p>
        </w:tc>
        <w:tc>
          <w:tcPr>
            <w:tcW w:w="3524" w:type="dxa"/>
            <w:vAlign w:val="center"/>
          </w:tcPr>
          <w:p>
            <w:pPr>
              <w:spacing w:line="360" w:lineRule="auto"/>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60" w:lineRule="auto"/>
              <w:jc w:val="center"/>
              <w:rPr>
                <w:rFonts w:ascii="宋体" w:hAnsi="宋体" w:cs="宋体"/>
                <w:bCs/>
                <w:sz w:val="22"/>
                <w:szCs w:val="22"/>
              </w:rPr>
            </w:pPr>
          </w:p>
        </w:tc>
        <w:tc>
          <w:tcPr>
            <w:tcW w:w="3290" w:type="dxa"/>
            <w:vAlign w:val="center"/>
          </w:tcPr>
          <w:p>
            <w:pPr>
              <w:spacing w:line="360" w:lineRule="auto"/>
              <w:rPr>
                <w:rFonts w:ascii="宋体" w:hAnsi="宋体" w:cs="宋体"/>
                <w:bCs/>
                <w:sz w:val="22"/>
                <w:szCs w:val="22"/>
              </w:rPr>
            </w:pPr>
          </w:p>
        </w:tc>
        <w:tc>
          <w:tcPr>
            <w:tcW w:w="1346" w:type="dxa"/>
            <w:vAlign w:val="center"/>
          </w:tcPr>
          <w:p>
            <w:pPr>
              <w:spacing w:line="360" w:lineRule="auto"/>
              <w:jc w:val="center"/>
              <w:rPr>
                <w:rFonts w:ascii="宋体" w:hAnsi="宋体" w:cs="宋体"/>
                <w:sz w:val="22"/>
                <w:szCs w:val="22"/>
              </w:rPr>
            </w:pPr>
          </w:p>
        </w:tc>
        <w:tc>
          <w:tcPr>
            <w:tcW w:w="3524" w:type="dxa"/>
            <w:vAlign w:val="center"/>
          </w:tcPr>
          <w:p>
            <w:pPr>
              <w:spacing w:line="360" w:lineRule="auto"/>
              <w:jc w:val="center"/>
              <w:rPr>
                <w:rFonts w:ascii="宋体" w:hAnsi="宋体" w:cs="宋体"/>
                <w:sz w:val="22"/>
                <w:szCs w:val="22"/>
              </w:rPr>
            </w:pPr>
          </w:p>
        </w:tc>
      </w:tr>
    </w:tbl>
    <w:p>
      <w:pPr>
        <w:snapToGrid w:val="0"/>
        <w:spacing w:line="360" w:lineRule="auto"/>
        <w:ind w:left="421" w:leftChars="-58" w:hanging="543" w:hangingChars="247"/>
        <w:rPr>
          <w:rFonts w:ascii="宋体" w:hAnsi="宋体" w:cs="宋体"/>
          <w:sz w:val="22"/>
          <w:szCs w:val="22"/>
        </w:rPr>
      </w:pPr>
      <w:r>
        <w:rPr>
          <w:rFonts w:hint="eastAsia" w:ascii="宋体" w:hAnsi="宋体" w:cs="宋体"/>
          <w:sz w:val="22"/>
          <w:szCs w:val="22"/>
        </w:rPr>
        <w:t xml:space="preserve">      备注：</w:t>
      </w:r>
    </w:p>
    <w:p>
      <w:pPr>
        <w:snapToGrid w:val="0"/>
        <w:spacing w:line="360" w:lineRule="auto"/>
        <w:ind w:left="421" w:leftChars="-58" w:hanging="543" w:hangingChars="247"/>
        <w:rPr>
          <w:rFonts w:ascii="宋体" w:hAnsi="宋体" w:cs="宋体"/>
          <w:b/>
          <w:sz w:val="22"/>
          <w:szCs w:val="22"/>
        </w:rPr>
      </w:pPr>
      <w:r>
        <w:rPr>
          <w:rFonts w:hint="eastAsia" w:ascii="宋体" w:hAnsi="宋体" w:cs="宋体"/>
          <w:sz w:val="22"/>
          <w:szCs w:val="22"/>
        </w:rPr>
        <w:t>（1）</w:t>
      </w:r>
      <w:r>
        <w:rPr>
          <w:rFonts w:hint="eastAsia" w:ascii="宋体" w:hAnsi="宋体" w:cs="宋体"/>
          <w:b/>
          <w:sz w:val="22"/>
          <w:szCs w:val="22"/>
          <w:u w:val="single"/>
        </w:rPr>
        <w:t>投标人应对照招标文件合同格式内合同条款及附件，逐条、如实地填写“偏离情况”项。“偏离情况”项为正偏离（或负偏离）的，必须在“具体偏离内容”项内详细说明与招标文件的偏离内容，“偏离情况”项为无偏离的，在“具体偏离内容”项内填“无”或不填写。若发现虚假填写本表，或对合同及其附件响应有负偏离的，按无效投标文件处理。若发现此表未逐条填写视为完全满足招标文件要求。</w:t>
      </w:r>
    </w:p>
    <w:p>
      <w:pPr>
        <w:snapToGrid w:val="0"/>
        <w:spacing w:line="360" w:lineRule="auto"/>
        <w:ind w:left="421" w:leftChars="-58" w:hanging="543" w:hangingChars="247"/>
        <w:rPr>
          <w:rFonts w:ascii="宋体" w:hAnsi="宋体" w:cs="宋体"/>
          <w:b/>
          <w:bCs/>
          <w:sz w:val="22"/>
          <w:szCs w:val="22"/>
        </w:rPr>
      </w:pPr>
      <w:r>
        <w:rPr>
          <w:rFonts w:hint="eastAsia" w:ascii="宋体" w:hAnsi="宋体" w:cs="宋体"/>
          <w:sz w:val="22"/>
          <w:szCs w:val="22"/>
        </w:rPr>
        <w:t>（2）偏离情况（投标文件对招标文件合同条款的响应程度）分为：正偏离、负偏离、无偏离。正偏离是指投标人提供的货物或服务商务条件优于招标文件的要求；负偏离是指投标人提供的货物或服务商务条件不满足或不完全满足招标文件的要求；无偏离是指投标人提供的货物或服务商务条件完全满足招标文件的要求。</w:t>
      </w:r>
    </w:p>
    <w:p>
      <w:pPr>
        <w:snapToGrid w:val="0"/>
        <w:spacing w:line="360" w:lineRule="auto"/>
        <w:ind w:left="421" w:leftChars="-58" w:hanging="543" w:hangingChars="247"/>
        <w:rPr>
          <w:rFonts w:ascii="宋体" w:hAnsi="宋体" w:cs="宋体"/>
          <w:sz w:val="22"/>
          <w:szCs w:val="22"/>
        </w:rPr>
      </w:pPr>
      <w:r>
        <w:rPr>
          <w:rFonts w:hint="eastAsia" w:ascii="宋体" w:hAnsi="宋体" w:cs="宋体"/>
          <w:sz w:val="22"/>
          <w:szCs w:val="22"/>
        </w:rPr>
        <w:t>（4）如投标人差异内容较多可另附页说明，</w:t>
      </w:r>
      <w:r>
        <w:rPr>
          <w:rFonts w:hint="eastAsia" w:ascii="宋体" w:hAnsi="宋体" w:cs="宋体"/>
          <w:sz w:val="22"/>
          <w:szCs w:val="22"/>
          <w:lang w:val="zh-CN"/>
        </w:rPr>
        <w:t>并在本偏离表“具体偏离内容”项注明其在投标文件中的具体页码</w:t>
      </w:r>
      <w:r>
        <w:rPr>
          <w:rFonts w:hint="eastAsia" w:ascii="宋体" w:hAnsi="宋体" w:cs="宋体"/>
          <w:sz w:val="22"/>
          <w:szCs w:val="22"/>
        </w:rPr>
        <w:t>。</w:t>
      </w:r>
    </w:p>
    <w:p>
      <w:pPr>
        <w:spacing w:line="360" w:lineRule="auto"/>
        <w:ind w:firstLine="4305" w:firstLineChars="1957"/>
        <w:rPr>
          <w:rFonts w:ascii="宋体" w:hAnsi="宋体" w:cs="宋体"/>
          <w:sz w:val="22"/>
          <w:szCs w:val="22"/>
          <w:lang w:val="zh-CN"/>
        </w:rPr>
      </w:pPr>
      <w:r>
        <w:rPr>
          <w:rFonts w:hint="eastAsia" w:ascii="宋体" w:hAnsi="宋体" w:cs="宋体"/>
          <w:sz w:val="22"/>
          <w:szCs w:val="22"/>
          <w:lang w:val="zh-CN"/>
        </w:rPr>
        <w:t xml:space="preserve">投标人名称（加盖公章）： </w:t>
      </w:r>
      <w:r>
        <w:rPr>
          <w:rFonts w:hint="eastAsia" w:ascii="宋体" w:hAnsi="宋体" w:cs="宋体"/>
          <w:sz w:val="22"/>
          <w:szCs w:val="22"/>
          <w:u w:val="single"/>
          <w:lang w:val="zh-CN"/>
        </w:rPr>
        <w:t xml:space="preserve">                </w:t>
      </w:r>
    </w:p>
    <w:p>
      <w:pPr>
        <w:spacing w:line="360" w:lineRule="auto"/>
        <w:ind w:firstLine="4305" w:firstLineChars="1957"/>
        <w:rPr>
          <w:rFonts w:ascii="宋体" w:hAnsi="宋体" w:cs="宋体"/>
          <w:b/>
          <w:sz w:val="22"/>
          <w:szCs w:val="22"/>
        </w:rPr>
      </w:pPr>
      <w:r>
        <w:rPr>
          <w:rFonts w:hint="eastAsia" w:ascii="宋体" w:hAnsi="宋体" w:cs="宋体"/>
          <w:sz w:val="22"/>
          <w:szCs w:val="22"/>
          <w:lang w:val="zh-CN"/>
        </w:rPr>
        <w:t>日    期：</w:t>
      </w:r>
      <w:r>
        <w:rPr>
          <w:rFonts w:hint="eastAsia" w:ascii="宋体" w:hAnsi="宋体" w:cs="宋体"/>
          <w:sz w:val="22"/>
          <w:szCs w:val="22"/>
          <w:u w:val="single"/>
          <w:lang w:val="zh-CN"/>
        </w:rPr>
        <w:t xml:space="preserve">     年      月      日</w:t>
      </w:r>
    </w:p>
    <w:p>
      <w:pPr>
        <w:spacing w:after="60" w:line="360" w:lineRule="auto"/>
        <w:jc w:val="center"/>
        <w:outlineLvl w:val="2"/>
        <w:rPr>
          <w:rFonts w:ascii="宋体" w:hAnsi="宋体" w:cs="宋体"/>
          <w:sz w:val="22"/>
          <w:szCs w:val="22"/>
          <w:u w:val="single"/>
        </w:rPr>
      </w:pPr>
      <w:bookmarkStart w:id="1320" w:name="_Toc25564"/>
      <w:bookmarkStart w:id="1321" w:name="_Toc4511"/>
      <w:bookmarkStart w:id="1322" w:name="_Toc27311"/>
      <w:bookmarkStart w:id="1323" w:name="_Toc20908"/>
      <w:bookmarkStart w:id="1324" w:name="_Toc23386"/>
      <w:r>
        <w:rPr>
          <w:rFonts w:hint="eastAsia" w:ascii="宋体" w:hAnsi="宋体" w:cs="宋体"/>
          <w:b/>
          <w:sz w:val="22"/>
          <w:szCs w:val="22"/>
        </w:rPr>
        <w:t>16、技术条款偏离表</w:t>
      </w:r>
      <w:bookmarkEnd w:id="1301"/>
      <w:bookmarkEnd w:id="1320"/>
      <w:bookmarkEnd w:id="1321"/>
      <w:bookmarkEnd w:id="1322"/>
      <w:bookmarkEnd w:id="1323"/>
      <w:bookmarkEnd w:id="1324"/>
    </w:p>
    <w:p>
      <w:pPr>
        <w:adjustRightInd w:val="0"/>
        <w:spacing w:line="560" w:lineRule="exact"/>
        <w:rPr>
          <w:rFonts w:ascii="宋体" w:hAnsi="宋体" w:cs="宋体"/>
          <w:sz w:val="22"/>
          <w:szCs w:val="22"/>
        </w:rPr>
      </w:pPr>
      <w:r>
        <w:rPr>
          <w:rFonts w:hint="eastAsia" w:ascii="宋体" w:hAnsi="宋体" w:cs="宋体"/>
          <w:sz w:val="22"/>
          <w:szCs w:val="22"/>
        </w:rPr>
        <w:t>项目名称：</w:t>
      </w:r>
      <w:r>
        <w:rPr>
          <w:rFonts w:hint="eastAsia" w:ascii="宋体" w:hAnsi="宋体" w:cs="宋体"/>
          <w:sz w:val="22"/>
          <w:szCs w:val="22"/>
          <w:lang w:eastAsia="zh-CN"/>
        </w:rPr>
        <w:t>东莞市交通投资集团有限公司供应链服务平台项目</w:t>
      </w:r>
      <w:r>
        <w:rPr>
          <w:rFonts w:hint="eastAsia" w:ascii="宋体" w:hAnsi="宋体" w:cs="宋体"/>
          <w:sz w:val="22"/>
          <w:szCs w:val="22"/>
        </w:rPr>
        <w:t xml:space="preserve">  </w:t>
      </w:r>
    </w:p>
    <w:p>
      <w:pPr>
        <w:adjustRightInd w:val="0"/>
        <w:spacing w:line="560" w:lineRule="exact"/>
        <w:rPr>
          <w:rFonts w:ascii="宋体" w:hAnsi="宋体" w:cs="宋体"/>
          <w:sz w:val="22"/>
          <w:szCs w:val="22"/>
          <w:u w:val="single"/>
        </w:rPr>
      </w:pPr>
      <w:r>
        <w:rPr>
          <w:rFonts w:hint="eastAsia" w:ascii="宋体" w:hAnsi="宋体" w:cs="宋体"/>
          <w:sz w:val="22"/>
          <w:szCs w:val="22"/>
        </w:rPr>
        <w:t xml:space="preserve">项目编号：SL-CG2022028          </w:t>
      </w:r>
    </w:p>
    <w:tbl>
      <w:tblPr>
        <w:tblStyle w:val="34"/>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2238"/>
        <w:gridCol w:w="1488"/>
        <w:gridCol w:w="1315"/>
        <w:gridCol w:w="1679"/>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vAlign w:val="center"/>
          </w:tcPr>
          <w:p>
            <w:pPr>
              <w:spacing w:line="560" w:lineRule="exact"/>
              <w:jc w:val="center"/>
              <w:rPr>
                <w:rFonts w:ascii="宋体" w:hAnsi="宋体" w:cs="宋体"/>
                <w:b/>
                <w:bCs/>
                <w:sz w:val="22"/>
                <w:szCs w:val="22"/>
              </w:rPr>
            </w:pPr>
            <w:r>
              <w:rPr>
                <w:rFonts w:hint="eastAsia" w:ascii="宋体" w:hAnsi="宋体" w:cs="宋体"/>
                <w:b/>
                <w:bCs/>
                <w:sz w:val="22"/>
                <w:szCs w:val="22"/>
              </w:rPr>
              <w:t>序号</w:t>
            </w:r>
          </w:p>
        </w:tc>
        <w:tc>
          <w:tcPr>
            <w:tcW w:w="2238" w:type="dxa"/>
            <w:vAlign w:val="center"/>
          </w:tcPr>
          <w:p>
            <w:pPr>
              <w:spacing w:line="560" w:lineRule="exact"/>
              <w:jc w:val="center"/>
              <w:rPr>
                <w:rFonts w:ascii="宋体" w:hAnsi="宋体" w:cs="宋体"/>
                <w:b/>
                <w:bCs/>
                <w:sz w:val="22"/>
                <w:szCs w:val="22"/>
              </w:rPr>
            </w:pPr>
            <w:r>
              <w:rPr>
                <w:rFonts w:hint="eastAsia" w:ascii="宋体" w:hAnsi="宋体" w:cs="宋体"/>
                <w:b/>
                <w:bCs/>
                <w:sz w:val="22"/>
                <w:szCs w:val="22"/>
              </w:rPr>
              <w:t>货物名称或服务内容</w:t>
            </w:r>
          </w:p>
        </w:tc>
        <w:tc>
          <w:tcPr>
            <w:tcW w:w="1488" w:type="dxa"/>
            <w:vAlign w:val="center"/>
          </w:tcPr>
          <w:p>
            <w:pPr>
              <w:spacing w:line="560" w:lineRule="exact"/>
              <w:jc w:val="center"/>
              <w:rPr>
                <w:rFonts w:ascii="宋体" w:hAnsi="宋体" w:cs="宋体"/>
                <w:b/>
                <w:bCs/>
                <w:sz w:val="22"/>
                <w:szCs w:val="22"/>
              </w:rPr>
            </w:pPr>
            <w:r>
              <w:rPr>
                <w:rFonts w:hint="eastAsia" w:ascii="宋体" w:hAnsi="宋体" w:cs="宋体"/>
                <w:b/>
                <w:bCs/>
                <w:sz w:val="22"/>
                <w:szCs w:val="22"/>
              </w:rPr>
              <w:t>采购规格</w:t>
            </w:r>
          </w:p>
        </w:tc>
        <w:tc>
          <w:tcPr>
            <w:tcW w:w="1315" w:type="dxa"/>
            <w:vAlign w:val="center"/>
          </w:tcPr>
          <w:p>
            <w:pPr>
              <w:spacing w:line="560" w:lineRule="exact"/>
              <w:jc w:val="center"/>
              <w:rPr>
                <w:rFonts w:ascii="宋体" w:hAnsi="宋体" w:cs="宋体"/>
                <w:b/>
                <w:bCs/>
                <w:sz w:val="22"/>
                <w:szCs w:val="22"/>
              </w:rPr>
            </w:pPr>
            <w:r>
              <w:rPr>
                <w:rFonts w:hint="eastAsia" w:ascii="宋体" w:hAnsi="宋体" w:cs="宋体"/>
                <w:b/>
                <w:bCs/>
                <w:sz w:val="22"/>
                <w:szCs w:val="22"/>
              </w:rPr>
              <w:t>投标规格</w:t>
            </w:r>
          </w:p>
        </w:tc>
        <w:tc>
          <w:tcPr>
            <w:tcW w:w="1679" w:type="dxa"/>
            <w:vAlign w:val="center"/>
          </w:tcPr>
          <w:p>
            <w:pPr>
              <w:spacing w:line="560" w:lineRule="exact"/>
              <w:jc w:val="center"/>
              <w:rPr>
                <w:rFonts w:ascii="宋体" w:hAnsi="宋体" w:cs="宋体"/>
                <w:b/>
                <w:bCs/>
                <w:sz w:val="22"/>
                <w:szCs w:val="22"/>
              </w:rPr>
            </w:pPr>
            <w:r>
              <w:rPr>
                <w:rFonts w:hint="eastAsia" w:ascii="宋体" w:hAnsi="宋体" w:cs="宋体"/>
                <w:b/>
                <w:bCs/>
                <w:sz w:val="22"/>
                <w:szCs w:val="22"/>
              </w:rPr>
              <w:t>偏离</w:t>
            </w:r>
          </w:p>
        </w:tc>
        <w:tc>
          <w:tcPr>
            <w:tcW w:w="1680" w:type="dxa"/>
            <w:vAlign w:val="center"/>
          </w:tcPr>
          <w:p>
            <w:pPr>
              <w:spacing w:line="560" w:lineRule="exact"/>
              <w:jc w:val="center"/>
              <w:rPr>
                <w:rFonts w:ascii="宋体" w:hAnsi="宋体" w:cs="宋体"/>
                <w:b/>
                <w:bCs/>
                <w:sz w:val="22"/>
                <w:szCs w:val="22"/>
              </w:rPr>
            </w:pPr>
            <w:r>
              <w:rPr>
                <w:rFonts w:hint="eastAsia" w:ascii="宋体" w:hAnsi="宋体" w:cs="宋体"/>
                <w:b/>
                <w:bCs/>
                <w:sz w:val="22"/>
                <w:szCs w:val="2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vAlign w:val="center"/>
          </w:tcPr>
          <w:p>
            <w:pPr>
              <w:spacing w:line="560" w:lineRule="exact"/>
              <w:jc w:val="center"/>
              <w:rPr>
                <w:rFonts w:ascii="宋体" w:hAnsi="宋体" w:cs="宋体"/>
                <w:sz w:val="22"/>
                <w:szCs w:val="22"/>
              </w:rPr>
            </w:pPr>
            <w:r>
              <w:rPr>
                <w:rFonts w:hint="eastAsia" w:ascii="宋体" w:hAnsi="宋体" w:cs="宋体"/>
                <w:sz w:val="22"/>
                <w:szCs w:val="22"/>
              </w:rPr>
              <w:t>1</w:t>
            </w:r>
          </w:p>
        </w:tc>
        <w:tc>
          <w:tcPr>
            <w:tcW w:w="2238" w:type="dxa"/>
          </w:tcPr>
          <w:p>
            <w:pPr>
              <w:spacing w:line="560" w:lineRule="exact"/>
              <w:rPr>
                <w:rFonts w:ascii="宋体" w:hAnsi="宋体" w:cs="宋体"/>
                <w:sz w:val="22"/>
                <w:szCs w:val="22"/>
              </w:rPr>
            </w:pPr>
          </w:p>
        </w:tc>
        <w:tc>
          <w:tcPr>
            <w:tcW w:w="1488" w:type="dxa"/>
          </w:tcPr>
          <w:p>
            <w:pPr>
              <w:spacing w:line="560" w:lineRule="exact"/>
              <w:rPr>
                <w:rFonts w:ascii="宋体" w:hAnsi="宋体" w:cs="宋体"/>
                <w:sz w:val="22"/>
                <w:szCs w:val="22"/>
              </w:rPr>
            </w:pPr>
          </w:p>
        </w:tc>
        <w:tc>
          <w:tcPr>
            <w:tcW w:w="1315" w:type="dxa"/>
          </w:tcPr>
          <w:p>
            <w:pPr>
              <w:spacing w:line="560" w:lineRule="exact"/>
              <w:rPr>
                <w:rFonts w:ascii="宋体" w:hAnsi="宋体" w:cs="宋体"/>
                <w:sz w:val="22"/>
                <w:szCs w:val="22"/>
              </w:rPr>
            </w:pPr>
          </w:p>
        </w:tc>
        <w:tc>
          <w:tcPr>
            <w:tcW w:w="1679" w:type="dxa"/>
          </w:tcPr>
          <w:p>
            <w:pPr>
              <w:spacing w:line="560" w:lineRule="exact"/>
              <w:rPr>
                <w:rFonts w:ascii="宋体" w:hAnsi="宋体" w:cs="宋体"/>
                <w:sz w:val="22"/>
                <w:szCs w:val="22"/>
              </w:rPr>
            </w:pPr>
          </w:p>
        </w:tc>
        <w:tc>
          <w:tcPr>
            <w:tcW w:w="1680" w:type="dxa"/>
          </w:tcPr>
          <w:p>
            <w:pPr>
              <w:spacing w:line="56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vAlign w:val="center"/>
          </w:tcPr>
          <w:p>
            <w:pPr>
              <w:spacing w:line="560" w:lineRule="exact"/>
              <w:jc w:val="center"/>
              <w:rPr>
                <w:rFonts w:ascii="宋体" w:hAnsi="宋体" w:cs="宋体"/>
                <w:sz w:val="22"/>
                <w:szCs w:val="22"/>
              </w:rPr>
            </w:pPr>
            <w:r>
              <w:rPr>
                <w:rFonts w:hint="eastAsia" w:ascii="宋体" w:hAnsi="宋体" w:cs="宋体"/>
                <w:sz w:val="22"/>
                <w:szCs w:val="22"/>
              </w:rPr>
              <w:t>2</w:t>
            </w:r>
          </w:p>
        </w:tc>
        <w:tc>
          <w:tcPr>
            <w:tcW w:w="2238" w:type="dxa"/>
          </w:tcPr>
          <w:p>
            <w:pPr>
              <w:spacing w:line="560" w:lineRule="exact"/>
              <w:rPr>
                <w:rFonts w:ascii="宋体" w:hAnsi="宋体" w:cs="宋体"/>
                <w:sz w:val="22"/>
                <w:szCs w:val="22"/>
              </w:rPr>
            </w:pPr>
          </w:p>
        </w:tc>
        <w:tc>
          <w:tcPr>
            <w:tcW w:w="1488" w:type="dxa"/>
          </w:tcPr>
          <w:p>
            <w:pPr>
              <w:spacing w:line="560" w:lineRule="exact"/>
              <w:rPr>
                <w:rFonts w:ascii="宋体" w:hAnsi="宋体" w:cs="宋体"/>
                <w:sz w:val="22"/>
                <w:szCs w:val="22"/>
              </w:rPr>
            </w:pPr>
          </w:p>
        </w:tc>
        <w:tc>
          <w:tcPr>
            <w:tcW w:w="1315" w:type="dxa"/>
          </w:tcPr>
          <w:p>
            <w:pPr>
              <w:spacing w:line="560" w:lineRule="exact"/>
              <w:rPr>
                <w:rFonts w:ascii="宋体" w:hAnsi="宋体" w:cs="宋体"/>
                <w:sz w:val="22"/>
                <w:szCs w:val="22"/>
              </w:rPr>
            </w:pPr>
          </w:p>
        </w:tc>
        <w:tc>
          <w:tcPr>
            <w:tcW w:w="1679" w:type="dxa"/>
          </w:tcPr>
          <w:p>
            <w:pPr>
              <w:spacing w:line="560" w:lineRule="exact"/>
              <w:rPr>
                <w:rFonts w:ascii="宋体" w:hAnsi="宋体" w:cs="宋体"/>
                <w:sz w:val="22"/>
                <w:szCs w:val="22"/>
              </w:rPr>
            </w:pPr>
          </w:p>
        </w:tc>
        <w:tc>
          <w:tcPr>
            <w:tcW w:w="1680" w:type="dxa"/>
          </w:tcPr>
          <w:p>
            <w:pPr>
              <w:spacing w:line="56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vAlign w:val="center"/>
          </w:tcPr>
          <w:p>
            <w:pPr>
              <w:spacing w:line="560" w:lineRule="exact"/>
              <w:jc w:val="center"/>
              <w:rPr>
                <w:rFonts w:ascii="宋体" w:hAnsi="宋体" w:cs="宋体"/>
                <w:sz w:val="22"/>
                <w:szCs w:val="22"/>
              </w:rPr>
            </w:pPr>
            <w:r>
              <w:rPr>
                <w:rFonts w:hint="eastAsia" w:ascii="宋体" w:hAnsi="宋体" w:cs="宋体"/>
                <w:sz w:val="22"/>
                <w:szCs w:val="22"/>
              </w:rPr>
              <w:t>3</w:t>
            </w:r>
          </w:p>
        </w:tc>
        <w:tc>
          <w:tcPr>
            <w:tcW w:w="2238" w:type="dxa"/>
          </w:tcPr>
          <w:p>
            <w:pPr>
              <w:spacing w:line="560" w:lineRule="exact"/>
              <w:rPr>
                <w:rFonts w:ascii="宋体" w:hAnsi="宋体" w:cs="宋体"/>
                <w:sz w:val="22"/>
                <w:szCs w:val="22"/>
              </w:rPr>
            </w:pPr>
          </w:p>
        </w:tc>
        <w:tc>
          <w:tcPr>
            <w:tcW w:w="1488" w:type="dxa"/>
          </w:tcPr>
          <w:p>
            <w:pPr>
              <w:spacing w:line="560" w:lineRule="exact"/>
              <w:rPr>
                <w:rFonts w:ascii="宋体" w:hAnsi="宋体" w:cs="宋体"/>
                <w:sz w:val="22"/>
                <w:szCs w:val="22"/>
              </w:rPr>
            </w:pPr>
          </w:p>
        </w:tc>
        <w:tc>
          <w:tcPr>
            <w:tcW w:w="1315" w:type="dxa"/>
          </w:tcPr>
          <w:p>
            <w:pPr>
              <w:spacing w:line="560" w:lineRule="exact"/>
              <w:rPr>
                <w:rFonts w:ascii="宋体" w:hAnsi="宋体" w:cs="宋体"/>
                <w:sz w:val="22"/>
                <w:szCs w:val="22"/>
              </w:rPr>
            </w:pPr>
          </w:p>
        </w:tc>
        <w:tc>
          <w:tcPr>
            <w:tcW w:w="1679" w:type="dxa"/>
          </w:tcPr>
          <w:p>
            <w:pPr>
              <w:spacing w:line="560" w:lineRule="exact"/>
              <w:rPr>
                <w:rFonts w:ascii="宋体" w:hAnsi="宋体" w:cs="宋体"/>
                <w:sz w:val="22"/>
                <w:szCs w:val="22"/>
              </w:rPr>
            </w:pPr>
          </w:p>
        </w:tc>
        <w:tc>
          <w:tcPr>
            <w:tcW w:w="1680" w:type="dxa"/>
          </w:tcPr>
          <w:p>
            <w:pPr>
              <w:spacing w:line="56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2" w:type="dxa"/>
            <w:vAlign w:val="center"/>
          </w:tcPr>
          <w:p>
            <w:pPr>
              <w:spacing w:line="560" w:lineRule="exact"/>
              <w:jc w:val="center"/>
              <w:rPr>
                <w:rFonts w:ascii="宋体" w:hAnsi="宋体" w:cs="宋体"/>
                <w:sz w:val="22"/>
                <w:szCs w:val="22"/>
              </w:rPr>
            </w:pPr>
            <w:r>
              <w:rPr>
                <w:rFonts w:hint="eastAsia" w:ascii="宋体" w:hAnsi="宋体" w:cs="宋体"/>
                <w:sz w:val="22"/>
                <w:szCs w:val="22"/>
              </w:rPr>
              <w:t>4</w:t>
            </w:r>
          </w:p>
        </w:tc>
        <w:tc>
          <w:tcPr>
            <w:tcW w:w="2238" w:type="dxa"/>
          </w:tcPr>
          <w:p>
            <w:pPr>
              <w:spacing w:line="560" w:lineRule="exact"/>
              <w:rPr>
                <w:rFonts w:ascii="宋体" w:hAnsi="宋体" w:cs="宋体"/>
                <w:sz w:val="22"/>
                <w:szCs w:val="22"/>
              </w:rPr>
            </w:pPr>
          </w:p>
        </w:tc>
        <w:tc>
          <w:tcPr>
            <w:tcW w:w="1488" w:type="dxa"/>
          </w:tcPr>
          <w:p>
            <w:pPr>
              <w:spacing w:line="560" w:lineRule="exact"/>
              <w:rPr>
                <w:rFonts w:ascii="宋体" w:hAnsi="宋体" w:cs="宋体"/>
                <w:sz w:val="22"/>
                <w:szCs w:val="22"/>
              </w:rPr>
            </w:pPr>
          </w:p>
        </w:tc>
        <w:tc>
          <w:tcPr>
            <w:tcW w:w="1315" w:type="dxa"/>
          </w:tcPr>
          <w:p>
            <w:pPr>
              <w:spacing w:line="560" w:lineRule="exact"/>
              <w:rPr>
                <w:rFonts w:ascii="宋体" w:hAnsi="宋体" w:cs="宋体"/>
                <w:sz w:val="22"/>
                <w:szCs w:val="22"/>
              </w:rPr>
            </w:pPr>
          </w:p>
        </w:tc>
        <w:tc>
          <w:tcPr>
            <w:tcW w:w="1679" w:type="dxa"/>
          </w:tcPr>
          <w:p>
            <w:pPr>
              <w:spacing w:line="560" w:lineRule="exact"/>
              <w:rPr>
                <w:rFonts w:ascii="宋体" w:hAnsi="宋体" w:cs="宋体"/>
                <w:sz w:val="22"/>
                <w:szCs w:val="22"/>
              </w:rPr>
            </w:pPr>
          </w:p>
        </w:tc>
        <w:tc>
          <w:tcPr>
            <w:tcW w:w="1680" w:type="dxa"/>
          </w:tcPr>
          <w:p>
            <w:pPr>
              <w:spacing w:line="56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vAlign w:val="center"/>
          </w:tcPr>
          <w:p>
            <w:pPr>
              <w:spacing w:line="560" w:lineRule="exact"/>
              <w:jc w:val="center"/>
              <w:rPr>
                <w:rFonts w:ascii="宋体" w:hAnsi="宋体" w:cs="宋体"/>
                <w:sz w:val="22"/>
                <w:szCs w:val="22"/>
              </w:rPr>
            </w:pPr>
            <w:r>
              <w:rPr>
                <w:rFonts w:hint="eastAsia" w:ascii="宋体" w:hAnsi="宋体" w:cs="宋体"/>
                <w:sz w:val="22"/>
                <w:szCs w:val="22"/>
              </w:rPr>
              <w:t>5</w:t>
            </w:r>
          </w:p>
        </w:tc>
        <w:tc>
          <w:tcPr>
            <w:tcW w:w="2238" w:type="dxa"/>
          </w:tcPr>
          <w:p>
            <w:pPr>
              <w:spacing w:line="560" w:lineRule="exact"/>
              <w:rPr>
                <w:rFonts w:ascii="宋体" w:hAnsi="宋体" w:cs="宋体"/>
                <w:sz w:val="22"/>
                <w:szCs w:val="22"/>
              </w:rPr>
            </w:pPr>
          </w:p>
        </w:tc>
        <w:tc>
          <w:tcPr>
            <w:tcW w:w="1488" w:type="dxa"/>
          </w:tcPr>
          <w:p>
            <w:pPr>
              <w:spacing w:line="560" w:lineRule="exact"/>
              <w:rPr>
                <w:rFonts w:ascii="宋体" w:hAnsi="宋体" w:cs="宋体"/>
                <w:sz w:val="22"/>
                <w:szCs w:val="22"/>
              </w:rPr>
            </w:pPr>
          </w:p>
        </w:tc>
        <w:tc>
          <w:tcPr>
            <w:tcW w:w="1315" w:type="dxa"/>
          </w:tcPr>
          <w:p>
            <w:pPr>
              <w:spacing w:line="560" w:lineRule="exact"/>
              <w:rPr>
                <w:rFonts w:ascii="宋体" w:hAnsi="宋体" w:cs="宋体"/>
                <w:sz w:val="22"/>
                <w:szCs w:val="22"/>
              </w:rPr>
            </w:pPr>
          </w:p>
        </w:tc>
        <w:tc>
          <w:tcPr>
            <w:tcW w:w="1679" w:type="dxa"/>
          </w:tcPr>
          <w:p>
            <w:pPr>
              <w:spacing w:line="560" w:lineRule="exact"/>
              <w:rPr>
                <w:rFonts w:ascii="宋体" w:hAnsi="宋体" w:cs="宋体"/>
                <w:sz w:val="22"/>
                <w:szCs w:val="22"/>
              </w:rPr>
            </w:pPr>
          </w:p>
        </w:tc>
        <w:tc>
          <w:tcPr>
            <w:tcW w:w="1680" w:type="dxa"/>
          </w:tcPr>
          <w:p>
            <w:pPr>
              <w:spacing w:line="56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vAlign w:val="center"/>
          </w:tcPr>
          <w:p>
            <w:pPr>
              <w:spacing w:line="560" w:lineRule="exact"/>
              <w:jc w:val="center"/>
              <w:rPr>
                <w:rFonts w:ascii="宋体" w:hAnsi="宋体" w:cs="宋体"/>
                <w:sz w:val="22"/>
                <w:szCs w:val="22"/>
              </w:rPr>
            </w:pPr>
            <w:r>
              <w:rPr>
                <w:rFonts w:hint="eastAsia" w:ascii="宋体" w:hAnsi="宋体" w:cs="宋体"/>
                <w:sz w:val="22"/>
                <w:szCs w:val="22"/>
              </w:rPr>
              <w:t>6</w:t>
            </w:r>
          </w:p>
        </w:tc>
        <w:tc>
          <w:tcPr>
            <w:tcW w:w="2238" w:type="dxa"/>
          </w:tcPr>
          <w:p>
            <w:pPr>
              <w:spacing w:line="560" w:lineRule="exact"/>
              <w:rPr>
                <w:rFonts w:ascii="宋体" w:hAnsi="宋体" w:cs="宋体"/>
                <w:sz w:val="22"/>
                <w:szCs w:val="22"/>
              </w:rPr>
            </w:pPr>
          </w:p>
        </w:tc>
        <w:tc>
          <w:tcPr>
            <w:tcW w:w="1488" w:type="dxa"/>
          </w:tcPr>
          <w:p>
            <w:pPr>
              <w:spacing w:line="560" w:lineRule="exact"/>
              <w:rPr>
                <w:rFonts w:ascii="宋体" w:hAnsi="宋体" w:cs="宋体"/>
                <w:sz w:val="22"/>
                <w:szCs w:val="22"/>
              </w:rPr>
            </w:pPr>
          </w:p>
        </w:tc>
        <w:tc>
          <w:tcPr>
            <w:tcW w:w="1315" w:type="dxa"/>
          </w:tcPr>
          <w:p>
            <w:pPr>
              <w:spacing w:line="560" w:lineRule="exact"/>
              <w:rPr>
                <w:rFonts w:ascii="宋体" w:hAnsi="宋体" w:cs="宋体"/>
                <w:sz w:val="22"/>
                <w:szCs w:val="22"/>
              </w:rPr>
            </w:pPr>
          </w:p>
        </w:tc>
        <w:tc>
          <w:tcPr>
            <w:tcW w:w="1679" w:type="dxa"/>
          </w:tcPr>
          <w:p>
            <w:pPr>
              <w:spacing w:line="560" w:lineRule="exact"/>
              <w:rPr>
                <w:rFonts w:ascii="宋体" w:hAnsi="宋体" w:cs="宋体"/>
                <w:sz w:val="22"/>
                <w:szCs w:val="22"/>
              </w:rPr>
            </w:pPr>
          </w:p>
        </w:tc>
        <w:tc>
          <w:tcPr>
            <w:tcW w:w="1680" w:type="dxa"/>
          </w:tcPr>
          <w:p>
            <w:pPr>
              <w:spacing w:line="56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2" w:type="dxa"/>
            <w:vAlign w:val="center"/>
          </w:tcPr>
          <w:p>
            <w:pPr>
              <w:spacing w:line="560" w:lineRule="exact"/>
              <w:jc w:val="center"/>
              <w:rPr>
                <w:rFonts w:ascii="宋体" w:hAnsi="宋体" w:cs="宋体"/>
                <w:sz w:val="22"/>
                <w:szCs w:val="22"/>
              </w:rPr>
            </w:pPr>
            <w:r>
              <w:rPr>
                <w:rFonts w:hint="eastAsia" w:ascii="宋体" w:hAnsi="宋体" w:cs="宋体"/>
                <w:sz w:val="22"/>
                <w:szCs w:val="22"/>
              </w:rPr>
              <w:t>7</w:t>
            </w:r>
          </w:p>
        </w:tc>
        <w:tc>
          <w:tcPr>
            <w:tcW w:w="2238" w:type="dxa"/>
          </w:tcPr>
          <w:p>
            <w:pPr>
              <w:spacing w:line="560" w:lineRule="exact"/>
              <w:rPr>
                <w:rFonts w:ascii="宋体" w:hAnsi="宋体" w:cs="宋体"/>
                <w:sz w:val="22"/>
                <w:szCs w:val="22"/>
              </w:rPr>
            </w:pPr>
          </w:p>
        </w:tc>
        <w:tc>
          <w:tcPr>
            <w:tcW w:w="1488" w:type="dxa"/>
          </w:tcPr>
          <w:p>
            <w:pPr>
              <w:spacing w:line="560" w:lineRule="exact"/>
              <w:rPr>
                <w:rFonts w:ascii="宋体" w:hAnsi="宋体" w:cs="宋体"/>
                <w:sz w:val="22"/>
                <w:szCs w:val="22"/>
              </w:rPr>
            </w:pPr>
          </w:p>
        </w:tc>
        <w:tc>
          <w:tcPr>
            <w:tcW w:w="1315" w:type="dxa"/>
          </w:tcPr>
          <w:p>
            <w:pPr>
              <w:spacing w:line="560" w:lineRule="exact"/>
              <w:rPr>
                <w:rFonts w:ascii="宋体" w:hAnsi="宋体" w:cs="宋体"/>
                <w:sz w:val="22"/>
                <w:szCs w:val="22"/>
              </w:rPr>
            </w:pPr>
          </w:p>
        </w:tc>
        <w:tc>
          <w:tcPr>
            <w:tcW w:w="1679" w:type="dxa"/>
          </w:tcPr>
          <w:p>
            <w:pPr>
              <w:spacing w:line="560" w:lineRule="exact"/>
              <w:rPr>
                <w:rFonts w:ascii="宋体" w:hAnsi="宋体" w:cs="宋体"/>
                <w:sz w:val="22"/>
                <w:szCs w:val="22"/>
              </w:rPr>
            </w:pPr>
          </w:p>
        </w:tc>
        <w:tc>
          <w:tcPr>
            <w:tcW w:w="1680" w:type="dxa"/>
          </w:tcPr>
          <w:p>
            <w:pPr>
              <w:spacing w:line="56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2" w:type="dxa"/>
            <w:vAlign w:val="center"/>
          </w:tcPr>
          <w:p>
            <w:pPr>
              <w:spacing w:line="560" w:lineRule="exact"/>
              <w:jc w:val="center"/>
              <w:rPr>
                <w:rFonts w:ascii="宋体" w:hAnsi="宋体" w:cs="宋体"/>
                <w:sz w:val="22"/>
                <w:szCs w:val="22"/>
              </w:rPr>
            </w:pPr>
            <w:r>
              <w:rPr>
                <w:rFonts w:hint="eastAsia" w:ascii="宋体" w:hAnsi="宋体" w:cs="宋体"/>
                <w:sz w:val="22"/>
                <w:szCs w:val="22"/>
              </w:rPr>
              <w:t>8</w:t>
            </w:r>
          </w:p>
        </w:tc>
        <w:tc>
          <w:tcPr>
            <w:tcW w:w="2238" w:type="dxa"/>
          </w:tcPr>
          <w:p>
            <w:pPr>
              <w:spacing w:line="560" w:lineRule="exact"/>
              <w:rPr>
                <w:rFonts w:ascii="宋体" w:hAnsi="宋体" w:cs="宋体"/>
                <w:sz w:val="22"/>
                <w:szCs w:val="22"/>
              </w:rPr>
            </w:pPr>
          </w:p>
        </w:tc>
        <w:tc>
          <w:tcPr>
            <w:tcW w:w="1488" w:type="dxa"/>
          </w:tcPr>
          <w:p>
            <w:pPr>
              <w:spacing w:line="560" w:lineRule="exact"/>
              <w:rPr>
                <w:rFonts w:ascii="宋体" w:hAnsi="宋体" w:cs="宋体"/>
                <w:sz w:val="22"/>
                <w:szCs w:val="22"/>
              </w:rPr>
            </w:pPr>
          </w:p>
        </w:tc>
        <w:tc>
          <w:tcPr>
            <w:tcW w:w="1315" w:type="dxa"/>
          </w:tcPr>
          <w:p>
            <w:pPr>
              <w:spacing w:line="560" w:lineRule="exact"/>
              <w:rPr>
                <w:rFonts w:ascii="宋体" w:hAnsi="宋体" w:cs="宋体"/>
                <w:sz w:val="22"/>
                <w:szCs w:val="22"/>
              </w:rPr>
            </w:pPr>
          </w:p>
        </w:tc>
        <w:tc>
          <w:tcPr>
            <w:tcW w:w="1679" w:type="dxa"/>
          </w:tcPr>
          <w:p>
            <w:pPr>
              <w:spacing w:line="560" w:lineRule="exact"/>
              <w:rPr>
                <w:rFonts w:ascii="宋体" w:hAnsi="宋体" w:cs="宋体"/>
                <w:sz w:val="22"/>
                <w:szCs w:val="22"/>
              </w:rPr>
            </w:pPr>
          </w:p>
        </w:tc>
        <w:tc>
          <w:tcPr>
            <w:tcW w:w="1680" w:type="dxa"/>
          </w:tcPr>
          <w:p>
            <w:pPr>
              <w:spacing w:line="56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2" w:type="dxa"/>
            <w:vAlign w:val="center"/>
          </w:tcPr>
          <w:p>
            <w:pPr>
              <w:spacing w:line="560" w:lineRule="exact"/>
              <w:jc w:val="center"/>
              <w:rPr>
                <w:rFonts w:ascii="宋体" w:hAnsi="宋体" w:cs="宋体"/>
                <w:sz w:val="22"/>
                <w:szCs w:val="22"/>
              </w:rPr>
            </w:pPr>
            <w:r>
              <w:rPr>
                <w:rFonts w:hint="eastAsia" w:ascii="宋体" w:hAnsi="宋体" w:cs="宋体"/>
                <w:sz w:val="22"/>
                <w:szCs w:val="22"/>
              </w:rPr>
              <w:t>9</w:t>
            </w:r>
          </w:p>
        </w:tc>
        <w:tc>
          <w:tcPr>
            <w:tcW w:w="2238" w:type="dxa"/>
          </w:tcPr>
          <w:p>
            <w:pPr>
              <w:spacing w:line="560" w:lineRule="exact"/>
              <w:rPr>
                <w:rFonts w:ascii="宋体" w:hAnsi="宋体" w:cs="宋体"/>
                <w:sz w:val="22"/>
                <w:szCs w:val="22"/>
              </w:rPr>
            </w:pPr>
          </w:p>
        </w:tc>
        <w:tc>
          <w:tcPr>
            <w:tcW w:w="1488" w:type="dxa"/>
          </w:tcPr>
          <w:p>
            <w:pPr>
              <w:spacing w:line="560" w:lineRule="exact"/>
              <w:rPr>
                <w:rFonts w:ascii="宋体" w:hAnsi="宋体" w:cs="宋体"/>
                <w:sz w:val="22"/>
                <w:szCs w:val="22"/>
              </w:rPr>
            </w:pPr>
          </w:p>
        </w:tc>
        <w:tc>
          <w:tcPr>
            <w:tcW w:w="1315" w:type="dxa"/>
          </w:tcPr>
          <w:p>
            <w:pPr>
              <w:spacing w:line="560" w:lineRule="exact"/>
              <w:rPr>
                <w:rFonts w:ascii="宋体" w:hAnsi="宋体" w:cs="宋体"/>
                <w:sz w:val="22"/>
                <w:szCs w:val="22"/>
              </w:rPr>
            </w:pPr>
          </w:p>
        </w:tc>
        <w:tc>
          <w:tcPr>
            <w:tcW w:w="1679" w:type="dxa"/>
          </w:tcPr>
          <w:p>
            <w:pPr>
              <w:spacing w:line="560" w:lineRule="exact"/>
              <w:rPr>
                <w:rFonts w:ascii="宋体" w:hAnsi="宋体" w:cs="宋体"/>
                <w:sz w:val="22"/>
                <w:szCs w:val="22"/>
              </w:rPr>
            </w:pPr>
          </w:p>
        </w:tc>
        <w:tc>
          <w:tcPr>
            <w:tcW w:w="1680" w:type="dxa"/>
          </w:tcPr>
          <w:p>
            <w:pPr>
              <w:spacing w:line="56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2" w:type="dxa"/>
            <w:vAlign w:val="center"/>
          </w:tcPr>
          <w:p>
            <w:pPr>
              <w:spacing w:line="560" w:lineRule="exact"/>
              <w:jc w:val="center"/>
              <w:rPr>
                <w:rFonts w:ascii="宋体" w:hAnsi="宋体" w:cs="宋体"/>
                <w:sz w:val="22"/>
                <w:szCs w:val="22"/>
              </w:rPr>
            </w:pPr>
            <w:r>
              <w:rPr>
                <w:rFonts w:hint="eastAsia" w:ascii="宋体" w:hAnsi="宋体" w:cs="宋体"/>
                <w:sz w:val="22"/>
                <w:szCs w:val="22"/>
              </w:rPr>
              <w:t>……</w:t>
            </w:r>
          </w:p>
        </w:tc>
        <w:tc>
          <w:tcPr>
            <w:tcW w:w="2238" w:type="dxa"/>
          </w:tcPr>
          <w:p>
            <w:pPr>
              <w:spacing w:line="560" w:lineRule="exact"/>
              <w:rPr>
                <w:rFonts w:ascii="宋体" w:hAnsi="宋体" w:cs="宋体"/>
                <w:sz w:val="22"/>
                <w:szCs w:val="22"/>
              </w:rPr>
            </w:pPr>
          </w:p>
        </w:tc>
        <w:tc>
          <w:tcPr>
            <w:tcW w:w="1488" w:type="dxa"/>
          </w:tcPr>
          <w:p>
            <w:pPr>
              <w:spacing w:line="560" w:lineRule="exact"/>
              <w:rPr>
                <w:rFonts w:ascii="宋体" w:hAnsi="宋体" w:cs="宋体"/>
                <w:sz w:val="22"/>
                <w:szCs w:val="22"/>
              </w:rPr>
            </w:pPr>
          </w:p>
        </w:tc>
        <w:tc>
          <w:tcPr>
            <w:tcW w:w="1315" w:type="dxa"/>
          </w:tcPr>
          <w:p>
            <w:pPr>
              <w:spacing w:line="560" w:lineRule="exact"/>
              <w:rPr>
                <w:rFonts w:ascii="宋体" w:hAnsi="宋体" w:cs="宋体"/>
                <w:sz w:val="22"/>
                <w:szCs w:val="22"/>
              </w:rPr>
            </w:pPr>
          </w:p>
        </w:tc>
        <w:tc>
          <w:tcPr>
            <w:tcW w:w="1679" w:type="dxa"/>
          </w:tcPr>
          <w:p>
            <w:pPr>
              <w:spacing w:line="560" w:lineRule="exact"/>
              <w:rPr>
                <w:rFonts w:ascii="宋体" w:hAnsi="宋体" w:cs="宋体"/>
                <w:sz w:val="22"/>
                <w:szCs w:val="22"/>
              </w:rPr>
            </w:pPr>
          </w:p>
        </w:tc>
        <w:tc>
          <w:tcPr>
            <w:tcW w:w="1680" w:type="dxa"/>
          </w:tcPr>
          <w:p>
            <w:pPr>
              <w:spacing w:line="560" w:lineRule="exact"/>
              <w:rPr>
                <w:rFonts w:ascii="宋体" w:hAnsi="宋体" w:cs="宋体"/>
                <w:sz w:val="22"/>
                <w:szCs w:val="22"/>
              </w:rPr>
            </w:pPr>
          </w:p>
        </w:tc>
      </w:tr>
    </w:tbl>
    <w:p>
      <w:pPr>
        <w:spacing w:line="560" w:lineRule="exact"/>
        <w:rPr>
          <w:rFonts w:ascii="宋体" w:hAnsi="宋体" w:cs="宋体"/>
          <w:b/>
          <w:sz w:val="22"/>
          <w:szCs w:val="22"/>
        </w:rPr>
      </w:pPr>
    </w:p>
    <w:p>
      <w:pPr>
        <w:rPr>
          <w:rFonts w:ascii="宋体" w:hAnsi="宋体" w:cs="宋体"/>
          <w:sz w:val="22"/>
          <w:szCs w:val="22"/>
        </w:rPr>
      </w:pPr>
    </w:p>
    <w:p/>
    <w:p>
      <w:pPr>
        <w:pStyle w:val="47"/>
        <w:spacing w:line="360" w:lineRule="auto"/>
        <w:ind w:firstLine="3964" w:firstLineChars="1802"/>
        <w:rPr>
          <w:rFonts w:ascii="宋体" w:eastAsia="宋体"/>
          <w:sz w:val="22"/>
          <w:szCs w:val="22"/>
          <w:u w:val="single"/>
        </w:rPr>
      </w:pPr>
      <w:r>
        <w:rPr>
          <w:rFonts w:hint="eastAsia" w:ascii="宋体" w:eastAsia="宋体"/>
          <w:sz w:val="22"/>
          <w:szCs w:val="22"/>
        </w:rPr>
        <w:t xml:space="preserve">投标人名称（加盖公章）： </w:t>
      </w:r>
    </w:p>
    <w:p>
      <w:pPr>
        <w:pStyle w:val="47"/>
        <w:spacing w:line="360" w:lineRule="auto"/>
        <w:ind w:firstLine="3964" w:firstLineChars="1802"/>
        <w:rPr>
          <w:rFonts w:ascii="宋体" w:eastAsia="宋体"/>
          <w:sz w:val="22"/>
          <w:szCs w:val="22"/>
        </w:rPr>
      </w:pPr>
      <w:r>
        <w:rPr>
          <w:rFonts w:hint="eastAsia" w:ascii="宋体" w:eastAsia="宋体"/>
          <w:sz w:val="22"/>
          <w:szCs w:val="22"/>
        </w:rPr>
        <w:t>投标人法定代表人或被授权人（签名或盖私章）：</w:t>
      </w:r>
    </w:p>
    <w:p>
      <w:pPr>
        <w:pStyle w:val="47"/>
        <w:spacing w:line="360" w:lineRule="auto"/>
        <w:ind w:firstLine="3964" w:firstLineChars="1802"/>
        <w:rPr>
          <w:rFonts w:ascii="宋体" w:eastAsia="宋体"/>
          <w:sz w:val="22"/>
          <w:szCs w:val="22"/>
          <w:u w:val="single"/>
        </w:rPr>
      </w:pPr>
      <w:r>
        <w:rPr>
          <w:rFonts w:hint="eastAsia" w:ascii="宋体" w:eastAsia="宋体"/>
          <w:sz w:val="22"/>
          <w:szCs w:val="22"/>
        </w:rPr>
        <w:t>日期：</w:t>
      </w:r>
      <w:r>
        <w:rPr>
          <w:rFonts w:hint="eastAsia" w:ascii="宋体" w:eastAsia="宋体"/>
          <w:sz w:val="22"/>
          <w:szCs w:val="22"/>
          <w:u w:val="single"/>
        </w:rPr>
        <w:t xml:space="preserve">     年     月      日</w:t>
      </w:r>
    </w:p>
    <w:p>
      <w:pPr>
        <w:pStyle w:val="63"/>
        <w:spacing w:line="560" w:lineRule="exact"/>
        <w:rPr>
          <w:rFonts w:ascii="宋体" w:eastAsia="宋体" w:cs="宋体"/>
          <w:sz w:val="22"/>
          <w:szCs w:val="22"/>
        </w:rPr>
      </w:pPr>
    </w:p>
    <w:p>
      <w:pPr>
        <w:pStyle w:val="17"/>
        <w:spacing w:after="100" w:afterAutospacing="1" w:line="360" w:lineRule="auto"/>
        <w:ind w:left="0" w:leftChars="0"/>
        <w:rPr>
          <w:rFonts w:ascii="宋体" w:hAnsi="宋体" w:cs="宋体"/>
          <w:sz w:val="22"/>
          <w:szCs w:val="22"/>
        </w:rPr>
      </w:pPr>
      <w:r>
        <w:rPr>
          <w:rFonts w:hint="eastAsia" w:ascii="宋体" w:hAnsi="宋体" w:cs="宋体"/>
          <w:sz w:val="22"/>
          <w:szCs w:val="22"/>
        </w:rPr>
        <w:t>注：投标人应按照招标文件要求，根据“用户需求书”内容作出全面响应。对响应有差异的，则说明差异的内容。不论出于何种原因此表未填写，投标人都被认为已清楚了解招标文件要求并对招标文件所需的设备的技术参数作全面响应，投标人必须承担完成用户需求所描述的内容的义务。</w:t>
      </w:r>
    </w:p>
    <w:p>
      <w:pPr>
        <w:spacing w:after="60" w:line="360" w:lineRule="auto"/>
        <w:jc w:val="center"/>
        <w:outlineLvl w:val="2"/>
        <w:rPr>
          <w:rFonts w:ascii="宋体" w:hAnsi="宋体" w:cs="宋体"/>
          <w:b/>
          <w:sz w:val="22"/>
          <w:szCs w:val="22"/>
        </w:rPr>
      </w:pPr>
      <w:r>
        <w:rPr>
          <w:rFonts w:hint="eastAsia" w:ascii="宋体" w:hAnsi="宋体" w:cs="宋体"/>
          <w:sz w:val="22"/>
          <w:szCs w:val="22"/>
          <w:u w:val="single"/>
        </w:rPr>
        <w:br w:type="page"/>
      </w:r>
      <w:r>
        <w:rPr>
          <w:rFonts w:hint="eastAsia" w:ascii="宋体" w:hAnsi="宋体" w:cs="宋体"/>
          <w:b/>
          <w:sz w:val="22"/>
          <w:szCs w:val="22"/>
        </w:rPr>
        <w:t xml:space="preserve"> </w:t>
      </w:r>
      <w:bookmarkStart w:id="1325" w:name="_Toc7656"/>
      <w:bookmarkStart w:id="1326" w:name="_Toc23000"/>
      <w:bookmarkStart w:id="1327" w:name="_Toc20271"/>
      <w:bookmarkStart w:id="1328" w:name="_Toc454875067"/>
      <w:bookmarkStart w:id="1329" w:name="_Toc5403"/>
      <w:bookmarkStart w:id="1330" w:name="_Toc27635"/>
      <w:r>
        <w:rPr>
          <w:rFonts w:hint="eastAsia" w:ascii="宋体" w:hAnsi="宋体" w:cs="宋体"/>
          <w:b/>
          <w:sz w:val="22"/>
          <w:szCs w:val="22"/>
        </w:rPr>
        <w:t>17、商务条款偏离表</w:t>
      </w:r>
      <w:bookmarkEnd w:id="1325"/>
      <w:bookmarkEnd w:id="1326"/>
      <w:bookmarkEnd w:id="1327"/>
      <w:bookmarkEnd w:id="1328"/>
      <w:bookmarkEnd w:id="1329"/>
      <w:bookmarkEnd w:id="1330"/>
    </w:p>
    <w:p>
      <w:pPr>
        <w:adjustRightInd w:val="0"/>
        <w:spacing w:line="560" w:lineRule="exact"/>
        <w:rPr>
          <w:rFonts w:ascii="宋体" w:hAnsi="宋体" w:cs="宋体"/>
          <w:sz w:val="22"/>
          <w:szCs w:val="22"/>
        </w:rPr>
      </w:pPr>
      <w:r>
        <w:rPr>
          <w:rFonts w:hint="eastAsia" w:ascii="宋体" w:hAnsi="宋体" w:cs="宋体"/>
          <w:sz w:val="22"/>
          <w:szCs w:val="22"/>
        </w:rPr>
        <w:t>项目名称：</w:t>
      </w:r>
      <w:r>
        <w:rPr>
          <w:rFonts w:hint="eastAsia" w:ascii="宋体" w:hAnsi="宋体" w:cs="宋体"/>
          <w:sz w:val="22"/>
          <w:szCs w:val="22"/>
          <w:lang w:eastAsia="zh-CN"/>
        </w:rPr>
        <w:t>东莞市交通投资集团有限公司供应链服务平台项目</w:t>
      </w:r>
      <w:r>
        <w:rPr>
          <w:rFonts w:hint="eastAsia" w:ascii="宋体" w:hAnsi="宋体" w:cs="宋体"/>
          <w:sz w:val="22"/>
          <w:szCs w:val="22"/>
        </w:rPr>
        <w:t xml:space="preserve">  </w:t>
      </w:r>
    </w:p>
    <w:p>
      <w:pPr>
        <w:adjustRightInd w:val="0"/>
        <w:spacing w:line="560" w:lineRule="exact"/>
        <w:rPr>
          <w:rFonts w:ascii="宋体" w:hAnsi="宋体" w:cs="宋体"/>
          <w:sz w:val="22"/>
          <w:szCs w:val="22"/>
          <w:u w:val="single"/>
        </w:rPr>
      </w:pPr>
      <w:r>
        <w:rPr>
          <w:rFonts w:hint="eastAsia" w:ascii="宋体" w:hAnsi="宋体" w:cs="宋体"/>
          <w:sz w:val="22"/>
          <w:szCs w:val="22"/>
        </w:rPr>
        <w:t xml:space="preserve">项目编号：SL-CG2022028        </w:t>
      </w:r>
    </w:p>
    <w:tbl>
      <w:tblPr>
        <w:tblStyle w:val="34"/>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3"/>
        <w:gridCol w:w="2006"/>
        <w:gridCol w:w="2004"/>
        <w:gridCol w:w="2004"/>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3" w:type="dxa"/>
            <w:vAlign w:val="center"/>
          </w:tcPr>
          <w:p>
            <w:pPr>
              <w:spacing w:line="560" w:lineRule="exact"/>
              <w:jc w:val="center"/>
              <w:rPr>
                <w:rFonts w:ascii="宋体" w:hAnsi="宋体" w:cs="宋体"/>
                <w:b/>
                <w:bCs/>
                <w:sz w:val="22"/>
                <w:szCs w:val="22"/>
              </w:rPr>
            </w:pPr>
            <w:r>
              <w:rPr>
                <w:rFonts w:hint="eastAsia" w:ascii="宋体" w:hAnsi="宋体" w:cs="宋体"/>
                <w:b/>
                <w:bCs/>
                <w:sz w:val="22"/>
                <w:szCs w:val="22"/>
              </w:rPr>
              <w:t>序号</w:t>
            </w:r>
          </w:p>
        </w:tc>
        <w:tc>
          <w:tcPr>
            <w:tcW w:w="2006" w:type="dxa"/>
          </w:tcPr>
          <w:p>
            <w:pPr>
              <w:spacing w:line="560" w:lineRule="exact"/>
              <w:jc w:val="center"/>
              <w:rPr>
                <w:rFonts w:ascii="宋体" w:hAnsi="宋体" w:cs="宋体"/>
                <w:b/>
                <w:bCs/>
                <w:sz w:val="22"/>
                <w:szCs w:val="22"/>
              </w:rPr>
            </w:pPr>
            <w:r>
              <w:rPr>
                <w:rFonts w:hint="eastAsia" w:ascii="宋体" w:hAnsi="宋体" w:cs="宋体"/>
                <w:b/>
                <w:bCs/>
                <w:sz w:val="22"/>
                <w:szCs w:val="22"/>
              </w:rPr>
              <w:t>招标文件</w:t>
            </w:r>
          </w:p>
          <w:p>
            <w:pPr>
              <w:spacing w:line="560" w:lineRule="exact"/>
              <w:jc w:val="center"/>
              <w:rPr>
                <w:rFonts w:ascii="宋体" w:hAnsi="宋体" w:cs="宋体"/>
                <w:b/>
                <w:bCs/>
                <w:sz w:val="22"/>
                <w:szCs w:val="22"/>
              </w:rPr>
            </w:pPr>
            <w:r>
              <w:rPr>
                <w:rFonts w:hint="eastAsia" w:ascii="宋体" w:hAnsi="宋体" w:cs="宋体"/>
                <w:b/>
                <w:bCs/>
                <w:sz w:val="22"/>
                <w:szCs w:val="22"/>
              </w:rPr>
              <w:t>商务条款</w:t>
            </w:r>
          </w:p>
        </w:tc>
        <w:tc>
          <w:tcPr>
            <w:tcW w:w="2004" w:type="dxa"/>
          </w:tcPr>
          <w:p>
            <w:pPr>
              <w:spacing w:line="560" w:lineRule="exact"/>
              <w:jc w:val="center"/>
              <w:rPr>
                <w:rFonts w:ascii="宋体" w:hAnsi="宋体" w:cs="宋体"/>
                <w:b/>
                <w:bCs/>
                <w:sz w:val="22"/>
                <w:szCs w:val="22"/>
              </w:rPr>
            </w:pPr>
            <w:r>
              <w:rPr>
                <w:rFonts w:hint="eastAsia" w:ascii="宋体" w:hAnsi="宋体" w:cs="宋体"/>
                <w:b/>
                <w:bCs/>
                <w:sz w:val="22"/>
                <w:szCs w:val="22"/>
              </w:rPr>
              <w:t>投标文件</w:t>
            </w:r>
          </w:p>
          <w:p>
            <w:pPr>
              <w:spacing w:line="560" w:lineRule="exact"/>
              <w:jc w:val="center"/>
              <w:rPr>
                <w:rFonts w:ascii="宋体" w:hAnsi="宋体" w:cs="宋体"/>
                <w:b/>
                <w:bCs/>
                <w:sz w:val="22"/>
                <w:szCs w:val="22"/>
              </w:rPr>
            </w:pPr>
            <w:r>
              <w:rPr>
                <w:rFonts w:hint="eastAsia" w:ascii="宋体" w:hAnsi="宋体" w:cs="宋体"/>
                <w:b/>
                <w:bCs/>
                <w:sz w:val="22"/>
                <w:szCs w:val="22"/>
              </w:rPr>
              <w:t>商务条款</w:t>
            </w:r>
          </w:p>
        </w:tc>
        <w:tc>
          <w:tcPr>
            <w:tcW w:w="2004" w:type="dxa"/>
            <w:vAlign w:val="center"/>
          </w:tcPr>
          <w:p>
            <w:pPr>
              <w:spacing w:line="560" w:lineRule="exact"/>
              <w:jc w:val="center"/>
              <w:rPr>
                <w:rFonts w:ascii="宋体" w:hAnsi="宋体" w:cs="宋体"/>
                <w:b/>
                <w:bCs/>
                <w:sz w:val="22"/>
                <w:szCs w:val="22"/>
              </w:rPr>
            </w:pPr>
            <w:r>
              <w:rPr>
                <w:rFonts w:hint="eastAsia" w:ascii="宋体" w:hAnsi="宋体" w:cs="宋体"/>
                <w:b/>
                <w:bCs/>
                <w:sz w:val="22"/>
                <w:szCs w:val="22"/>
              </w:rPr>
              <w:t>偏离</w:t>
            </w:r>
          </w:p>
        </w:tc>
        <w:tc>
          <w:tcPr>
            <w:tcW w:w="2005" w:type="dxa"/>
            <w:vAlign w:val="center"/>
          </w:tcPr>
          <w:p>
            <w:pPr>
              <w:spacing w:line="560" w:lineRule="exact"/>
              <w:jc w:val="center"/>
              <w:rPr>
                <w:rFonts w:ascii="宋体" w:hAnsi="宋体" w:cs="宋体"/>
                <w:b/>
                <w:bCs/>
                <w:sz w:val="22"/>
                <w:szCs w:val="22"/>
              </w:rPr>
            </w:pPr>
            <w:r>
              <w:rPr>
                <w:rFonts w:hint="eastAsia" w:ascii="宋体" w:hAnsi="宋体" w:cs="宋体"/>
                <w:b/>
                <w:bCs/>
                <w:sz w:val="22"/>
                <w:szCs w:val="2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3" w:type="dxa"/>
            <w:vAlign w:val="center"/>
          </w:tcPr>
          <w:p>
            <w:pPr>
              <w:jc w:val="center"/>
              <w:rPr>
                <w:rFonts w:ascii="宋体" w:hAnsi="宋体"/>
                <w:sz w:val="22"/>
                <w:szCs w:val="22"/>
              </w:rPr>
            </w:pPr>
            <w:r>
              <w:rPr>
                <w:rFonts w:ascii="宋体" w:hAnsi="宋体"/>
                <w:sz w:val="22"/>
                <w:szCs w:val="22"/>
              </w:rPr>
              <w:t>1</w:t>
            </w:r>
          </w:p>
        </w:tc>
        <w:tc>
          <w:tcPr>
            <w:tcW w:w="2006" w:type="dxa"/>
            <w:vAlign w:val="center"/>
          </w:tcPr>
          <w:p>
            <w:pPr>
              <w:rPr>
                <w:rFonts w:hint="eastAsia" w:ascii="宋体" w:hAnsi="宋体" w:eastAsia="宋体"/>
                <w:sz w:val="22"/>
                <w:szCs w:val="22"/>
                <w:lang w:eastAsia="zh-CN"/>
              </w:rPr>
            </w:pPr>
            <w:r>
              <w:rPr>
                <w:rFonts w:hint="eastAsia" w:ascii="宋体" w:hAnsi="宋体"/>
                <w:sz w:val="22"/>
                <w:szCs w:val="22"/>
              </w:rPr>
              <w:t>★</w:t>
            </w:r>
            <w:r>
              <w:rPr>
                <w:rFonts w:hint="eastAsia" w:ascii="宋体" w:hAnsi="宋体"/>
                <w:sz w:val="22"/>
                <w:szCs w:val="22"/>
                <w:lang w:eastAsia="zh-CN"/>
              </w:rPr>
              <w:t>工期</w:t>
            </w:r>
          </w:p>
        </w:tc>
        <w:tc>
          <w:tcPr>
            <w:tcW w:w="2004" w:type="dxa"/>
          </w:tcPr>
          <w:p>
            <w:pPr>
              <w:spacing w:line="560" w:lineRule="exact"/>
              <w:rPr>
                <w:rFonts w:ascii="宋体" w:hAnsi="宋体" w:cs="宋体"/>
                <w:sz w:val="22"/>
                <w:szCs w:val="22"/>
              </w:rPr>
            </w:pPr>
          </w:p>
        </w:tc>
        <w:tc>
          <w:tcPr>
            <w:tcW w:w="2004" w:type="dxa"/>
          </w:tcPr>
          <w:p>
            <w:pPr>
              <w:spacing w:line="560" w:lineRule="exact"/>
              <w:rPr>
                <w:rFonts w:ascii="宋体" w:hAnsi="宋体" w:cs="宋体"/>
                <w:sz w:val="22"/>
                <w:szCs w:val="22"/>
              </w:rPr>
            </w:pPr>
          </w:p>
        </w:tc>
        <w:tc>
          <w:tcPr>
            <w:tcW w:w="2005" w:type="dxa"/>
          </w:tcPr>
          <w:p>
            <w:pPr>
              <w:spacing w:line="56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3" w:type="dxa"/>
            <w:vAlign w:val="center"/>
          </w:tcPr>
          <w:p>
            <w:pPr>
              <w:jc w:val="center"/>
              <w:rPr>
                <w:rFonts w:ascii="宋体" w:hAnsi="宋体"/>
                <w:sz w:val="22"/>
                <w:szCs w:val="22"/>
              </w:rPr>
            </w:pPr>
            <w:r>
              <w:rPr>
                <w:rFonts w:ascii="宋体" w:hAnsi="宋体"/>
                <w:sz w:val="22"/>
                <w:szCs w:val="22"/>
              </w:rPr>
              <w:t>2</w:t>
            </w:r>
          </w:p>
        </w:tc>
        <w:tc>
          <w:tcPr>
            <w:tcW w:w="2006" w:type="dxa"/>
            <w:vAlign w:val="center"/>
          </w:tcPr>
          <w:p>
            <w:pPr>
              <w:rPr>
                <w:rFonts w:ascii="宋体" w:hAnsi="宋体"/>
                <w:sz w:val="22"/>
                <w:szCs w:val="22"/>
              </w:rPr>
            </w:pPr>
            <w:r>
              <w:rPr>
                <w:rFonts w:hint="eastAsia" w:ascii="宋体" w:hAnsi="宋体"/>
                <w:sz w:val="22"/>
                <w:szCs w:val="22"/>
              </w:rPr>
              <w:t>★付款方法和条件</w:t>
            </w:r>
          </w:p>
        </w:tc>
        <w:tc>
          <w:tcPr>
            <w:tcW w:w="2004" w:type="dxa"/>
          </w:tcPr>
          <w:p>
            <w:pPr>
              <w:spacing w:line="560" w:lineRule="exact"/>
              <w:rPr>
                <w:rFonts w:ascii="宋体" w:hAnsi="宋体" w:cs="宋体"/>
                <w:sz w:val="22"/>
                <w:szCs w:val="22"/>
              </w:rPr>
            </w:pPr>
          </w:p>
        </w:tc>
        <w:tc>
          <w:tcPr>
            <w:tcW w:w="2004" w:type="dxa"/>
          </w:tcPr>
          <w:p>
            <w:pPr>
              <w:spacing w:line="560" w:lineRule="exact"/>
              <w:rPr>
                <w:rFonts w:ascii="宋体" w:hAnsi="宋体" w:cs="宋体"/>
                <w:sz w:val="22"/>
                <w:szCs w:val="22"/>
              </w:rPr>
            </w:pPr>
          </w:p>
        </w:tc>
        <w:tc>
          <w:tcPr>
            <w:tcW w:w="2005" w:type="dxa"/>
          </w:tcPr>
          <w:p>
            <w:pPr>
              <w:spacing w:line="56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3" w:type="dxa"/>
            <w:vAlign w:val="center"/>
          </w:tcPr>
          <w:p>
            <w:pPr>
              <w:jc w:val="center"/>
              <w:rPr>
                <w:rFonts w:ascii="宋体" w:hAnsi="宋体"/>
                <w:sz w:val="22"/>
                <w:szCs w:val="22"/>
              </w:rPr>
            </w:pPr>
            <w:r>
              <w:rPr>
                <w:rFonts w:hint="eastAsia" w:ascii="宋体" w:hAnsi="宋体"/>
                <w:sz w:val="22"/>
                <w:szCs w:val="22"/>
              </w:rPr>
              <w:t>3</w:t>
            </w:r>
          </w:p>
        </w:tc>
        <w:tc>
          <w:tcPr>
            <w:tcW w:w="2006" w:type="dxa"/>
            <w:vAlign w:val="center"/>
          </w:tcPr>
          <w:p>
            <w:pPr>
              <w:rPr>
                <w:rFonts w:ascii="宋体" w:hAnsi="宋体"/>
                <w:sz w:val="22"/>
                <w:szCs w:val="22"/>
              </w:rPr>
            </w:pPr>
            <w:r>
              <w:rPr>
                <w:rFonts w:hint="eastAsia" w:ascii="宋体" w:hAnsi="宋体"/>
                <w:sz w:val="22"/>
                <w:szCs w:val="22"/>
              </w:rPr>
              <w:t>★投标有效期</w:t>
            </w:r>
          </w:p>
        </w:tc>
        <w:tc>
          <w:tcPr>
            <w:tcW w:w="2004" w:type="dxa"/>
          </w:tcPr>
          <w:p>
            <w:pPr>
              <w:spacing w:line="560" w:lineRule="exact"/>
              <w:rPr>
                <w:rFonts w:ascii="宋体" w:hAnsi="宋体" w:cs="宋体"/>
                <w:sz w:val="22"/>
                <w:szCs w:val="22"/>
              </w:rPr>
            </w:pPr>
          </w:p>
        </w:tc>
        <w:tc>
          <w:tcPr>
            <w:tcW w:w="2004" w:type="dxa"/>
          </w:tcPr>
          <w:p>
            <w:pPr>
              <w:spacing w:line="560" w:lineRule="exact"/>
              <w:rPr>
                <w:rFonts w:ascii="宋体" w:hAnsi="宋体" w:cs="宋体"/>
                <w:sz w:val="22"/>
                <w:szCs w:val="22"/>
              </w:rPr>
            </w:pPr>
          </w:p>
        </w:tc>
        <w:tc>
          <w:tcPr>
            <w:tcW w:w="2005" w:type="dxa"/>
          </w:tcPr>
          <w:p>
            <w:pPr>
              <w:spacing w:line="56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3" w:type="dxa"/>
            <w:vAlign w:val="center"/>
          </w:tcPr>
          <w:p>
            <w:pPr>
              <w:jc w:val="center"/>
              <w:rPr>
                <w:rFonts w:ascii="宋体" w:hAnsi="宋体"/>
                <w:sz w:val="22"/>
                <w:szCs w:val="22"/>
              </w:rPr>
            </w:pPr>
            <w:r>
              <w:rPr>
                <w:rFonts w:hint="eastAsia" w:ascii="宋体" w:hAnsi="宋体"/>
                <w:sz w:val="22"/>
                <w:szCs w:val="22"/>
              </w:rPr>
              <w:t>4</w:t>
            </w:r>
          </w:p>
        </w:tc>
        <w:tc>
          <w:tcPr>
            <w:tcW w:w="2006" w:type="dxa"/>
            <w:vAlign w:val="center"/>
          </w:tcPr>
          <w:p>
            <w:pPr>
              <w:rPr>
                <w:rFonts w:ascii="宋体" w:hAnsi="宋体"/>
                <w:sz w:val="22"/>
                <w:szCs w:val="22"/>
              </w:rPr>
            </w:pPr>
            <w:r>
              <w:rPr>
                <w:rFonts w:hint="eastAsia" w:ascii="宋体" w:hAnsi="宋体"/>
                <w:sz w:val="22"/>
                <w:szCs w:val="22"/>
              </w:rPr>
              <w:t>合同条款</w:t>
            </w:r>
          </w:p>
        </w:tc>
        <w:tc>
          <w:tcPr>
            <w:tcW w:w="2004" w:type="dxa"/>
          </w:tcPr>
          <w:p>
            <w:pPr>
              <w:spacing w:line="560" w:lineRule="exact"/>
              <w:rPr>
                <w:rFonts w:ascii="宋体" w:hAnsi="宋体" w:cs="宋体"/>
                <w:sz w:val="22"/>
                <w:szCs w:val="22"/>
              </w:rPr>
            </w:pPr>
          </w:p>
        </w:tc>
        <w:tc>
          <w:tcPr>
            <w:tcW w:w="2004" w:type="dxa"/>
          </w:tcPr>
          <w:p>
            <w:pPr>
              <w:spacing w:line="560" w:lineRule="exact"/>
              <w:rPr>
                <w:rFonts w:ascii="宋体" w:hAnsi="宋体" w:cs="宋体"/>
                <w:sz w:val="22"/>
                <w:szCs w:val="22"/>
              </w:rPr>
            </w:pPr>
          </w:p>
        </w:tc>
        <w:tc>
          <w:tcPr>
            <w:tcW w:w="2005" w:type="dxa"/>
          </w:tcPr>
          <w:p>
            <w:pPr>
              <w:spacing w:line="56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3" w:type="dxa"/>
            <w:vAlign w:val="center"/>
          </w:tcPr>
          <w:p>
            <w:pPr>
              <w:spacing w:line="560" w:lineRule="exact"/>
              <w:jc w:val="center"/>
              <w:rPr>
                <w:rFonts w:ascii="宋体" w:hAnsi="宋体" w:cs="宋体"/>
                <w:sz w:val="22"/>
                <w:szCs w:val="22"/>
              </w:rPr>
            </w:pPr>
            <w:r>
              <w:rPr>
                <w:rFonts w:hint="eastAsia" w:ascii="宋体" w:hAnsi="宋体" w:cs="宋体"/>
                <w:sz w:val="22"/>
                <w:szCs w:val="22"/>
              </w:rPr>
              <w:t>……</w:t>
            </w:r>
          </w:p>
        </w:tc>
        <w:tc>
          <w:tcPr>
            <w:tcW w:w="2006" w:type="dxa"/>
          </w:tcPr>
          <w:p>
            <w:pPr>
              <w:spacing w:line="560" w:lineRule="exact"/>
              <w:rPr>
                <w:rFonts w:ascii="宋体" w:hAnsi="宋体" w:cs="宋体"/>
                <w:sz w:val="22"/>
                <w:szCs w:val="22"/>
              </w:rPr>
            </w:pPr>
          </w:p>
        </w:tc>
        <w:tc>
          <w:tcPr>
            <w:tcW w:w="2004" w:type="dxa"/>
          </w:tcPr>
          <w:p>
            <w:pPr>
              <w:spacing w:line="560" w:lineRule="exact"/>
              <w:rPr>
                <w:rFonts w:ascii="宋体" w:hAnsi="宋体" w:cs="宋体"/>
                <w:sz w:val="22"/>
                <w:szCs w:val="22"/>
              </w:rPr>
            </w:pPr>
          </w:p>
        </w:tc>
        <w:tc>
          <w:tcPr>
            <w:tcW w:w="2004" w:type="dxa"/>
          </w:tcPr>
          <w:p>
            <w:pPr>
              <w:spacing w:line="560" w:lineRule="exact"/>
              <w:rPr>
                <w:rFonts w:ascii="宋体" w:hAnsi="宋体" w:cs="宋体"/>
                <w:sz w:val="22"/>
                <w:szCs w:val="22"/>
              </w:rPr>
            </w:pPr>
          </w:p>
        </w:tc>
        <w:tc>
          <w:tcPr>
            <w:tcW w:w="2005" w:type="dxa"/>
          </w:tcPr>
          <w:p>
            <w:pPr>
              <w:spacing w:line="560" w:lineRule="exact"/>
              <w:rPr>
                <w:rFonts w:ascii="宋体" w:hAnsi="宋体" w:cs="宋体"/>
                <w:sz w:val="22"/>
                <w:szCs w:val="22"/>
              </w:rPr>
            </w:pPr>
          </w:p>
        </w:tc>
      </w:tr>
    </w:tbl>
    <w:p>
      <w:pPr>
        <w:rPr>
          <w:rFonts w:ascii="宋体" w:hAnsi="宋体" w:cs="宋体"/>
          <w:sz w:val="22"/>
          <w:szCs w:val="22"/>
        </w:rPr>
      </w:pPr>
    </w:p>
    <w:p>
      <w:pPr>
        <w:rPr>
          <w:rFonts w:ascii="宋体" w:hAnsi="宋体" w:cs="宋体"/>
          <w:sz w:val="22"/>
          <w:szCs w:val="22"/>
        </w:rPr>
      </w:pPr>
    </w:p>
    <w:p>
      <w:pPr>
        <w:rPr>
          <w:rFonts w:ascii="宋体" w:hAnsi="宋体" w:cs="宋体"/>
          <w:sz w:val="22"/>
          <w:szCs w:val="22"/>
        </w:rPr>
      </w:pPr>
    </w:p>
    <w:p>
      <w:pPr>
        <w:rPr>
          <w:rFonts w:ascii="宋体" w:hAnsi="宋体" w:cs="宋体"/>
          <w:sz w:val="22"/>
          <w:szCs w:val="22"/>
        </w:rPr>
      </w:pPr>
    </w:p>
    <w:p>
      <w:pPr>
        <w:rPr>
          <w:rFonts w:ascii="宋体" w:hAnsi="宋体" w:cs="宋体"/>
          <w:sz w:val="22"/>
          <w:szCs w:val="22"/>
        </w:rPr>
      </w:pPr>
    </w:p>
    <w:p>
      <w:pPr>
        <w:rPr>
          <w:rFonts w:ascii="宋体" w:hAnsi="宋体" w:cs="宋体"/>
          <w:sz w:val="22"/>
          <w:szCs w:val="22"/>
        </w:rPr>
      </w:pPr>
    </w:p>
    <w:p>
      <w:pPr>
        <w:rPr>
          <w:rFonts w:ascii="宋体" w:hAnsi="宋体" w:cs="宋体"/>
          <w:sz w:val="22"/>
          <w:szCs w:val="22"/>
        </w:rPr>
      </w:pPr>
    </w:p>
    <w:p/>
    <w:p/>
    <w:p>
      <w:pPr>
        <w:pStyle w:val="47"/>
        <w:spacing w:line="360" w:lineRule="auto"/>
        <w:ind w:firstLine="3964" w:firstLineChars="1802"/>
        <w:rPr>
          <w:rFonts w:ascii="宋体" w:eastAsia="宋体"/>
          <w:sz w:val="22"/>
          <w:szCs w:val="22"/>
          <w:u w:val="single"/>
        </w:rPr>
      </w:pPr>
      <w:r>
        <w:rPr>
          <w:rFonts w:hint="eastAsia" w:ascii="宋体" w:eastAsia="宋体"/>
          <w:sz w:val="22"/>
          <w:szCs w:val="22"/>
        </w:rPr>
        <w:t xml:space="preserve">投标人名称（加盖公章）： </w:t>
      </w:r>
    </w:p>
    <w:p>
      <w:pPr>
        <w:pStyle w:val="47"/>
        <w:spacing w:line="360" w:lineRule="auto"/>
        <w:ind w:firstLine="3964" w:firstLineChars="1802"/>
        <w:rPr>
          <w:rFonts w:ascii="宋体" w:eastAsia="宋体"/>
          <w:sz w:val="22"/>
          <w:szCs w:val="22"/>
        </w:rPr>
      </w:pPr>
      <w:r>
        <w:rPr>
          <w:rFonts w:hint="eastAsia" w:ascii="宋体" w:eastAsia="宋体"/>
          <w:sz w:val="22"/>
          <w:szCs w:val="22"/>
        </w:rPr>
        <w:t>投标人法定代表人或被授权人（签名或盖私章）：</w:t>
      </w:r>
    </w:p>
    <w:p>
      <w:pPr>
        <w:pStyle w:val="47"/>
        <w:spacing w:line="360" w:lineRule="auto"/>
        <w:ind w:firstLine="3964" w:firstLineChars="1802"/>
        <w:rPr>
          <w:rFonts w:ascii="宋体" w:eastAsia="宋体"/>
          <w:sz w:val="22"/>
          <w:szCs w:val="22"/>
          <w:u w:val="single"/>
        </w:rPr>
      </w:pPr>
      <w:r>
        <w:rPr>
          <w:rFonts w:hint="eastAsia" w:ascii="宋体" w:eastAsia="宋体"/>
          <w:sz w:val="22"/>
          <w:szCs w:val="22"/>
        </w:rPr>
        <w:t>日期：</w:t>
      </w:r>
      <w:r>
        <w:rPr>
          <w:rFonts w:hint="eastAsia" w:ascii="宋体" w:eastAsia="宋体"/>
          <w:sz w:val="22"/>
          <w:szCs w:val="22"/>
          <w:u w:val="single"/>
        </w:rPr>
        <w:t xml:space="preserve">     年     月      日</w:t>
      </w:r>
    </w:p>
    <w:p>
      <w:pPr>
        <w:rPr>
          <w:rFonts w:ascii="宋体" w:hAnsi="宋体" w:cs="宋体"/>
          <w:b/>
          <w:sz w:val="22"/>
          <w:szCs w:val="22"/>
        </w:rPr>
      </w:pPr>
    </w:p>
    <w:p>
      <w:pPr>
        <w:spacing w:line="360" w:lineRule="auto"/>
        <w:rPr>
          <w:rFonts w:ascii="宋体" w:hAnsi="宋体" w:cs="宋体"/>
          <w:sz w:val="22"/>
          <w:szCs w:val="22"/>
        </w:rPr>
      </w:pPr>
      <w:r>
        <w:rPr>
          <w:rFonts w:hint="eastAsia" w:ascii="宋体" w:hAnsi="宋体" w:cs="宋体"/>
          <w:sz w:val="22"/>
          <w:szCs w:val="22"/>
        </w:rPr>
        <w:t>注：1、投标人应对照采购文件商务要求，逐条说明已对采购文件的商务内容做出了实质性的响应，并申明与采购文件的偏差和例外。</w:t>
      </w:r>
    </w:p>
    <w:p>
      <w:pPr>
        <w:spacing w:line="360" w:lineRule="auto"/>
        <w:rPr>
          <w:rFonts w:ascii="宋体" w:hAnsi="宋体" w:cs="宋体"/>
          <w:sz w:val="22"/>
          <w:szCs w:val="22"/>
        </w:rPr>
      </w:pPr>
      <w:r>
        <w:rPr>
          <w:rFonts w:hint="eastAsia" w:ascii="宋体" w:hAnsi="宋体" w:cs="宋体"/>
          <w:sz w:val="22"/>
          <w:szCs w:val="22"/>
        </w:rPr>
        <w:t xml:space="preserve">    2、商务条款包括但不限于合格投标人资格标准、服务期、质保期、报价方式、付款方式、付款方法和条件、投标有效期、合同条款等要求。</w:t>
      </w:r>
    </w:p>
    <w:p>
      <w:pPr>
        <w:spacing w:after="60" w:line="360" w:lineRule="auto"/>
        <w:ind w:left="773" w:hanging="773" w:hangingChars="350"/>
        <w:jc w:val="left"/>
        <w:rPr>
          <w:rFonts w:ascii="宋体" w:hAnsi="宋体" w:cs="宋体"/>
          <w:b/>
          <w:sz w:val="22"/>
          <w:szCs w:val="22"/>
        </w:rPr>
      </w:pPr>
    </w:p>
    <w:p>
      <w:pPr>
        <w:spacing w:after="60" w:line="360" w:lineRule="auto"/>
        <w:ind w:left="773" w:hanging="773" w:hangingChars="350"/>
        <w:jc w:val="left"/>
        <w:outlineLvl w:val="2"/>
        <w:rPr>
          <w:rFonts w:ascii="宋体" w:hAnsi="宋体" w:cs="宋体"/>
          <w:b/>
          <w:sz w:val="22"/>
          <w:szCs w:val="22"/>
        </w:rPr>
      </w:pPr>
    </w:p>
    <w:p>
      <w:pPr>
        <w:jc w:val="center"/>
        <w:rPr>
          <w:rFonts w:ascii="宋体" w:hAnsi="宋体" w:cs="宋体"/>
          <w:b/>
          <w:sz w:val="22"/>
          <w:szCs w:val="22"/>
        </w:rPr>
      </w:pPr>
      <w:bookmarkStart w:id="1331" w:name="_Toc9704"/>
      <w:bookmarkStart w:id="1332" w:name="_Toc454875068"/>
      <w:bookmarkStart w:id="1333" w:name="_Toc23307"/>
      <w:bookmarkStart w:id="1334" w:name="_Toc14800"/>
      <w:r>
        <w:rPr>
          <w:rFonts w:hint="eastAsia" w:ascii="宋体" w:hAnsi="宋体" w:cs="宋体"/>
          <w:b/>
          <w:sz w:val="22"/>
          <w:szCs w:val="22"/>
        </w:rPr>
        <w:br w:type="page"/>
      </w:r>
    </w:p>
    <w:p>
      <w:pPr>
        <w:spacing w:after="60" w:line="360" w:lineRule="auto"/>
        <w:jc w:val="center"/>
        <w:outlineLvl w:val="2"/>
        <w:rPr>
          <w:rFonts w:ascii="宋体" w:hAnsi="宋体" w:cs="宋体"/>
          <w:b/>
          <w:sz w:val="22"/>
          <w:szCs w:val="22"/>
        </w:rPr>
      </w:pPr>
      <w:bookmarkStart w:id="1335" w:name="_Toc9448"/>
      <w:bookmarkStart w:id="1336" w:name="_Toc23180"/>
      <w:r>
        <w:rPr>
          <w:rFonts w:hint="eastAsia" w:ascii="宋体" w:hAnsi="宋体" w:cs="宋体"/>
          <w:b/>
          <w:sz w:val="22"/>
          <w:szCs w:val="22"/>
        </w:rPr>
        <w:t>18、投标保证金汇入情况说明</w:t>
      </w:r>
      <w:bookmarkEnd w:id="1331"/>
      <w:bookmarkEnd w:id="1332"/>
      <w:bookmarkEnd w:id="1333"/>
      <w:bookmarkEnd w:id="1334"/>
      <w:bookmarkEnd w:id="1335"/>
      <w:bookmarkEnd w:id="1336"/>
    </w:p>
    <w:p>
      <w:pPr>
        <w:spacing w:line="560" w:lineRule="exact"/>
        <w:jc w:val="center"/>
        <w:rPr>
          <w:rFonts w:ascii="宋体" w:hAnsi="宋体" w:cs="宋体"/>
          <w:sz w:val="22"/>
          <w:szCs w:val="22"/>
        </w:rPr>
      </w:pPr>
    </w:p>
    <w:p>
      <w:pPr>
        <w:tabs>
          <w:tab w:val="left" w:pos="1800"/>
        </w:tabs>
        <w:spacing w:line="560" w:lineRule="exact"/>
        <w:rPr>
          <w:rFonts w:ascii="宋体" w:hAnsi="宋体" w:cs="宋体"/>
          <w:sz w:val="22"/>
          <w:szCs w:val="22"/>
        </w:rPr>
      </w:pPr>
      <w:r>
        <w:rPr>
          <w:rFonts w:hint="eastAsia" w:ascii="宋体" w:hAnsi="宋体" w:cs="宋体"/>
          <w:i/>
          <w:sz w:val="22"/>
          <w:szCs w:val="22"/>
          <w:u w:val="single"/>
        </w:rPr>
        <w:t xml:space="preserve">     （采购代理机构名称）    </w:t>
      </w:r>
      <w:r>
        <w:rPr>
          <w:rFonts w:hint="eastAsia" w:ascii="宋体" w:hAnsi="宋体" w:cs="宋体"/>
          <w:sz w:val="22"/>
          <w:szCs w:val="22"/>
        </w:rPr>
        <w:t xml:space="preserve">： </w:t>
      </w:r>
      <w:r>
        <w:rPr>
          <w:rFonts w:hint="eastAsia" w:ascii="宋体" w:hAnsi="宋体" w:cs="宋体"/>
          <w:sz w:val="22"/>
          <w:szCs w:val="22"/>
        </w:rPr>
        <w:tab/>
      </w:r>
    </w:p>
    <w:p>
      <w:pPr>
        <w:spacing w:line="560" w:lineRule="exact"/>
        <w:ind w:firstLine="440" w:firstLineChars="200"/>
        <w:rPr>
          <w:rFonts w:ascii="宋体" w:hAnsi="宋体" w:cs="宋体"/>
          <w:sz w:val="22"/>
          <w:szCs w:val="22"/>
        </w:rPr>
      </w:pPr>
      <w:r>
        <w:rPr>
          <w:rFonts w:hint="eastAsia" w:ascii="宋体" w:hAnsi="宋体" w:cs="宋体"/>
          <w:sz w:val="22"/>
          <w:szCs w:val="22"/>
        </w:rPr>
        <w:t>本单位已按</w:t>
      </w:r>
      <w:r>
        <w:rPr>
          <w:rFonts w:hint="eastAsia" w:ascii="宋体" w:hAnsi="宋体" w:cs="宋体"/>
          <w:sz w:val="22"/>
          <w:szCs w:val="22"/>
          <w:u w:val="single"/>
        </w:rPr>
        <w:t xml:space="preserve">     </w:t>
      </w:r>
      <w:r>
        <w:rPr>
          <w:rFonts w:hint="eastAsia" w:ascii="宋体" w:hAnsi="宋体" w:cs="宋体"/>
          <w:sz w:val="22"/>
          <w:szCs w:val="22"/>
        </w:rPr>
        <w:t>项目（采购编号：</w:t>
      </w:r>
      <w:r>
        <w:rPr>
          <w:rFonts w:hint="eastAsia" w:ascii="宋体" w:hAnsi="宋体" w:cs="宋体"/>
          <w:sz w:val="22"/>
          <w:szCs w:val="22"/>
          <w:u w:val="single"/>
        </w:rPr>
        <w:t xml:space="preserve">     </w:t>
      </w:r>
      <w:r>
        <w:rPr>
          <w:rFonts w:hint="eastAsia" w:ascii="宋体" w:hAnsi="宋体" w:cs="宋体"/>
          <w:sz w:val="22"/>
          <w:szCs w:val="22"/>
        </w:rPr>
        <w:t>）的招标文件要求，于</w:t>
      </w:r>
      <w:r>
        <w:rPr>
          <w:rFonts w:hint="eastAsia" w:ascii="宋体" w:hAnsi="宋体" w:cs="宋体"/>
          <w:sz w:val="22"/>
          <w:szCs w:val="22"/>
          <w:u w:val="single"/>
        </w:rPr>
        <w:t xml:space="preserve">    </w:t>
      </w:r>
      <w:r>
        <w:rPr>
          <w:rFonts w:hint="eastAsia" w:ascii="宋体" w:hAnsi="宋体" w:cs="宋体"/>
          <w:sz w:val="22"/>
          <w:szCs w:val="22"/>
        </w:rPr>
        <w:t>年</w:t>
      </w:r>
      <w:r>
        <w:rPr>
          <w:rFonts w:hint="eastAsia" w:ascii="宋体" w:hAnsi="宋体" w:cs="宋体"/>
          <w:sz w:val="22"/>
          <w:szCs w:val="22"/>
          <w:u w:val="single"/>
        </w:rPr>
        <w:t xml:space="preserve">    </w:t>
      </w:r>
      <w:r>
        <w:rPr>
          <w:rFonts w:hint="eastAsia" w:ascii="宋体" w:hAnsi="宋体" w:cs="宋体"/>
          <w:sz w:val="22"/>
          <w:szCs w:val="22"/>
        </w:rPr>
        <w:t>月</w:t>
      </w:r>
      <w:r>
        <w:rPr>
          <w:rFonts w:hint="eastAsia" w:ascii="宋体" w:hAnsi="宋体" w:cs="宋体"/>
          <w:sz w:val="22"/>
          <w:szCs w:val="22"/>
          <w:u w:val="single"/>
        </w:rPr>
        <w:t xml:space="preserve">    </w:t>
      </w:r>
      <w:r>
        <w:rPr>
          <w:rFonts w:hint="eastAsia" w:ascii="宋体" w:hAnsi="宋体" w:cs="宋体"/>
          <w:sz w:val="22"/>
          <w:szCs w:val="22"/>
        </w:rPr>
        <w:t>日前以</w:t>
      </w:r>
      <w:r>
        <w:rPr>
          <w:rFonts w:hint="eastAsia" w:ascii="宋体" w:hAnsi="宋体" w:cs="宋体"/>
          <w:sz w:val="22"/>
          <w:szCs w:val="22"/>
          <w:u w:val="single"/>
        </w:rPr>
        <w:t xml:space="preserve">           </w:t>
      </w:r>
      <w:r>
        <w:rPr>
          <w:rFonts w:hint="eastAsia" w:ascii="宋体" w:hAnsi="宋体" w:cs="宋体"/>
          <w:sz w:val="22"/>
          <w:szCs w:val="22"/>
        </w:rPr>
        <w:t>（付款形式）方式汇入指定帐户（帐户名称：</w:t>
      </w:r>
      <w:r>
        <w:rPr>
          <w:rFonts w:hint="eastAsia" w:ascii="宋体" w:hAnsi="宋体" w:cs="宋体"/>
          <w:sz w:val="22"/>
          <w:szCs w:val="22"/>
          <w:u w:val="single"/>
        </w:rPr>
        <w:t xml:space="preserve">                  </w:t>
      </w:r>
      <w:r>
        <w:rPr>
          <w:rFonts w:hint="eastAsia" w:ascii="宋体" w:hAnsi="宋体" w:cs="宋体"/>
          <w:sz w:val="22"/>
          <w:szCs w:val="22"/>
        </w:rPr>
        <w:t>，帐号</w:t>
      </w:r>
      <w:r>
        <w:rPr>
          <w:rFonts w:hint="eastAsia" w:ascii="宋体" w:hAnsi="宋体" w:cs="宋体"/>
          <w:sz w:val="22"/>
          <w:szCs w:val="22"/>
          <w:u w:val="single"/>
        </w:rPr>
        <w:t xml:space="preserve">                  </w:t>
      </w:r>
      <w:r>
        <w:rPr>
          <w:rFonts w:hint="eastAsia" w:ascii="宋体" w:hAnsi="宋体" w:cs="宋体"/>
          <w:sz w:val="22"/>
          <w:szCs w:val="22"/>
        </w:rPr>
        <w:t>,开户银行：</w:t>
      </w:r>
      <w:r>
        <w:rPr>
          <w:rFonts w:hint="eastAsia" w:ascii="宋体" w:hAnsi="宋体" w:cs="宋体"/>
          <w:sz w:val="22"/>
          <w:szCs w:val="22"/>
          <w:u w:val="single"/>
        </w:rPr>
        <w:t xml:space="preserve">                       </w:t>
      </w:r>
      <w:r>
        <w:rPr>
          <w:rFonts w:hint="eastAsia" w:ascii="宋体" w:hAnsi="宋体" w:cs="宋体"/>
          <w:sz w:val="22"/>
          <w:szCs w:val="22"/>
        </w:rPr>
        <w:t>）。</w:t>
      </w:r>
    </w:p>
    <w:p>
      <w:pPr>
        <w:spacing w:line="560" w:lineRule="exact"/>
        <w:ind w:firstLine="440" w:firstLineChars="200"/>
        <w:rPr>
          <w:rFonts w:ascii="宋体" w:hAnsi="宋体" w:cs="宋体"/>
          <w:sz w:val="22"/>
          <w:szCs w:val="22"/>
        </w:rPr>
      </w:pPr>
      <w:r>
        <w:rPr>
          <w:rFonts w:hint="eastAsia" w:ascii="宋体" w:hAnsi="宋体" w:cs="宋体"/>
          <w:sz w:val="22"/>
          <w:szCs w:val="22"/>
        </w:rPr>
        <w:t>投标单位投标保证金的汇款情况：（详见附件－投标保证金进帐单）</w:t>
      </w:r>
    </w:p>
    <w:p>
      <w:pPr>
        <w:spacing w:line="560" w:lineRule="exact"/>
        <w:ind w:firstLine="440" w:firstLineChars="200"/>
        <w:rPr>
          <w:rFonts w:ascii="宋体" w:hAnsi="宋体" w:cs="宋体"/>
          <w:sz w:val="22"/>
          <w:szCs w:val="22"/>
        </w:rPr>
      </w:pPr>
      <w:r>
        <w:rPr>
          <w:rFonts w:hint="eastAsia" w:ascii="宋体" w:hAnsi="宋体" w:cs="宋体"/>
          <w:sz w:val="22"/>
          <w:szCs w:val="22"/>
        </w:rPr>
        <w:t>汇出时间：</w:t>
      </w:r>
      <w:r>
        <w:rPr>
          <w:rFonts w:hint="eastAsia" w:ascii="宋体" w:hAnsi="宋体" w:cs="宋体"/>
          <w:sz w:val="22"/>
          <w:szCs w:val="22"/>
          <w:u w:val="single"/>
        </w:rPr>
        <w:t xml:space="preserve">    </w:t>
      </w:r>
      <w:r>
        <w:rPr>
          <w:rFonts w:hint="eastAsia" w:ascii="宋体" w:hAnsi="宋体" w:cs="宋体"/>
          <w:sz w:val="22"/>
          <w:szCs w:val="22"/>
        </w:rPr>
        <w:t>年</w:t>
      </w:r>
      <w:r>
        <w:rPr>
          <w:rFonts w:hint="eastAsia" w:ascii="宋体" w:hAnsi="宋体" w:cs="宋体"/>
          <w:sz w:val="22"/>
          <w:szCs w:val="22"/>
          <w:u w:val="single"/>
        </w:rPr>
        <w:t xml:space="preserve">    </w:t>
      </w:r>
      <w:r>
        <w:rPr>
          <w:rFonts w:hint="eastAsia" w:ascii="宋体" w:hAnsi="宋体" w:cs="宋体"/>
          <w:sz w:val="22"/>
          <w:szCs w:val="22"/>
        </w:rPr>
        <w:t>月</w:t>
      </w:r>
      <w:r>
        <w:rPr>
          <w:rFonts w:hint="eastAsia" w:ascii="宋体" w:hAnsi="宋体" w:cs="宋体"/>
          <w:sz w:val="22"/>
          <w:szCs w:val="22"/>
          <w:u w:val="single"/>
        </w:rPr>
        <w:t xml:space="preserve">    </w:t>
      </w:r>
      <w:r>
        <w:rPr>
          <w:rFonts w:hint="eastAsia" w:ascii="宋体" w:hAnsi="宋体" w:cs="宋体"/>
          <w:sz w:val="22"/>
          <w:szCs w:val="22"/>
        </w:rPr>
        <w:t>日；</w:t>
      </w:r>
    </w:p>
    <w:p>
      <w:pPr>
        <w:spacing w:line="560" w:lineRule="exact"/>
        <w:ind w:firstLine="440" w:firstLineChars="200"/>
        <w:rPr>
          <w:rFonts w:ascii="宋体" w:hAnsi="宋体" w:cs="宋体"/>
          <w:sz w:val="22"/>
          <w:szCs w:val="22"/>
          <w:u w:val="single"/>
        </w:rPr>
      </w:pPr>
      <w:r>
        <w:rPr>
          <w:rFonts w:hint="eastAsia" w:ascii="宋体" w:hAnsi="宋体" w:cs="宋体"/>
          <w:sz w:val="22"/>
          <w:szCs w:val="22"/>
        </w:rPr>
        <w:t>汇款金额：（大写）人民币</w:t>
      </w:r>
      <w:r>
        <w:rPr>
          <w:rFonts w:hint="eastAsia" w:ascii="宋体" w:hAnsi="宋体" w:cs="宋体"/>
          <w:sz w:val="22"/>
          <w:szCs w:val="22"/>
          <w:u w:val="single"/>
        </w:rPr>
        <w:t xml:space="preserve">                 元整</w:t>
      </w:r>
      <w:r>
        <w:rPr>
          <w:rFonts w:hint="eastAsia" w:ascii="宋体" w:hAnsi="宋体" w:cs="宋体"/>
          <w:sz w:val="22"/>
          <w:szCs w:val="22"/>
        </w:rPr>
        <w:t>（小写：￥</w:t>
      </w:r>
      <w:r>
        <w:rPr>
          <w:rFonts w:hint="eastAsia" w:ascii="宋体" w:hAnsi="宋体" w:cs="宋体"/>
          <w:sz w:val="22"/>
          <w:szCs w:val="22"/>
          <w:u w:val="single"/>
        </w:rPr>
        <w:t xml:space="preserve">      </w:t>
      </w:r>
      <w:r>
        <w:rPr>
          <w:rFonts w:hint="eastAsia" w:ascii="宋体" w:hAnsi="宋体" w:cs="宋体"/>
          <w:sz w:val="22"/>
          <w:szCs w:val="22"/>
        </w:rPr>
        <w:t>元）；</w:t>
      </w:r>
    </w:p>
    <w:p>
      <w:pPr>
        <w:spacing w:line="560" w:lineRule="exact"/>
        <w:ind w:firstLine="440" w:firstLineChars="200"/>
        <w:rPr>
          <w:rFonts w:ascii="宋体" w:hAnsi="宋体" w:cs="宋体"/>
          <w:sz w:val="22"/>
          <w:szCs w:val="22"/>
          <w:u w:val="single"/>
        </w:rPr>
      </w:pPr>
      <w:r>
        <w:rPr>
          <w:rFonts w:hint="eastAsia" w:ascii="宋体" w:hAnsi="宋体" w:cs="宋体"/>
          <w:sz w:val="22"/>
          <w:szCs w:val="22"/>
        </w:rPr>
        <w:t>汇款帐户名称：</w:t>
      </w:r>
      <w:r>
        <w:rPr>
          <w:rFonts w:hint="eastAsia" w:ascii="宋体" w:hAnsi="宋体" w:cs="宋体"/>
          <w:sz w:val="22"/>
          <w:szCs w:val="22"/>
          <w:u w:val="single"/>
        </w:rPr>
        <w:t xml:space="preserve">  （必须是投标时使用的单位名称）   </w:t>
      </w:r>
    </w:p>
    <w:p>
      <w:pPr>
        <w:spacing w:line="560" w:lineRule="exact"/>
        <w:ind w:firstLine="440" w:firstLineChars="200"/>
        <w:rPr>
          <w:rFonts w:ascii="宋体" w:hAnsi="宋体" w:cs="宋体"/>
          <w:sz w:val="22"/>
          <w:szCs w:val="22"/>
        </w:rPr>
      </w:pPr>
      <w:r>
        <w:rPr>
          <w:rFonts w:hint="eastAsia" w:ascii="宋体" w:hAnsi="宋体" w:cs="宋体"/>
          <w:sz w:val="22"/>
          <w:szCs w:val="22"/>
        </w:rPr>
        <w:t>帐    号：</w:t>
      </w:r>
      <w:r>
        <w:rPr>
          <w:rFonts w:hint="eastAsia" w:ascii="宋体" w:hAnsi="宋体" w:cs="宋体"/>
          <w:sz w:val="22"/>
          <w:szCs w:val="22"/>
          <w:u w:val="single"/>
        </w:rPr>
        <w:t xml:space="preserve">  （必须是投标时使用的帐号）     </w:t>
      </w:r>
    </w:p>
    <w:p>
      <w:pPr>
        <w:spacing w:line="560" w:lineRule="exact"/>
        <w:ind w:firstLine="440" w:firstLineChars="200"/>
        <w:rPr>
          <w:rFonts w:ascii="宋体" w:hAnsi="宋体" w:cs="宋体"/>
          <w:sz w:val="22"/>
          <w:szCs w:val="22"/>
          <w:u w:val="single"/>
        </w:rPr>
      </w:pPr>
      <w:r>
        <w:rPr>
          <w:rFonts w:hint="eastAsia" w:ascii="宋体" w:hAnsi="宋体" w:cs="宋体"/>
          <w:sz w:val="22"/>
          <w:szCs w:val="22"/>
        </w:rPr>
        <w:t>开户银行：</w:t>
      </w:r>
      <w:r>
        <w:rPr>
          <w:rFonts w:hint="eastAsia" w:ascii="宋体" w:hAnsi="宋体" w:cs="宋体"/>
          <w:sz w:val="22"/>
          <w:szCs w:val="22"/>
          <w:u w:val="single"/>
        </w:rPr>
        <w:t xml:space="preserve">    银行   省    市          (分行/支行)    </w:t>
      </w:r>
    </w:p>
    <w:p>
      <w:pPr>
        <w:spacing w:line="560" w:lineRule="exact"/>
        <w:ind w:firstLine="440" w:firstLineChars="200"/>
        <w:rPr>
          <w:rFonts w:ascii="宋体" w:hAnsi="宋体" w:cs="宋体"/>
          <w:sz w:val="22"/>
          <w:szCs w:val="22"/>
        </w:rPr>
      </w:pPr>
      <w:r>
        <w:rPr>
          <w:rFonts w:hint="eastAsia" w:ascii="宋体" w:hAnsi="宋体" w:cs="宋体"/>
          <w:sz w:val="22"/>
          <w:szCs w:val="22"/>
        </w:rPr>
        <w:t>本单位谨承诺上述资料是正确、真实的，如因上述证明与事实不符导致的一切损失，本单位保证承担赔偿等一切法律责任。</w:t>
      </w:r>
    </w:p>
    <w:p>
      <w:pPr>
        <w:spacing w:line="560" w:lineRule="exact"/>
        <w:ind w:firstLine="440" w:firstLineChars="200"/>
        <w:rPr>
          <w:rFonts w:ascii="宋体" w:hAnsi="宋体" w:cs="宋体"/>
          <w:sz w:val="22"/>
          <w:szCs w:val="22"/>
        </w:rPr>
      </w:pPr>
      <w:r>
        <w:rPr>
          <w:rFonts w:hint="eastAsia" w:ascii="宋体" w:hAnsi="宋体" w:cs="宋体"/>
          <w:sz w:val="22"/>
          <w:szCs w:val="22"/>
        </w:rPr>
        <w:t>投标保证金退回时，请按上述资料退回。</w:t>
      </w:r>
    </w:p>
    <w:p>
      <w:pPr>
        <w:spacing w:line="560" w:lineRule="exact"/>
        <w:rPr>
          <w:rFonts w:ascii="宋体" w:hAnsi="宋体" w:cs="宋体"/>
          <w:sz w:val="22"/>
          <w:szCs w:val="22"/>
        </w:rPr>
      </w:pPr>
      <w:r>
        <w:rPr>
          <w:rFonts w:hint="eastAsia" w:ascii="宋体" w:hAnsi="宋体" w:cs="宋体"/>
          <w:sz w:val="22"/>
          <w:szCs w:val="22"/>
        </w:rPr>
        <w:t>附件：投标保证金进帐单复印件（加盖公章）</w:t>
      </w:r>
    </w:p>
    <w:p>
      <w:pPr>
        <w:spacing w:line="560" w:lineRule="exact"/>
        <w:rPr>
          <w:rFonts w:ascii="宋体" w:hAnsi="宋体" w:cs="宋体"/>
          <w:sz w:val="22"/>
          <w:szCs w:val="22"/>
        </w:rPr>
      </w:pPr>
    </w:p>
    <w:p>
      <w:pPr>
        <w:spacing w:line="560" w:lineRule="exact"/>
        <w:ind w:right="844" w:rightChars="402"/>
        <w:jc w:val="right"/>
        <w:rPr>
          <w:rFonts w:ascii="宋体" w:hAnsi="宋体" w:cs="宋体"/>
          <w:sz w:val="22"/>
          <w:szCs w:val="22"/>
        </w:rPr>
      </w:pPr>
      <w:r>
        <w:rPr>
          <w:rFonts w:hint="eastAsia" w:ascii="宋体" w:hAnsi="宋体" w:cs="宋体"/>
          <w:sz w:val="22"/>
          <w:szCs w:val="22"/>
        </w:rPr>
        <w:t>（单位公章）</w:t>
      </w:r>
    </w:p>
    <w:p>
      <w:pPr>
        <w:spacing w:line="560" w:lineRule="exact"/>
        <w:ind w:right="628" w:rightChars="299"/>
        <w:jc w:val="right"/>
        <w:rPr>
          <w:rFonts w:ascii="宋体" w:hAnsi="宋体" w:cs="宋体"/>
          <w:sz w:val="22"/>
          <w:szCs w:val="22"/>
        </w:rPr>
      </w:pPr>
      <w:r>
        <w:rPr>
          <w:rFonts w:hint="eastAsia" w:ascii="宋体" w:hAnsi="宋体" w:cs="宋体"/>
          <w:sz w:val="22"/>
          <w:szCs w:val="22"/>
        </w:rPr>
        <w:t>年   月   日</w:t>
      </w:r>
    </w:p>
    <w:p>
      <w:pPr>
        <w:spacing w:line="560" w:lineRule="exact"/>
        <w:rPr>
          <w:rFonts w:ascii="宋体" w:hAnsi="宋体" w:cs="宋体"/>
          <w:sz w:val="22"/>
          <w:szCs w:val="22"/>
        </w:rPr>
      </w:pPr>
    </w:p>
    <w:p>
      <w:pPr>
        <w:spacing w:line="560" w:lineRule="exact"/>
        <w:rPr>
          <w:rFonts w:ascii="宋体" w:hAnsi="宋体" w:cs="宋体"/>
          <w:sz w:val="22"/>
          <w:szCs w:val="22"/>
          <w:u w:val="single"/>
        </w:rPr>
      </w:pPr>
      <w:r>
        <w:rPr>
          <w:rFonts w:hint="eastAsia" w:ascii="宋体" w:hAnsi="宋体" w:cs="宋体"/>
          <w:sz w:val="22"/>
          <w:szCs w:val="22"/>
        </w:rPr>
        <w:t>单位名称：</w:t>
      </w:r>
      <w:r>
        <w:rPr>
          <w:rFonts w:hint="eastAsia" w:ascii="宋体" w:hAnsi="宋体" w:cs="宋体"/>
          <w:sz w:val="22"/>
          <w:szCs w:val="22"/>
          <w:u w:val="single"/>
        </w:rPr>
        <w:t xml:space="preserve">           </w:t>
      </w:r>
    </w:p>
    <w:p>
      <w:pPr>
        <w:spacing w:line="560" w:lineRule="exact"/>
        <w:rPr>
          <w:rFonts w:ascii="宋体" w:hAnsi="宋体" w:cs="宋体"/>
          <w:sz w:val="22"/>
          <w:szCs w:val="22"/>
        </w:rPr>
      </w:pPr>
      <w:r>
        <w:rPr>
          <w:rFonts w:hint="eastAsia" w:ascii="宋体" w:hAnsi="宋体" w:cs="宋体"/>
          <w:sz w:val="22"/>
          <w:szCs w:val="22"/>
        </w:rPr>
        <w:t>单位地址：</w:t>
      </w:r>
      <w:r>
        <w:rPr>
          <w:rFonts w:hint="eastAsia" w:ascii="宋体" w:hAnsi="宋体" w:cs="宋体"/>
          <w:sz w:val="22"/>
          <w:szCs w:val="22"/>
          <w:u w:val="single"/>
        </w:rPr>
        <w:t xml:space="preserve">           </w:t>
      </w:r>
    </w:p>
    <w:p>
      <w:pPr>
        <w:spacing w:line="560" w:lineRule="exact"/>
        <w:rPr>
          <w:rFonts w:ascii="宋体" w:hAnsi="宋体" w:cs="宋体"/>
          <w:sz w:val="22"/>
          <w:szCs w:val="22"/>
        </w:rPr>
      </w:pPr>
      <w:r>
        <w:rPr>
          <w:rFonts w:hint="eastAsia" w:ascii="宋体" w:hAnsi="宋体" w:cs="宋体"/>
          <w:sz w:val="22"/>
          <w:szCs w:val="22"/>
        </w:rPr>
        <w:t>联系人：</w:t>
      </w:r>
      <w:r>
        <w:rPr>
          <w:rFonts w:hint="eastAsia" w:ascii="宋体" w:hAnsi="宋体" w:cs="宋体"/>
          <w:sz w:val="22"/>
          <w:szCs w:val="22"/>
          <w:u w:val="single"/>
        </w:rPr>
        <w:t xml:space="preserve">                   </w:t>
      </w:r>
    </w:p>
    <w:p>
      <w:pPr>
        <w:spacing w:line="560" w:lineRule="exact"/>
        <w:rPr>
          <w:rFonts w:ascii="宋体" w:hAnsi="宋体" w:cs="宋体"/>
          <w:sz w:val="22"/>
          <w:szCs w:val="22"/>
        </w:rPr>
      </w:pPr>
      <w:r>
        <w:rPr>
          <w:rFonts w:hint="eastAsia" w:ascii="宋体" w:hAnsi="宋体" w:cs="宋体"/>
          <w:sz w:val="22"/>
          <w:szCs w:val="22"/>
        </w:rPr>
        <w:t>单位电话：</w:t>
      </w:r>
      <w:r>
        <w:rPr>
          <w:rFonts w:hint="eastAsia" w:ascii="宋体" w:hAnsi="宋体" w:cs="宋体"/>
          <w:sz w:val="22"/>
          <w:szCs w:val="22"/>
          <w:u w:val="single"/>
        </w:rPr>
        <w:t xml:space="preserve">           </w:t>
      </w:r>
      <w:r>
        <w:rPr>
          <w:rFonts w:hint="eastAsia" w:ascii="宋体" w:hAnsi="宋体" w:cs="宋体"/>
          <w:sz w:val="22"/>
          <w:szCs w:val="22"/>
        </w:rPr>
        <w:t xml:space="preserve">      联系人手机：</w:t>
      </w:r>
      <w:r>
        <w:rPr>
          <w:rFonts w:hint="eastAsia" w:ascii="宋体" w:hAnsi="宋体" w:cs="宋体"/>
          <w:sz w:val="22"/>
          <w:szCs w:val="22"/>
          <w:u w:val="single"/>
        </w:rPr>
        <w:t xml:space="preserve">              </w:t>
      </w:r>
    </w:p>
    <w:p>
      <w:pPr>
        <w:spacing w:line="440" w:lineRule="exact"/>
        <w:rPr>
          <w:rFonts w:ascii="宋体" w:hAnsi="宋体" w:cs="宋体"/>
          <w:sz w:val="22"/>
          <w:szCs w:val="22"/>
        </w:rPr>
      </w:pPr>
    </w:p>
    <w:p>
      <w:pPr>
        <w:spacing w:after="60" w:line="360" w:lineRule="auto"/>
        <w:jc w:val="center"/>
        <w:outlineLvl w:val="2"/>
        <w:rPr>
          <w:rFonts w:ascii="宋体" w:hAnsi="宋体" w:cs="宋体"/>
          <w:b/>
          <w:sz w:val="22"/>
          <w:szCs w:val="22"/>
        </w:rPr>
      </w:pPr>
      <w:bookmarkStart w:id="1337" w:name="_Toc7024"/>
      <w:bookmarkStart w:id="1338" w:name="_Toc30220"/>
      <w:bookmarkStart w:id="1339" w:name="_Toc6748"/>
      <w:bookmarkStart w:id="1340" w:name="_Toc30045"/>
      <w:bookmarkStart w:id="1341" w:name="_Toc454875069"/>
      <w:bookmarkStart w:id="1342" w:name="_Toc5789"/>
      <w:r>
        <w:rPr>
          <w:rFonts w:hint="eastAsia" w:ascii="宋体" w:hAnsi="宋体" w:cs="宋体"/>
          <w:b/>
          <w:sz w:val="22"/>
          <w:szCs w:val="22"/>
        </w:rPr>
        <w:t>19、中标服务费承诺书</w:t>
      </w:r>
      <w:bookmarkEnd w:id="1337"/>
      <w:bookmarkEnd w:id="1338"/>
      <w:bookmarkEnd w:id="1339"/>
      <w:bookmarkEnd w:id="1340"/>
      <w:bookmarkEnd w:id="1341"/>
      <w:bookmarkEnd w:id="1342"/>
    </w:p>
    <w:p>
      <w:pPr>
        <w:rPr>
          <w:rFonts w:ascii="宋体" w:hAnsi="宋体" w:cs="宋体"/>
          <w:b/>
          <w:bCs/>
          <w:sz w:val="22"/>
          <w:szCs w:val="22"/>
        </w:rPr>
      </w:pPr>
    </w:p>
    <w:p>
      <w:pPr>
        <w:spacing w:line="520" w:lineRule="exact"/>
        <w:ind w:left="315"/>
        <w:rPr>
          <w:rFonts w:ascii="宋体" w:hAnsi="宋体" w:cs="宋体"/>
          <w:sz w:val="22"/>
          <w:szCs w:val="22"/>
        </w:rPr>
      </w:pPr>
      <w:r>
        <w:rPr>
          <w:rFonts w:hint="eastAsia" w:ascii="宋体" w:hAnsi="宋体" w:cs="宋体"/>
          <w:i/>
          <w:sz w:val="22"/>
          <w:szCs w:val="22"/>
          <w:u w:val="single"/>
        </w:rPr>
        <w:t xml:space="preserve">     （采购代理机构名称）   </w:t>
      </w:r>
      <w:r>
        <w:rPr>
          <w:rFonts w:hint="eastAsia" w:ascii="宋体" w:hAnsi="宋体" w:cs="宋体"/>
          <w:sz w:val="22"/>
          <w:szCs w:val="22"/>
        </w:rPr>
        <w:t>：</w:t>
      </w:r>
    </w:p>
    <w:p>
      <w:pPr>
        <w:spacing w:line="520" w:lineRule="exact"/>
        <w:ind w:left="315" w:leftChars="150" w:firstLine="440" w:firstLineChars="200"/>
        <w:rPr>
          <w:rFonts w:ascii="宋体" w:hAnsi="宋体" w:cs="宋体"/>
          <w:sz w:val="22"/>
          <w:szCs w:val="22"/>
        </w:rPr>
      </w:pPr>
    </w:p>
    <w:p>
      <w:pPr>
        <w:spacing w:line="520" w:lineRule="exact"/>
        <w:ind w:left="315" w:leftChars="150" w:firstLine="440" w:firstLineChars="200"/>
        <w:rPr>
          <w:rFonts w:ascii="宋体" w:hAnsi="宋体" w:cs="宋体"/>
          <w:sz w:val="22"/>
          <w:szCs w:val="22"/>
        </w:rPr>
      </w:pPr>
      <w:r>
        <w:rPr>
          <w:rFonts w:hint="eastAsia" w:ascii="宋体" w:hAnsi="宋体" w:cs="宋体"/>
          <w:sz w:val="22"/>
          <w:szCs w:val="22"/>
        </w:rPr>
        <w:t>本公司</w:t>
      </w:r>
      <w:r>
        <w:rPr>
          <w:rFonts w:hint="eastAsia" w:ascii="宋体" w:hAnsi="宋体" w:cs="宋体"/>
          <w:sz w:val="22"/>
          <w:szCs w:val="22"/>
          <w:u w:val="single"/>
        </w:rPr>
        <w:t xml:space="preserve">     (投标人名称)   </w:t>
      </w:r>
      <w:r>
        <w:rPr>
          <w:rFonts w:hint="eastAsia" w:ascii="宋体" w:hAnsi="宋体" w:cs="宋体"/>
          <w:sz w:val="22"/>
          <w:szCs w:val="22"/>
        </w:rPr>
        <w:t>在参加在贵公司举行的</w:t>
      </w:r>
      <w:r>
        <w:rPr>
          <w:rFonts w:hint="eastAsia" w:ascii="宋体" w:hAnsi="宋体" w:cs="宋体"/>
          <w:sz w:val="22"/>
          <w:szCs w:val="22"/>
          <w:u w:val="single"/>
        </w:rPr>
        <w:t xml:space="preserve">   (项目名称)  </w:t>
      </w:r>
      <w:r>
        <w:rPr>
          <w:rFonts w:hint="eastAsia" w:ascii="宋体" w:hAnsi="宋体" w:cs="宋体"/>
          <w:sz w:val="22"/>
          <w:szCs w:val="22"/>
        </w:rPr>
        <w:t>项目(采购编号：)采购中如获中标，我公司保证在收到“中标通知书”并与采购人签订采购合同后10天内，按国家计委[计价格[2002]1980号文]货物招标代理货物收费标准差额定率累进法计算，向贵公司交纳“中标服务费”。</w:t>
      </w:r>
    </w:p>
    <w:p>
      <w:pPr>
        <w:spacing w:line="520" w:lineRule="exact"/>
        <w:ind w:left="315" w:leftChars="150" w:firstLine="440" w:firstLineChars="200"/>
        <w:rPr>
          <w:rFonts w:ascii="宋体" w:hAnsi="宋体" w:cs="宋体"/>
          <w:sz w:val="22"/>
          <w:szCs w:val="22"/>
        </w:rPr>
      </w:pPr>
    </w:p>
    <w:p>
      <w:pPr>
        <w:spacing w:line="520" w:lineRule="exact"/>
        <w:ind w:left="315" w:leftChars="150" w:firstLine="440" w:firstLineChars="200"/>
        <w:rPr>
          <w:rFonts w:ascii="宋体" w:hAnsi="宋体" w:cs="宋体"/>
          <w:sz w:val="22"/>
          <w:szCs w:val="22"/>
        </w:rPr>
      </w:pPr>
      <w:r>
        <w:rPr>
          <w:rFonts w:hint="eastAsia" w:ascii="宋体" w:hAnsi="宋体" w:cs="宋体"/>
          <w:sz w:val="22"/>
          <w:szCs w:val="22"/>
        </w:rPr>
        <w:t>如我方违约，愿凭贵方开出的违约通知，按上述承付金额的200%由采购人在支付给我司的中标货物货款中代为扣付。</w:t>
      </w:r>
    </w:p>
    <w:p>
      <w:pPr>
        <w:spacing w:line="520" w:lineRule="exact"/>
        <w:ind w:left="315"/>
        <w:rPr>
          <w:rFonts w:ascii="宋体" w:hAnsi="宋体" w:cs="宋体"/>
          <w:sz w:val="22"/>
          <w:szCs w:val="22"/>
        </w:rPr>
      </w:pPr>
    </w:p>
    <w:p>
      <w:pPr>
        <w:spacing w:line="520" w:lineRule="exact"/>
        <w:ind w:firstLine="880" w:firstLineChars="400"/>
        <w:rPr>
          <w:rFonts w:ascii="宋体" w:hAnsi="宋体" w:cs="宋体"/>
          <w:sz w:val="22"/>
          <w:szCs w:val="22"/>
        </w:rPr>
      </w:pPr>
      <w:r>
        <w:rPr>
          <w:rFonts w:hint="eastAsia" w:ascii="宋体" w:hAnsi="宋体" w:cs="宋体"/>
          <w:sz w:val="22"/>
          <w:szCs w:val="22"/>
        </w:rPr>
        <w:t>特此承诺!</w:t>
      </w:r>
    </w:p>
    <w:p>
      <w:pPr>
        <w:spacing w:line="520" w:lineRule="exact"/>
        <w:ind w:left="315"/>
        <w:rPr>
          <w:rFonts w:ascii="宋体" w:hAnsi="宋体" w:cs="宋体"/>
          <w:sz w:val="22"/>
          <w:szCs w:val="22"/>
        </w:rPr>
      </w:pPr>
    </w:p>
    <w:p>
      <w:pPr>
        <w:spacing w:line="520" w:lineRule="exact"/>
        <w:ind w:left="315"/>
        <w:rPr>
          <w:rFonts w:ascii="宋体" w:hAnsi="宋体" w:cs="宋体"/>
          <w:sz w:val="22"/>
          <w:szCs w:val="22"/>
        </w:rPr>
      </w:pPr>
      <w:r>
        <w:rPr>
          <w:rFonts w:hint="eastAsia" w:ascii="宋体" w:hAnsi="宋体" w:cs="宋体"/>
          <w:sz w:val="22"/>
          <w:szCs w:val="22"/>
        </w:rPr>
        <w:t>投标人名称(公章)：</w:t>
      </w:r>
    </w:p>
    <w:p>
      <w:pPr>
        <w:spacing w:line="520" w:lineRule="exact"/>
        <w:ind w:left="315"/>
        <w:rPr>
          <w:rFonts w:ascii="宋体" w:hAnsi="宋体" w:cs="宋体"/>
          <w:sz w:val="22"/>
          <w:szCs w:val="22"/>
        </w:rPr>
      </w:pPr>
      <w:r>
        <w:rPr>
          <w:rFonts w:hint="eastAsia" w:ascii="宋体" w:hAnsi="宋体" w:cs="宋体"/>
          <w:sz w:val="22"/>
          <w:szCs w:val="22"/>
        </w:rPr>
        <w:t>单位地址：</w:t>
      </w:r>
    </w:p>
    <w:p>
      <w:pPr>
        <w:spacing w:line="520" w:lineRule="exact"/>
        <w:ind w:left="315"/>
        <w:rPr>
          <w:rFonts w:ascii="宋体" w:hAnsi="宋体" w:cs="宋体"/>
          <w:sz w:val="22"/>
          <w:szCs w:val="22"/>
        </w:rPr>
      </w:pPr>
      <w:r>
        <w:rPr>
          <w:rFonts w:hint="eastAsia" w:ascii="宋体" w:hAnsi="宋体" w:cs="宋体"/>
          <w:sz w:val="22"/>
          <w:szCs w:val="22"/>
        </w:rPr>
        <w:t>电话：</w:t>
      </w:r>
    </w:p>
    <w:p>
      <w:pPr>
        <w:spacing w:line="520" w:lineRule="exact"/>
        <w:ind w:left="315"/>
        <w:rPr>
          <w:rFonts w:ascii="宋体" w:hAnsi="宋体" w:cs="宋体"/>
          <w:sz w:val="22"/>
          <w:szCs w:val="22"/>
        </w:rPr>
      </w:pPr>
      <w:r>
        <w:rPr>
          <w:rFonts w:hint="eastAsia" w:ascii="宋体" w:hAnsi="宋体" w:cs="宋体"/>
          <w:sz w:val="22"/>
          <w:szCs w:val="22"/>
        </w:rPr>
        <w:t>传真：</w:t>
      </w:r>
    </w:p>
    <w:p>
      <w:pPr>
        <w:spacing w:line="560" w:lineRule="exact"/>
        <w:ind w:firstLine="330" w:firstLineChars="150"/>
        <w:rPr>
          <w:rFonts w:ascii="宋体" w:hAnsi="宋体" w:cs="宋体"/>
          <w:sz w:val="22"/>
          <w:szCs w:val="22"/>
        </w:rPr>
      </w:pPr>
      <w:r>
        <w:rPr>
          <w:rFonts w:hint="eastAsia" w:ascii="宋体" w:hAnsi="宋体" w:cs="宋体"/>
          <w:sz w:val="22"/>
          <w:szCs w:val="22"/>
        </w:rPr>
        <w:t>投标人法定代表人或授权代理人（签名）：</w:t>
      </w:r>
    </w:p>
    <w:p>
      <w:pPr>
        <w:spacing w:line="520" w:lineRule="exact"/>
        <w:ind w:left="315"/>
        <w:rPr>
          <w:rFonts w:ascii="宋体" w:hAnsi="宋体" w:cs="宋体"/>
          <w:sz w:val="22"/>
          <w:szCs w:val="22"/>
        </w:rPr>
      </w:pPr>
      <w:r>
        <w:rPr>
          <w:rFonts w:hint="eastAsia" w:ascii="宋体" w:hAnsi="宋体" w:cs="宋体"/>
          <w:sz w:val="22"/>
          <w:szCs w:val="22"/>
        </w:rPr>
        <w:t>签署日期：</w:t>
      </w:r>
    </w:p>
    <w:p>
      <w:pPr>
        <w:spacing w:line="440" w:lineRule="exact"/>
        <w:rPr>
          <w:rFonts w:ascii="宋体" w:hAnsi="宋体" w:cs="宋体"/>
          <w:sz w:val="22"/>
          <w:szCs w:val="22"/>
        </w:rPr>
      </w:pPr>
    </w:p>
    <w:p>
      <w:pPr>
        <w:spacing w:line="440" w:lineRule="exact"/>
        <w:rPr>
          <w:rFonts w:ascii="宋体" w:hAnsi="宋体" w:cs="宋体"/>
          <w:sz w:val="22"/>
          <w:szCs w:val="22"/>
        </w:rPr>
      </w:pPr>
    </w:p>
    <w:p>
      <w:pPr>
        <w:spacing w:line="440" w:lineRule="exact"/>
        <w:rPr>
          <w:rFonts w:ascii="宋体" w:hAnsi="宋体" w:cs="宋体"/>
          <w:sz w:val="22"/>
          <w:szCs w:val="22"/>
        </w:rPr>
      </w:pPr>
    </w:p>
    <w:p>
      <w:pPr>
        <w:spacing w:line="440" w:lineRule="exact"/>
        <w:rPr>
          <w:rFonts w:ascii="宋体" w:hAnsi="宋体" w:cs="宋体"/>
          <w:sz w:val="22"/>
          <w:szCs w:val="22"/>
        </w:rPr>
      </w:pPr>
    </w:p>
    <w:p>
      <w:pPr>
        <w:spacing w:line="440" w:lineRule="exact"/>
        <w:rPr>
          <w:rFonts w:ascii="宋体" w:hAnsi="宋体" w:cs="宋体"/>
          <w:sz w:val="22"/>
          <w:szCs w:val="22"/>
        </w:rPr>
      </w:pPr>
    </w:p>
    <w:p>
      <w:pPr>
        <w:spacing w:line="440" w:lineRule="exact"/>
        <w:rPr>
          <w:rFonts w:ascii="宋体" w:hAnsi="宋体" w:cs="宋体"/>
          <w:sz w:val="22"/>
          <w:szCs w:val="22"/>
        </w:rPr>
      </w:pPr>
    </w:p>
    <w:p>
      <w:pPr>
        <w:spacing w:line="440" w:lineRule="exact"/>
        <w:rPr>
          <w:rFonts w:ascii="宋体" w:hAnsi="宋体" w:cs="宋体"/>
          <w:sz w:val="22"/>
          <w:szCs w:val="22"/>
        </w:rPr>
      </w:pPr>
    </w:p>
    <w:p>
      <w:pPr>
        <w:spacing w:line="440" w:lineRule="exact"/>
        <w:rPr>
          <w:rFonts w:ascii="宋体" w:hAnsi="宋体" w:cs="宋体"/>
          <w:sz w:val="22"/>
          <w:szCs w:val="22"/>
        </w:rPr>
      </w:pPr>
    </w:p>
    <w:p>
      <w:pPr>
        <w:spacing w:after="60" w:line="360" w:lineRule="auto"/>
        <w:jc w:val="center"/>
        <w:outlineLvl w:val="2"/>
        <w:rPr>
          <w:rFonts w:ascii="宋体" w:hAnsi="宋体" w:cs="宋体"/>
          <w:b/>
          <w:sz w:val="22"/>
          <w:szCs w:val="22"/>
        </w:rPr>
      </w:pPr>
      <w:bookmarkStart w:id="1343" w:name="_Toc16239"/>
      <w:bookmarkStart w:id="1344" w:name="_Toc454875070"/>
      <w:bookmarkStart w:id="1345" w:name="_Toc5611"/>
      <w:bookmarkStart w:id="1346" w:name="_Toc29180"/>
      <w:bookmarkStart w:id="1347" w:name="_Toc18128"/>
      <w:bookmarkStart w:id="1348" w:name="_Toc16232"/>
      <w:r>
        <w:rPr>
          <w:rFonts w:hint="eastAsia" w:ascii="宋体" w:hAnsi="宋体" w:cs="宋体"/>
          <w:b/>
          <w:sz w:val="22"/>
          <w:szCs w:val="22"/>
        </w:rPr>
        <w:t>20、投标人认为需加以说明的其他内容</w:t>
      </w:r>
      <w:bookmarkEnd w:id="1343"/>
      <w:bookmarkEnd w:id="1344"/>
      <w:bookmarkEnd w:id="1345"/>
      <w:bookmarkEnd w:id="1346"/>
      <w:bookmarkEnd w:id="1347"/>
      <w:bookmarkEnd w:id="1348"/>
    </w:p>
    <w:p>
      <w:pPr>
        <w:spacing w:after="60" w:line="360" w:lineRule="auto"/>
        <w:rPr>
          <w:rFonts w:ascii="宋体" w:hAnsi="宋体" w:cs="宋体"/>
          <w:sz w:val="22"/>
          <w:szCs w:val="22"/>
        </w:rPr>
      </w:pPr>
    </w:p>
    <w:p>
      <w:pPr>
        <w:adjustRightInd w:val="0"/>
        <w:spacing w:line="560" w:lineRule="exact"/>
        <w:rPr>
          <w:rFonts w:ascii="宋体" w:hAnsi="宋体" w:cs="宋体"/>
          <w:sz w:val="22"/>
          <w:szCs w:val="22"/>
        </w:rPr>
      </w:pPr>
      <w:r>
        <w:rPr>
          <w:rFonts w:hint="eastAsia" w:ascii="宋体" w:hAnsi="宋体" w:cs="宋体"/>
          <w:sz w:val="22"/>
          <w:szCs w:val="22"/>
        </w:rPr>
        <w:t>项目名称：</w:t>
      </w:r>
      <w:r>
        <w:rPr>
          <w:rFonts w:hint="eastAsia" w:ascii="宋体" w:hAnsi="宋体" w:cs="宋体"/>
          <w:sz w:val="22"/>
          <w:szCs w:val="22"/>
          <w:lang w:eastAsia="zh-CN"/>
        </w:rPr>
        <w:t>东莞市交通投资集团有限公司供应链服务平台项目</w:t>
      </w:r>
      <w:r>
        <w:rPr>
          <w:rFonts w:hint="eastAsia" w:ascii="宋体" w:hAnsi="宋体" w:cs="宋体"/>
          <w:sz w:val="22"/>
          <w:szCs w:val="22"/>
        </w:rPr>
        <w:t xml:space="preserve">  </w:t>
      </w:r>
    </w:p>
    <w:p>
      <w:pPr>
        <w:adjustRightInd w:val="0"/>
        <w:spacing w:line="560" w:lineRule="exact"/>
        <w:rPr>
          <w:rFonts w:ascii="宋体" w:hAnsi="宋体" w:cs="宋体"/>
          <w:sz w:val="22"/>
          <w:szCs w:val="22"/>
          <w:u w:val="single"/>
        </w:rPr>
      </w:pPr>
      <w:r>
        <w:rPr>
          <w:rFonts w:hint="eastAsia" w:ascii="宋体" w:hAnsi="宋体" w:cs="宋体"/>
          <w:sz w:val="22"/>
          <w:szCs w:val="22"/>
        </w:rPr>
        <w:t xml:space="preserve">项目编号：SL-CG2022028       </w:t>
      </w: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jc w:val="center"/>
        <w:rPr>
          <w:rFonts w:ascii="宋体" w:hAnsi="宋体" w:cs="宋体"/>
          <w:sz w:val="22"/>
          <w:szCs w:val="22"/>
        </w:rPr>
      </w:pPr>
      <w:r>
        <w:rPr>
          <w:rFonts w:hint="eastAsia" w:ascii="宋体" w:hAnsi="宋体" w:cs="宋体"/>
          <w:sz w:val="22"/>
          <w:szCs w:val="22"/>
        </w:rPr>
        <w:t>格  式  自  定</w:t>
      </w: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pStyle w:val="47"/>
        <w:spacing w:line="360" w:lineRule="auto"/>
        <w:ind w:firstLine="3964" w:firstLineChars="1802"/>
        <w:rPr>
          <w:rFonts w:ascii="宋体" w:eastAsia="宋体"/>
          <w:sz w:val="22"/>
          <w:szCs w:val="22"/>
          <w:u w:val="single"/>
        </w:rPr>
      </w:pPr>
      <w:r>
        <w:rPr>
          <w:rFonts w:hint="eastAsia" w:ascii="宋体" w:eastAsia="宋体"/>
          <w:sz w:val="22"/>
          <w:szCs w:val="22"/>
        </w:rPr>
        <w:t xml:space="preserve">投标人名称（加盖公章）： </w:t>
      </w:r>
    </w:p>
    <w:p>
      <w:pPr>
        <w:pStyle w:val="47"/>
        <w:spacing w:line="360" w:lineRule="auto"/>
        <w:ind w:firstLine="3964" w:firstLineChars="1802"/>
        <w:rPr>
          <w:rFonts w:ascii="宋体" w:eastAsia="宋体"/>
          <w:sz w:val="22"/>
          <w:szCs w:val="22"/>
        </w:rPr>
      </w:pPr>
      <w:r>
        <w:rPr>
          <w:rFonts w:hint="eastAsia" w:ascii="宋体" w:eastAsia="宋体"/>
          <w:sz w:val="22"/>
          <w:szCs w:val="22"/>
        </w:rPr>
        <w:t>投标人法定代表人或被授权人（签名或盖私章）：</w:t>
      </w:r>
    </w:p>
    <w:p>
      <w:pPr>
        <w:pStyle w:val="47"/>
        <w:spacing w:line="360" w:lineRule="auto"/>
        <w:ind w:firstLine="3964" w:firstLineChars="1802"/>
        <w:rPr>
          <w:rFonts w:ascii="宋体" w:eastAsia="宋体"/>
          <w:sz w:val="22"/>
          <w:szCs w:val="22"/>
          <w:u w:val="single"/>
        </w:rPr>
      </w:pPr>
      <w:r>
        <w:rPr>
          <w:rFonts w:hint="eastAsia" w:ascii="宋体" w:eastAsia="宋体"/>
          <w:sz w:val="22"/>
          <w:szCs w:val="22"/>
        </w:rPr>
        <w:t>日期：</w:t>
      </w:r>
      <w:r>
        <w:rPr>
          <w:rFonts w:hint="eastAsia" w:ascii="宋体" w:eastAsia="宋体"/>
          <w:sz w:val="22"/>
          <w:szCs w:val="22"/>
          <w:u w:val="single"/>
        </w:rPr>
        <w:t xml:space="preserve">     年     月      日</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s="宋体"/>
          <w:sz w:val="22"/>
          <w:szCs w:val="22"/>
          <w:u w:val="single"/>
        </w:rPr>
      </w:pPr>
    </w:p>
    <w:p>
      <w:pPr>
        <w:tabs>
          <w:tab w:val="left" w:pos="360"/>
        </w:tabs>
        <w:spacing w:line="360" w:lineRule="auto"/>
        <w:rPr>
          <w:rFonts w:ascii="宋体" w:hAnsi="宋体" w:cs="宋体"/>
          <w:b/>
          <w:sz w:val="22"/>
          <w:szCs w:val="22"/>
        </w:rPr>
      </w:pPr>
    </w:p>
    <w:p>
      <w:pPr>
        <w:tabs>
          <w:tab w:val="left" w:pos="360"/>
        </w:tabs>
        <w:spacing w:line="360" w:lineRule="auto"/>
        <w:rPr>
          <w:rFonts w:ascii="宋体" w:hAnsi="宋体" w:cs="宋体"/>
          <w:b/>
          <w:sz w:val="22"/>
          <w:szCs w:val="22"/>
        </w:rPr>
      </w:pPr>
    </w:p>
    <w:p>
      <w:pPr>
        <w:tabs>
          <w:tab w:val="left" w:pos="360"/>
        </w:tabs>
        <w:spacing w:line="360" w:lineRule="auto"/>
        <w:rPr>
          <w:rFonts w:ascii="宋体" w:hAnsi="宋体" w:cs="宋体"/>
          <w:b/>
          <w:sz w:val="22"/>
          <w:szCs w:val="22"/>
        </w:rPr>
      </w:pPr>
    </w:p>
    <w:p>
      <w:pPr>
        <w:tabs>
          <w:tab w:val="left" w:pos="360"/>
        </w:tabs>
        <w:spacing w:line="360" w:lineRule="auto"/>
        <w:rPr>
          <w:rFonts w:ascii="宋体" w:hAnsi="宋体" w:cs="宋体"/>
          <w:b/>
          <w:sz w:val="22"/>
          <w:szCs w:val="22"/>
        </w:rPr>
      </w:pPr>
    </w:p>
    <w:p>
      <w:pPr>
        <w:spacing w:after="60" w:line="360" w:lineRule="auto"/>
        <w:ind w:left="2349" w:hanging="2349" w:hangingChars="500"/>
        <w:jc w:val="center"/>
        <w:outlineLvl w:val="1"/>
        <w:rPr>
          <w:rFonts w:ascii="宋体" w:hAnsi="宋体" w:cs="宋体"/>
          <w:b/>
          <w:bCs/>
          <w:spacing w:val="-6"/>
          <w:sz w:val="48"/>
          <w:szCs w:val="48"/>
        </w:rPr>
      </w:pPr>
      <w:bookmarkStart w:id="1349" w:name="_Toc14425"/>
      <w:bookmarkStart w:id="1350" w:name="_Toc27697"/>
      <w:bookmarkStart w:id="1351" w:name="_Toc15873"/>
      <w:bookmarkStart w:id="1352" w:name="_Toc31921"/>
      <w:bookmarkStart w:id="1353" w:name="_Toc28607"/>
      <w:bookmarkStart w:id="1354" w:name="_Toc7982"/>
      <w:r>
        <w:rPr>
          <w:rFonts w:hint="eastAsia" w:ascii="宋体" w:hAnsi="宋体" w:cs="宋体"/>
          <w:b/>
          <w:bCs/>
          <w:spacing w:val="-6"/>
          <w:sz w:val="48"/>
          <w:szCs w:val="48"/>
        </w:rPr>
        <w:t>三、唱标信封</w:t>
      </w:r>
      <w:bookmarkEnd w:id="1177"/>
      <w:bookmarkEnd w:id="1178"/>
      <w:bookmarkEnd w:id="1179"/>
      <w:bookmarkEnd w:id="1180"/>
      <w:bookmarkEnd w:id="1181"/>
      <w:bookmarkEnd w:id="1349"/>
      <w:bookmarkEnd w:id="1350"/>
      <w:bookmarkEnd w:id="1351"/>
      <w:bookmarkEnd w:id="1352"/>
      <w:bookmarkEnd w:id="1353"/>
      <w:bookmarkEnd w:id="1354"/>
    </w:p>
    <w:p>
      <w:pPr>
        <w:pStyle w:val="47"/>
        <w:spacing w:line="560" w:lineRule="exact"/>
        <w:ind w:firstLine="0" w:firstLineChars="0"/>
        <w:rPr>
          <w:rFonts w:ascii="宋体" w:eastAsia="宋体"/>
          <w:sz w:val="22"/>
          <w:szCs w:val="22"/>
        </w:rPr>
      </w:pPr>
    </w:p>
    <w:p>
      <w:pPr>
        <w:pStyle w:val="47"/>
        <w:spacing w:line="560" w:lineRule="exact"/>
        <w:ind w:firstLine="0" w:firstLineChars="0"/>
        <w:rPr>
          <w:rFonts w:ascii="宋体" w:eastAsia="宋体"/>
          <w:sz w:val="22"/>
          <w:szCs w:val="22"/>
        </w:rPr>
      </w:pPr>
    </w:p>
    <w:p>
      <w:pPr>
        <w:pStyle w:val="47"/>
        <w:spacing w:line="560" w:lineRule="exact"/>
        <w:ind w:firstLine="0" w:firstLineChars="0"/>
        <w:rPr>
          <w:rFonts w:ascii="宋体" w:eastAsia="宋体"/>
          <w:sz w:val="22"/>
          <w:szCs w:val="22"/>
        </w:rPr>
      </w:pPr>
    </w:p>
    <w:p>
      <w:pPr>
        <w:pStyle w:val="47"/>
        <w:spacing w:line="560" w:lineRule="exact"/>
        <w:ind w:firstLine="0" w:firstLineChars="0"/>
        <w:rPr>
          <w:rFonts w:ascii="宋体" w:eastAsia="宋体"/>
          <w:sz w:val="22"/>
          <w:szCs w:val="22"/>
        </w:rPr>
      </w:pPr>
      <w:r>
        <w:rPr>
          <w:rFonts w:hint="eastAsia" w:ascii="宋体" w:eastAsia="宋体"/>
          <w:sz w:val="22"/>
          <w:szCs w:val="22"/>
        </w:rPr>
        <w:t>唱标信封内装：</w:t>
      </w:r>
    </w:p>
    <w:p>
      <w:pPr>
        <w:spacing w:line="560" w:lineRule="exact"/>
        <w:rPr>
          <w:rFonts w:ascii="宋体" w:hAnsi="宋体"/>
          <w:sz w:val="22"/>
          <w:szCs w:val="22"/>
        </w:rPr>
      </w:pPr>
      <w:r>
        <w:rPr>
          <w:rFonts w:hint="eastAsia" w:ascii="宋体" w:hAnsi="宋体"/>
          <w:sz w:val="22"/>
          <w:szCs w:val="22"/>
        </w:rPr>
        <w:t>1.投标报价一览表；</w:t>
      </w:r>
    </w:p>
    <w:p>
      <w:pPr>
        <w:spacing w:line="560" w:lineRule="exact"/>
        <w:rPr>
          <w:rFonts w:ascii="宋体" w:hAnsi="宋体"/>
          <w:sz w:val="22"/>
          <w:szCs w:val="22"/>
        </w:rPr>
      </w:pPr>
      <w:r>
        <w:rPr>
          <w:rFonts w:hint="eastAsia" w:ascii="宋体" w:hAnsi="宋体"/>
          <w:sz w:val="22"/>
          <w:szCs w:val="22"/>
        </w:rPr>
        <w:t>2.投标保证金汇入情况说明及</w:t>
      </w:r>
      <w:r>
        <w:rPr>
          <w:rFonts w:hint="eastAsia" w:ascii="宋体" w:hAnsi="宋体" w:cs="Arial"/>
          <w:sz w:val="22"/>
          <w:szCs w:val="22"/>
        </w:rPr>
        <w:t>投标保证金复印件加盖公章</w:t>
      </w:r>
      <w:r>
        <w:rPr>
          <w:rFonts w:hint="eastAsia" w:ascii="宋体" w:hAnsi="宋体"/>
          <w:sz w:val="22"/>
          <w:szCs w:val="22"/>
        </w:rPr>
        <w:t>；</w:t>
      </w:r>
    </w:p>
    <w:p>
      <w:pPr>
        <w:spacing w:line="560" w:lineRule="exact"/>
        <w:rPr>
          <w:rFonts w:ascii="宋体" w:hAnsi="宋体" w:cs="宋体"/>
          <w:bCs/>
          <w:sz w:val="22"/>
          <w:szCs w:val="22"/>
        </w:rPr>
      </w:pPr>
      <w:r>
        <w:rPr>
          <w:rFonts w:hint="eastAsia" w:ascii="宋体" w:hAnsi="宋体"/>
          <w:sz w:val="22"/>
          <w:szCs w:val="22"/>
        </w:rPr>
        <w:t>3.法人授权委托证明书及被授权代表身份证复印件加盖公章（如法定代表人投标则附法定代表人身份证明书）；</w:t>
      </w:r>
    </w:p>
    <w:p>
      <w:pPr>
        <w:spacing w:line="560" w:lineRule="exact"/>
        <w:rPr>
          <w:rFonts w:ascii="宋体" w:hAnsi="宋体"/>
          <w:sz w:val="22"/>
          <w:szCs w:val="22"/>
        </w:rPr>
      </w:pPr>
      <w:r>
        <w:rPr>
          <w:rFonts w:hint="eastAsia" w:ascii="宋体" w:hAnsi="宋体"/>
          <w:sz w:val="22"/>
          <w:szCs w:val="22"/>
        </w:rPr>
        <w:t>4.电子文件</w:t>
      </w:r>
      <w:r>
        <w:rPr>
          <w:rFonts w:hint="eastAsia" w:ascii="宋体" w:hAnsi="宋体" w:cs="宋体"/>
          <w:bCs/>
          <w:sz w:val="22"/>
          <w:szCs w:val="22"/>
        </w:rPr>
        <w:t>。</w:t>
      </w:r>
    </w:p>
    <w:p>
      <w:pPr>
        <w:spacing w:line="560" w:lineRule="exact"/>
        <w:rPr>
          <w:rFonts w:ascii="宋体" w:hAnsi="宋体"/>
          <w:szCs w:val="21"/>
        </w:rPr>
      </w:pPr>
    </w:p>
    <w:p>
      <w:pPr>
        <w:spacing w:line="560" w:lineRule="exact"/>
        <w:rPr>
          <w:rFonts w:ascii="宋体" w:hAnsi="宋体"/>
          <w:szCs w:val="21"/>
        </w:rPr>
      </w:pPr>
    </w:p>
    <w:p>
      <w:pPr>
        <w:spacing w:line="560" w:lineRule="exact"/>
        <w:rPr>
          <w:rFonts w:ascii="宋体" w:hAnsi="宋体"/>
          <w:szCs w:val="21"/>
        </w:rPr>
      </w:pPr>
    </w:p>
    <w:p>
      <w:pPr>
        <w:spacing w:line="560" w:lineRule="exact"/>
        <w:rPr>
          <w:rFonts w:ascii="宋体" w:hAnsi="宋体"/>
          <w:szCs w:val="21"/>
        </w:rPr>
      </w:pPr>
    </w:p>
    <w:p>
      <w:pPr>
        <w:spacing w:line="560" w:lineRule="exact"/>
        <w:rPr>
          <w:rFonts w:ascii="宋体" w:hAnsi="宋体"/>
          <w:szCs w:val="21"/>
        </w:rPr>
      </w:pPr>
    </w:p>
    <w:p>
      <w:pPr>
        <w:spacing w:line="560" w:lineRule="exact"/>
        <w:rPr>
          <w:rFonts w:ascii="宋体" w:hAnsi="宋体"/>
          <w:szCs w:val="21"/>
        </w:rPr>
      </w:pPr>
    </w:p>
    <w:p>
      <w:pPr>
        <w:spacing w:line="560" w:lineRule="exact"/>
        <w:rPr>
          <w:rFonts w:ascii="宋体" w:hAnsi="宋体"/>
          <w:szCs w:val="21"/>
        </w:rPr>
      </w:pPr>
    </w:p>
    <w:p>
      <w:pPr>
        <w:spacing w:line="560" w:lineRule="exact"/>
        <w:jc w:val="center"/>
        <w:rPr>
          <w:rFonts w:ascii="宋体" w:hAnsi="宋体"/>
          <w:szCs w:val="21"/>
        </w:rPr>
      </w:pPr>
    </w:p>
    <w:p>
      <w:pPr>
        <w:spacing w:line="560" w:lineRule="exact"/>
        <w:jc w:val="center"/>
        <w:rPr>
          <w:rFonts w:ascii="宋体" w:hAnsi="宋体"/>
          <w:szCs w:val="21"/>
        </w:rPr>
      </w:pPr>
    </w:p>
    <w:p>
      <w:pPr>
        <w:spacing w:line="560" w:lineRule="exact"/>
        <w:jc w:val="center"/>
        <w:rPr>
          <w:rFonts w:ascii="宋体" w:hAnsi="宋体"/>
          <w:szCs w:val="21"/>
        </w:rPr>
      </w:pPr>
    </w:p>
    <w:p>
      <w:pPr>
        <w:spacing w:line="560" w:lineRule="exact"/>
        <w:rPr>
          <w:rFonts w:ascii="宋体" w:hAnsi="宋体"/>
          <w:szCs w:val="21"/>
        </w:rPr>
      </w:pPr>
    </w:p>
    <w:p>
      <w:bookmarkStart w:id="1355" w:name="_Toc441844140"/>
    </w:p>
    <w:p>
      <w:pPr>
        <w:widowControl/>
        <w:jc w:val="center"/>
        <w:outlineLvl w:val="1"/>
        <w:rPr>
          <w:rFonts w:ascii="宋体" w:hAnsi="宋体" w:cs="宋体"/>
          <w:b/>
          <w:bCs/>
          <w:spacing w:val="-6"/>
          <w:sz w:val="48"/>
          <w:szCs w:val="48"/>
        </w:rPr>
      </w:pPr>
      <w:bookmarkStart w:id="1356" w:name="_Toc4028"/>
      <w:r>
        <w:rPr>
          <w:rFonts w:ascii="宋体" w:hAnsi="宋体" w:cs="宋体"/>
          <w:b/>
          <w:bCs/>
          <w:spacing w:val="-6"/>
          <w:sz w:val="48"/>
          <w:szCs w:val="48"/>
        </w:rPr>
        <w:br w:type="page"/>
      </w:r>
      <w:bookmarkStart w:id="1357" w:name="_Toc20331"/>
      <w:bookmarkStart w:id="1358" w:name="_Toc26492"/>
      <w:bookmarkStart w:id="1359" w:name="_Toc27048"/>
      <w:bookmarkStart w:id="1360" w:name="_Toc24057"/>
      <w:bookmarkStart w:id="1361" w:name="_Toc32276"/>
      <w:r>
        <w:rPr>
          <w:rFonts w:hint="eastAsia" w:ascii="宋体" w:hAnsi="宋体" w:cs="宋体"/>
          <w:b/>
          <w:bCs/>
          <w:spacing w:val="-6"/>
          <w:sz w:val="48"/>
          <w:szCs w:val="48"/>
        </w:rPr>
        <w:t>四、</w:t>
      </w:r>
      <w:bookmarkStart w:id="1362" w:name="_Toc427232357"/>
      <w:bookmarkStart w:id="1363" w:name="_Toc363828419"/>
      <w:r>
        <w:rPr>
          <w:rFonts w:hint="eastAsia" w:ascii="宋体" w:hAnsi="宋体" w:cs="宋体"/>
          <w:b/>
          <w:bCs/>
          <w:spacing w:val="-6"/>
          <w:sz w:val="48"/>
          <w:szCs w:val="48"/>
        </w:rPr>
        <w:t>无线胶装样式</w:t>
      </w:r>
      <w:bookmarkEnd w:id="1355"/>
      <w:bookmarkEnd w:id="1356"/>
      <w:bookmarkEnd w:id="1357"/>
      <w:bookmarkEnd w:id="1358"/>
      <w:bookmarkEnd w:id="1359"/>
      <w:bookmarkEnd w:id="1360"/>
      <w:bookmarkEnd w:id="1361"/>
      <w:bookmarkEnd w:id="1362"/>
      <w:bookmarkEnd w:id="1363"/>
    </w:p>
    <w:p>
      <w:pPr>
        <w:spacing w:after="60" w:line="360" w:lineRule="auto"/>
        <w:ind w:left="1054" w:hanging="1054" w:hangingChars="500"/>
        <w:jc w:val="center"/>
        <w:rPr>
          <w:rFonts w:ascii="宋体" w:hAnsi="宋体" w:cs="宋体"/>
          <w:b/>
          <w:bCs/>
          <w:spacing w:val="-6"/>
          <w:sz w:val="48"/>
          <w:szCs w:val="48"/>
        </w:rPr>
      </w:pPr>
      <w:r>
        <w:rPr>
          <w:rFonts w:ascii="宋体" w:hAnsi="宋体"/>
          <w:b/>
          <w:szCs w:val="21"/>
        </w:rPr>
        <w:drawing>
          <wp:inline distT="0" distB="0" distL="0" distR="0">
            <wp:extent cx="5248275" cy="4029075"/>
            <wp:effectExtent l="0" t="0" r="0" b="0"/>
            <wp:docPr id="1" name="图片 1" descr="QQ图片20130724100524_2345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30724100524_2345看图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48275" cy="4029075"/>
                    </a:xfrm>
                    <a:prstGeom prst="rect">
                      <a:avLst/>
                    </a:prstGeom>
                    <a:noFill/>
                    <a:ln>
                      <a:noFill/>
                    </a:ln>
                  </pic:spPr>
                </pic:pic>
              </a:graphicData>
            </a:graphic>
          </wp:inline>
        </w:drawing>
      </w:r>
    </w:p>
    <w:p>
      <w:pPr>
        <w:spacing w:after="60" w:line="360" w:lineRule="auto"/>
        <w:ind w:left="1054" w:hanging="1054" w:hangingChars="500"/>
        <w:jc w:val="center"/>
        <w:rPr>
          <w:rFonts w:ascii="宋体" w:hAnsi="宋体" w:cs="宋体"/>
          <w:b/>
          <w:bCs/>
          <w:spacing w:val="-6"/>
          <w:sz w:val="48"/>
          <w:szCs w:val="48"/>
        </w:rPr>
      </w:pPr>
      <w:r>
        <w:rPr>
          <w:rFonts w:ascii="宋体" w:hAnsi="宋体"/>
          <w:b/>
          <w:szCs w:val="21"/>
        </w:rPr>
        <w:drawing>
          <wp:inline distT="0" distB="0" distL="0" distR="0">
            <wp:extent cx="5238750" cy="3514725"/>
            <wp:effectExtent l="0" t="0" r="0" b="0"/>
            <wp:docPr id="2" name="图片 4" descr="QQ图片20130724100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QQ图片201307241005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38750" cy="3514725"/>
                    </a:xfrm>
                    <a:prstGeom prst="rect">
                      <a:avLst/>
                    </a:prstGeom>
                    <a:noFill/>
                    <a:ln>
                      <a:noFill/>
                    </a:ln>
                  </pic:spPr>
                </pic:pic>
              </a:graphicData>
            </a:graphic>
          </wp:inline>
        </w:drawing>
      </w:r>
    </w:p>
    <w:p/>
    <w:sectPr>
      <w:headerReference r:id="rId4" w:type="first"/>
      <w:footerReference r:id="rId6" w:type="first"/>
      <w:headerReference r:id="rId3" w:type="default"/>
      <w:footerReference r:id="rId5" w:type="default"/>
      <w:pgSz w:w="11906" w:h="16838"/>
      <w:pgMar w:top="1440" w:right="1440" w:bottom="1440" w:left="1440" w:header="851" w:footer="992" w:gutter="0"/>
      <w:cols w:space="0" w:num="1"/>
      <w:titlePg/>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汉仪仿宋简">
    <w:altName w:val="黑体"/>
    <w:panose1 w:val="00000000000000000000"/>
    <w:charset w:val="86"/>
    <w:family w:val="modern"/>
    <w:pitch w:val="default"/>
    <w:sig w:usb0="00000000" w:usb1="00000000" w:usb2="00000012" w:usb3="00000000" w:csb0="00040000"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77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77</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Fonts w:hint="eastAsia" w:eastAsia="宋体"/>
        <w:lang w:eastAsia="zh-CN"/>
      </w:rPr>
    </w:pPr>
    <w:r>
      <w:rPr>
        <w:rFonts w:hint="eastAsia" w:ascii="宋体" w:hAnsi="宋体"/>
        <w:bCs/>
      </w:rPr>
      <w:t xml:space="preserve">深圳市国信招标有限公司                                 </w:t>
    </w:r>
    <w:r>
      <w:rPr>
        <w:rFonts w:hint="eastAsia" w:ascii="宋体" w:hAnsi="宋体"/>
        <w:bCs/>
        <w:lang w:eastAsia="zh-CN"/>
      </w:rPr>
      <w:t>东莞市交通投资集团有限公司供应链服务平台项目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Fonts w:hint="eastAsia" w:eastAsia="宋体"/>
        <w:lang w:eastAsia="zh-CN"/>
      </w:rPr>
    </w:pPr>
    <w:r>
      <w:rPr>
        <w:rFonts w:hint="eastAsia" w:ascii="宋体" w:hAnsi="宋体"/>
        <w:bCs/>
      </w:rPr>
      <w:t xml:space="preserve">深圳市国信招标有限公司                               </w:t>
    </w:r>
    <w:r>
      <w:rPr>
        <w:rFonts w:hint="eastAsia" w:ascii="宋体" w:hAnsi="宋体"/>
        <w:bCs/>
        <w:lang w:eastAsia="zh-CN"/>
      </w:rPr>
      <w:t>东莞市交通投资集团有限公司供应链服务平台项目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3627B9"/>
    <w:multiLevelType w:val="multilevel"/>
    <w:tmpl w:val="803627B9"/>
    <w:lvl w:ilvl="0" w:tentative="0">
      <w:start w:val="1"/>
      <w:numFmt w:val="decimal"/>
      <w:lvlText w:val="%1."/>
      <w:lvlJc w:val="left"/>
      <w:pPr>
        <w:ind w:left="840" w:hanging="420"/>
      </w:pPr>
      <w:rPr>
        <w:rFonts w:hint="eastAsia" w:eastAsia="黑体"/>
        <w:b w:val="0"/>
        <w:i w:val="0"/>
        <w:sz w:val="28"/>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8CF35637"/>
    <w:multiLevelType w:val="singleLevel"/>
    <w:tmpl w:val="8CF35637"/>
    <w:lvl w:ilvl="0" w:tentative="0">
      <w:start w:val="1"/>
      <w:numFmt w:val="decimal"/>
      <w:suff w:val="nothing"/>
      <w:lvlText w:val="%1、"/>
      <w:lvlJc w:val="left"/>
      <w:rPr>
        <w:rFonts w:hint="default"/>
        <w:b w:val="0"/>
        <w:bCs w:val="0"/>
      </w:rPr>
    </w:lvl>
  </w:abstractNum>
  <w:abstractNum w:abstractNumId="2">
    <w:nsid w:val="8EF88EB2"/>
    <w:multiLevelType w:val="singleLevel"/>
    <w:tmpl w:val="8EF88EB2"/>
    <w:lvl w:ilvl="0" w:tentative="0">
      <w:start w:val="1"/>
      <w:numFmt w:val="decimal"/>
      <w:suff w:val="space"/>
      <w:lvlText w:val="%1."/>
      <w:lvlJc w:val="left"/>
    </w:lvl>
  </w:abstractNum>
  <w:abstractNum w:abstractNumId="3">
    <w:nsid w:val="A1410C4D"/>
    <w:multiLevelType w:val="multilevel"/>
    <w:tmpl w:val="A1410C4D"/>
    <w:lvl w:ilvl="0" w:tentative="0">
      <w:start w:val="1"/>
      <w:numFmt w:val="decimal"/>
      <w:suff w:val="space"/>
      <w:lvlText w:val="27.%1"/>
      <w:lvlJc w:val="left"/>
      <w:pPr>
        <w:tabs>
          <w:tab w:val="left" w:pos="420"/>
        </w:tabs>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AB7AFC67"/>
    <w:multiLevelType w:val="singleLevel"/>
    <w:tmpl w:val="AB7AFC67"/>
    <w:lvl w:ilvl="0" w:tentative="0">
      <w:start w:val="1"/>
      <w:numFmt w:val="decimal"/>
      <w:suff w:val="space"/>
      <w:lvlText w:val="%1."/>
      <w:lvlJc w:val="left"/>
    </w:lvl>
  </w:abstractNum>
  <w:abstractNum w:abstractNumId="5">
    <w:nsid w:val="B2267022"/>
    <w:multiLevelType w:val="singleLevel"/>
    <w:tmpl w:val="B2267022"/>
    <w:lvl w:ilvl="0" w:tentative="0">
      <w:start w:val="1"/>
      <w:numFmt w:val="decimal"/>
      <w:suff w:val="space"/>
      <w:lvlText w:val="%1."/>
      <w:lvlJc w:val="left"/>
    </w:lvl>
  </w:abstractNum>
  <w:abstractNum w:abstractNumId="6">
    <w:nsid w:val="B536FD51"/>
    <w:multiLevelType w:val="multilevel"/>
    <w:tmpl w:val="B536FD51"/>
    <w:lvl w:ilvl="0" w:tentative="0">
      <w:start w:val="1"/>
      <w:numFmt w:val="decimal"/>
      <w:lvlText w:val="%1."/>
      <w:lvlJc w:val="left"/>
      <w:pPr>
        <w:ind w:left="900" w:hanging="420"/>
      </w:pPr>
      <w:rPr>
        <w:rFonts w:hint="default" w:eastAsia="宋体"/>
        <w:b w:val="0"/>
        <w:i w:val="0"/>
        <w:sz w:val="22"/>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BCEFFD12"/>
    <w:multiLevelType w:val="singleLevel"/>
    <w:tmpl w:val="BCEFFD12"/>
    <w:lvl w:ilvl="0" w:tentative="0">
      <w:start w:val="1"/>
      <w:numFmt w:val="chineseCounting"/>
      <w:suff w:val="nothing"/>
      <w:lvlText w:val="%1、"/>
      <w:lvlJc w:val="left"/>
      <w:rPr>
        <w:rFonts w:hint="eastAsia"/>
      </w:rPr>
    </w:lvl>
  </w:abstractNum>
  <w:abstractNum w:abstractNumId="8">
    <w:nsid w:val="BEF43D76"/>
    <w:multiLevelType w:val="singleLevel"/>
    <w:tmpl w:val="BEF43D76"/>
    <w:lvl w:ilvl="0" w:tentative="0">
      <w:start w:val="1"/>
      <w:numFmt w:val="decimal"/>
      <w:suff w:val="space"/>
      <w:lvlText w:val="%1."/>
      <w:lvlJc w:val="left"/>
    </w:lvl>
  </w:abstractNum>
  <w:abstractNum w:abstractNumId="9">
    <w:nsid w:val="C48ED0C5"/>
    <w:multiLevelType w:val="singleLevel"/>
    <w:tmpl w:val="C48ED0C5"/>
    <w:lvl w:ilvl="0" w:tentative="0">
      <w:start w:val="1"/>
      <w:numFmt w:val="decimal"/>
      <w:suff w:val="space"/>
      <w:lvlText w:val="%1."/>
      <w:lvlJc w:val="left"/>
    </w:lvl>
  </w:abstractNum>
  <w:abstractNum w:abstractNumId="10">
    <w:nsid w:val="C6F2DA03"/>
    <w:multiLevelType w:val="singleLevel"/>
    <w:tmpl w:val="C6F2DA03"/>
    <w:lvl w:ilvl="0" w:tentative="0">
      <w:start w:val="1"/>
      <w:numFmt w:val="decimal"/>
      <w:suff w:val="space"/>
      <w:lvlText w:val="%1."/>
      <w:lvlJc w:val="left"/>
      <w:pPr>
        <w:ind w:left="480" w:firstLine="0"/>
      </w:pPr>
    </w:lvl>
  </w:abstractNum>
  <w:abstractNum w:abstractNumId="11">
    <w:nsid w:val="D867F6DC"/>
    <w:multiLevelType w:val="multilevel"/>
    <w:tmpl w:val="D867F6DC"/>
    <w:lvl w:ilvl="0" w:tentative="0">
      <w:start w:val="1"/>
      <w:numFmt w:val="decimal"/>
      <w:lvlText w:val="%1."/>
      <w:lvlJc w:val="left"/>
      <w:pPr>
        <w:ind w:left="900" w:hanging="420"/>
      </w:pPr>
      <w:rPr>
        <w:rFonts w:asciiTheme="minorEastAsia" w:hAnsiTheme="minorEastAsia" w:eastAsiaTheme="minorEastAsia"/>
        <w:lang w:val="en-U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DA5B98CA"/>
    <w:multiLevelType w:val="multilevel"/>
    <w:tmpl w:val="DA5B98CA"/>
    <w:lvl w:ilvl="0" w:tentative="0">
      <w:start w:val="1"/>
      <w:numFmt w:val="decimal"/>
      <w:suff w:val="space"/>
      <w:lvlText w:val="25.%1"/>
      <w:lvlJc w:val="left"/>
      <w:pPr>
        <w:tabs>
          <w:tab w:val="left" w:pos="420"/>
        </w:tabs>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DD617073"/>
    <w:multiLevelType w:val="singleLevel"/>
    <w:tmpl w:val="DD617073"/>
    <w:lvl w:ilvl="0" w:tentative="0">
      <w:start w:val="1"/>
      <w:numFmt w:val="decimal"/>
      <w:suff w:val="space"/>
      <w:lvlText w:val="%1."/>
      <w:lvlJc w:val="left"/>
    </w:lvl>
  </w:abstractNum>
  <w:abstractNum w:abstractNumId="14">
    <w:nsid w:val="E4B5C292"/>
    <w:multiLevelType w:val="singleLevel"/>
    <w:tmpl w:val="E4B5C292"/>
    <w:lvl w:ilvl="0" w:tentative="0">
      <w:start w:val="1"/>
      <w:numFmt w:val="decimal"/>
      <w:lvlText w:val="%1."/>
      <w:lvlJc w:val="left"/>
      <w:pPr>
        <w:tabs>
          <w:tab w:val="left" w:pos="312"/>
        </w:tabs>
      </w:pPr>
    </w:lvl>
  </w:abstractNum>
  <w:abstractNum w:abstractNumId="15">
    <w:nsid w:val="EA653E34"/>
    <w:multiLevelType w:val="singleLevel"/>
    <w:tmpl w:val="EA653E34"/>
    <w:lvl w:ilvl="0" w:tentative="0">
      <w:start w:val="1"/>
      <w:numFmt w:val="decimal"/>
      <w:lvlText w:val="%1."/>
      <w:lvlJc w:val="left"/>
      <w:pPr>
        <w:tabs>
          <w:tab w:val="left" w:pos="-948"/>
        </w:tabs>
        <w:ind w:left="-1260"/>
      </w:pPr>
    </w:lvl>
  </w:abstractNum>
  <w:abstractNum w:abstractNumId="16">
    <w:nsid w:val="EB6DAE06"/>
    <w:multiLevelType w:val="singleLevel"/>
    <w:tmpl w:val="EB6DAE06"/>
    <w:lvl w:ilvl="0" w:tentative="0">
      <w:start w:val="1"/>
      <w:numFmt w:val="decimal"/>
      <w:suff w:val="space"/>
      <w:lvlText w:val="%1."/>
      <w:lvlJc w:val="left"/>
    </w:lvl>
  </w:abstractNum>
  <w:abstractNum w:abstractNumId="17">
    <w:nsid w:val="F10D6A63"/>
    <w:multiLevelType w:val="singleLevel"/>
    <w:tmpl w:val="F10D6A63"/>
    <w:lvl w:ilvl="0" w:tentative="0">
      <w:start w:val="1"/>
      <w:numFmt w:val="decimal"/>
      <w:suff w:val="space"/>
      <w:lvlText w:val="%1."/>
      <w:lvlJc w:val="left"/>
      <w:pPr>
        <w:ind w:left="480" w:firstLine="0"/>
      </w:pPr>
    </w:lvl>
  </w:abstractNum>
  <w:abstractNum w:abstractNumId="18">
    <w:nsid w:val="F2210784"/>
    <w:multiLevelType w:val="multilevel"/>
    <w:tmpl w:val="F2210784"/>
    <w:lvl w:ilvl="0" w:tentative="0">
      <w:start w:val="1"/>
      <w:numFmt w:val="decimal"/>
      <w:lvlText w:val="%1."/>
      <w:lvlJc w:val="left"/>
      <w:pPr>
        <w:ind w:left="900" w:hanging="420"/>
      </w:pPr>
      <w:rPr>
        <w:rFonts w:hint="default" w:ascii="宋体" w:hAnsi="宋体" w:eastAsia="宋体"/>
        <w:b w:val="0"/>
        <w:i w:val="0"/>
        <w:sz w:val="22"/>
        <w:szCs w:val="18"/>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9">
    <w:nsid w:val="F5FE8521"/>
    <w:multiLevelType w:val="singleLevel"/>
    <w:tmpl w:val="F5FE8521"/>
    <w:lvl w:ilvl="0" w:tentative="0">
      <w:start w:val="4"/>
      <w:numFmt w:val="decimal"/>
      <w:suff w:val="space"/>
      <w:lvlText w:val="%1、"/>
      <w:lvlJc w:val="left"/>
    </w:lvl>
  </w:abstractNum>
  <w:abstractNum w:abstractNumId="20">
    <w:nsid w:val="0000001F"/>
    <w:multiLevelType w:val="singleLevel"/>
    <w:tmpl w:val="0000001F"/>
    <w:lvl w:ilvl="0" w:tentative="0">
      <w:start w:val="1"/>
      <w:numFmt w:val="decimal"/>
      <w:lvlText w:val="(%1)"/>
      <w:lvlJc w:val="left"/>
      <w:pPr>
        <w:ind w:left="420" w:hanging="420"/>
      </w:pPr>
      <w:rPr>
        <w:rFonts w:hint="default"/>
      </w:rPr>
    </w:lvl>
  </w:abstractNum>
  <w:abstractNum w:abstractNumId="21">
    <w:nsid w:val="00000039"/>
    <w:multiLevelType w:val="multilevel"/>
    <w:tmpl w:val="00000039"/>
    <w:lvl w:ilvl="0" w:tentative="0">
      <w:start w:val="1"/>
      <w:numFmt w:val="decimal"/>
      <w:lvlText w:val="%1．"/>
      <w:lvlJc w:val="left"/>
      <w:pPr>
        <w:tabs>
          <w:tab w:val="left" w:pos="480"/>
        </w:tabs>
        <w:ind w:left="480" w:hanging="4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03E47A40"/>
    <w:multiLevelType w:val="multilevel"/>
    <w:tmpl w:val="03E47A40"/>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3">
    <w:nsid w:val="0447489D"/>
    <w:multiLevelType w:val="multilevel"/>
    <w:tmpl w:val="0447489D"/>
    <w:lvl w:ilvl="0" w:tentative="0">
      <w:start w:val="1"/>
      <w:numFmt w:val="decimal"/>
      <w:lvlText w:val="%1."/>
      <w:lvlJc w:val="left"/>
      <w:pPr>
        <w:ind w:left="900" w:hanging="420"/>
      </w:pPr>
      <w:rPr>
        <w:rFonts w:asciiTheme="minorEastAsia" w:hAnsiTheme="minorEastAsia" w:eastAsiaTheme="minor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4">
    <w:nsid w:val="0552FCC2"/>
    <w:multiLevelType w:val="singleLevel"/>
    <w:tmpl w:val="0552FCC2"/>
    <w:lvl w:ilvl="0" w:tentative="0">
      <w:start w:val="1"/>
      <w:numFmt w:val="decimal"/>
      <w:suff w:val="space"/>
      <w:lvlText w:val="%1."/>
      <w:lvlJc w:val="left"/>
    </w:lvl>
  </w:abstractNum>
  <w:abstractNum w:abstractNumId="25">
    <w:nsid w:val="05D616F3"/>
    <w:multiLevelType w:val="multilevel"/>
    <w:tmpl w:val="05D616F3"/>
    <w:lvl w:ilvl="0" w:tentative="0">
      <w:start w:val="1"/>
      <w:numFmt w:val="decimal"/>
      <w:lvlText w:val="3.%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06B917BE"/>
    <w:multiLevelType w:val="multilevel"/>
    <w:tmpl w:val="06B917BE"/>
    <w:lvl w:ilvl="0" w:tentative="0">
      <w:start w:val="1"/>
      <w:numFmt w:val="decimal"/>
      <w:lvlText w:val="1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09418765"/>
    <w:multiLevelType w:val="multilevel"/>
    <w:tmpl w:val="09418765"/>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8">
    <w:nsid w:val="0E5B5DDB"/>
    <w:multiLevelType w:val="multilevel"/>
    <w:tmpl w:val="0E5B5DDB"/>
    <w:lvl w:ilvl="0" w:tentative="0">
      <w:start w:val="1"/>
      <w:numFmt w:val="decimal"/>
      <w:lvlText w:val="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10F701C4"/>
    <w:multiLevelType w:val="multilevel"/>
    <w:tmpl w:val="10F701C4"/>
    <w:lvl w:ilvl="0" w:tentative="0">
      <w:start w:val="1"/>
      <w:numFmt w:val="decimal"/>
      <w:lvlText w:val="%1."/>
      <w:lvlJc w:val="left"/>
      <w:pPr>
        <w:ind w:left="900" w:hanging="420"/>
      </w:pPr>
      <w:rPr>
        <w:rFonts w:asciiTheme="minorEastAsia" w:hAnsiTheme="minorEastAsia" w:eastAsiaTheme="minorEastAsia"/>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0">
    <w:nsid w:val="12242ED0"/>
    <w:multiLevelType w:val="multilevel"/>
    <w:tmpl w:val="12242ED0"/>
    <w:lvl w:ilvl="0" w:tentative="0">
      <w:start w:val="1"/>
      <w:numFmt w:val="decimal"/>
      <w:lvlText w:val="1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135F69BB"/>
    <w:multiLevelType w:val="multilevel"/>
    <w:tmpl w:val="135F69BB"/>
    <w:lvl w:ilvl="0" w:tentative="0">
      <w:start w:val="1"/>
      <w:numFmt w:val="decimal"/>
      <w:lvlText w:val="3.%1"/>
      <w:lvlJc w:val="left"/>
      <w:pPr>
        <w:ind w:left="2935"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15E6213C"/>
    <w:multiLevelType w:val="multilevel"/>
    <w:tmpl w:val="15E6213C"/>
    <w:lvl w:ilvl="0" w:tentative="0">
      <w:start w:val="1"/>
      <w:numFmt w:val="decimal"/>
      <w:suff w:val="space"/>
      <w:lvlText w:val="26.%1"/>
      <w:lvlJc w:val="left"/>
      <w:pPr>
        <w:tabs>
          <w:tab w:val="left" w:pos="420"/>
        </w:tabs>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15E95106"/>
    <w:multiLevelType w:val="multilevel"/>
    <w:tmpl w:val="15E95106"/>
    <w:lvl w:ilvl="0" w:tentative="0">
      <w:start w:val="1"/>
      <w:numFmt w:val="decimal"/>
      <w:lvlText w:val="2.%1"/>
      <w:lvlJc w:val="left"/>
      <w:pPr>
        <w:ind w:left="75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16F86B73"/>
    <w:multiLevelType w:val="multilevel"/>
    <w:tmpl w:val="16F86B73"/>
    <w:lvl w:ilvl="0" w:tentative="0">
      <w:start w:val="1"/>
      <w:numFmt w:val="decimal"/>
      <w:lvlText w:val="%1."/>
      <w:lvlJc w:val="left"/>
      <w:pPr>
        <w:ind w:left="1740" w:hanging="420"/>
      </w:pPr>
    </w:lvl>
    <w:lvl w:ilvl="1" w:tentative="0">
      <w:start w:val="1"/>
      <w:numFmt w:val="lowerLetter"/>
      <w:lvlText w:val="%2)"/>
      <w:lvlJc w:val="left"/>
      <w:pPr>
        <w:ind w:left="2160" w:hanging="420"/>
      </w:pPr>
    </w:lvl>
    <w:lvl w:ilvl="2" w:tentative="0">
      <w:start w:val="1"/>
      <w:numFmt w:val="lowerRoman"/>
      <w:lvlText w:val="%3."/>
      <w:lvlJc w:val="right"/>
      <w:pPr>
        <w:ind w:left="2580" w:hanging="420"/>
      </w:pPr>
    </w:lvl>
    <w:lvl w:ilvl="3" w:tentative="0">
      <w:start w:val="1"/>
      <w:numFmt w:val="decimal"/>
      <w:lvlText w:val="%4."/>
      <w:lvlJc w:val="left"/>
      <w:pPr>
        <w:ind w:left="3000" w:hanging="420"/>
      </w:pPr>
    </w:lvl>
    <w:lvl w:ilvl="4" w:tentative="0">
      <w:start w:val="1"/>
      <w:numFmt w:val="lowerLetter"/>
      <w:lvlText w:val="%5)"/>
      <w:lvlJc w:val="left"/>
      <w:pPr>
        <w:ind w:left="3420" w:hanging="420"/>
      </w:pPr>
    </w:lvl>
    <w:lvl w:ilvl="5" w:tentative="0">
      <w:start w:val="1"/>
      <w:numFmt w:val="lowerRoman"/>
      <w:lvlText w:val="%6."/>
      <w:lvlJc w:val="right"/>
      <w:pPr>
        <w:ind w:left="3840" w:hanging="420"/>
      </w:pPr>
    </w:lvl>
    <w:lvl w:ilvl="6" w:tentative="0">
      <w:start w:val="1"/>
      <w:numFmt w:val="decimal"/>
      <w:lvlText w:val="%7."/>
      <w:lvlJc w:val="left"/>
      <w:pPr>
        <w:ind w:left="4260" w:hanging="420"/>
      </w:pPr>
    </w:lvl>
    <w:lvl w:ilvl="7" w:tentative="0">
      <w:start w:val="1"/>
      <w:numFmt w:val="lowerLetter"/>
      <w:lvlText w:val="%8)"/>
      <w:lvlJc w:val="left"/>
      <w:pPr>
        <w:ind w:left="4680" w:hanging="420"/>
      </w:pPr>
    </w:lvl>
    <w:lvl w:ilvl="8" w:tentative="0">
      <w:start w:val="1"/>
      <w:numFmt w:val="lowerRoman"/>
      <w:lvlText w:val="%9."/>
      <w:lvlJc w:val="right"/>
      <w:pPr>
        <w:ind w:left="5100" w:hanging="420"/>
      </w:pPr>
    </w:lvl>
  </w:abstractNum>
  <w:abstractNum w:abstractNumId="35">
    <w:nsid w:val="18AE00AF"/>
    <w:multiLevelType w:val="multilevel"/>
    <w:tmpl w:val="18AE00AF"/>
    <w:lvl w:ilvl="0" w:tentative="0">
      <w:start w:val="1"/>
      <w:numFmt w:val="decimal"/>
      <w:lvlText w:val="1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198503AF"/>
    <w:multiLevelType w:val="multilevel"/>
    <w:tmpl w:val="198503AF"/>
    <w:lvl w:ilvl="0" w:tentative="0">
      <w:start w:val="1"/>
      <w:numFmt w:val="decimal"/>
      <w:lvlText w:val="%1."/>
      <w:lvlJc w:val="left"/>
      <w:pPr>
        <w:ind w:left="900" w:hanging="420"/>
      </w:pPr>
      <w:rPr>
        <w:rFonts w:hint="default" w:eastAsia="宋体" w:cs="宋体"/>
        <w:b w:val="0"/>
        <w:i w:val="0"/>
        <w:sz w:val="22"/>
        <w:szCs w:val="22"/>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7">
    <w:nsid w:val="1AE33942"/>
    <w:multiLevelType w:val="multilevel"/>
    <w:tmpl w:val="1AE33942"/>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8">
    <w:nsid w:val="1C9D6F21"/>
    <w:multiLevelType w:val="multilevel"/>
    <w:tmpl w:val="1C9D6F21"/>
    <w:lvl w:ilvl="0" w:tentative="0">
      <w:start w:val="1"/>
      <w:numFmt w:val="decimal"/>
      <w:lvlText w:val="8.%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1FF779BD"/>
    <w:multiLevelType w:val="multilevel"/>
    <w:tmpl w:val="1FF779BD"/>
    <w:lvl w:ilvl="0" w:tentative="0">
      <w:start w:val="1"/>
      <w:numFmt w:val="decimal"/>
      <w:lvlText w:val="4.4.%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2034138B"/>
    <w:multiLevelType w:val="multilevel"/>
    <w:tmpl w:val="2034138B"/>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1">
    <w:nsid w:val="20977DA7"/>
    <w:multiLevelType w:val="multilevel"/>
    <w:tmpl w:val="20977DA7"/>
    <w:lvl w:ilvl="0" w:tentative="0">
      <w:start w:val="1"/>
      <w:numFmt w:val="decimal"/>
      <w:lvlText w:val="2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220A04BE"/>
    <w:multiLevelType w:val="multilevel"/>
    <w:tmpl w:val="220A04BE"/>
    <w:lvl w:ilvl="0" w:tentative="0">
      <w:start w:val="1"/>
      <w:numFmt w:val="decimal"/>
      <w:lvlText w:val="%1."/>
      <w:lvlJc w:val="left"/>
      <w:pPr>
        <w:ind w:left="900" w:hanging="420"/>
      </w:pPr>
      <w:rPr>
        <w:rFonts w:hint="eastAsia" w:asciiTheme="minorEastAsia" w:hAnsiTheme="minorEastAsia" w:eastAsiaTheme="minorEastAsia"/>
        <w:b w:val="0"/>
        <w:i w:val="0"/>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3">
    <w:nsid w:val="23373CFB"/>
    <w:multiLevelType w:val="multilevel"/>
    <w:tmpl w:val="23373CFB"/>
    <w:lvl w:ilvl="0" w:tentative="0">
      <w:start w:val="1"/>
      <w:numFmt w:val="decimal"/>
      <w:lvlText w:val="1.%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23407930"/>
    <w:multiLevelType w:val="multilevel"/>
    <w:tmpl w:val="23407930"/>
    <w:lvl w:ilvl="0" w:tentative="0">
      <w:start w:val="1"/>
      <w:numFmt w:val="decimal"/>
      <w:lvlText w:val="29.%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249B1091"/>
    <w:multiLevelType w:val="multilevel"/>
    <w:tmpl w:val="249B1091"/>
    <w:lvl w:ilvl="0" w:tentative="0">
      <w:start w:val="1"/>
      <w:numFmt w:val="decimal"/>
      <w:lvlText w:val="9.%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28421D39"/>
    <w:multiLevelType w:val="multilevel"/>
    <w:tmpl w:val="28421D39"/>
    <w:lvl w:ilvl="0" w:tentative="0">
      <w:start w:val="1"/>
      <w:numFmt w:val="decimal"/>
      <w:lvlText w:val="%1."/>
      <w:lvlJc w:val="left"/>
      <w:pPr>
        <w:ind w:left="425" w:hanging="425"/>
      </w:pPr>
      <w:rPr>
        <w:rFonts w:hint="default"/>
      </w:rPr>
    </w:lvl>
    <w:lvl w:ilvl="1" w:tentative="0">
      <w:start w:val="5"/>
      <w:numFmt w:val="decimal"/>
      <w:suff w:val="space"/>
      <w:lvlText w:val="%1.%2."/>
      <w:lvlJc w:val="left"/>
      <w:pPr>
        <w:tabs>
          <w:tab w:val="left" w:pos="0"/>
        </w:tabs>
        <w:ind w:left="0" w:firstLine="0"/>
      </w:pPr>
      <w:rPr>
        <w:rFonts w:hint="default"/>
      </w:rPr>
    </w:lvl>
    <w:lvl w:ilvl="2" w:tentative="0">
      <w:start w:val="1"/>
      <w:numFmt w:val="decimal"/>
      <w:lvlText w:val="%1.%2.%3."/>
      <w:lvlJc w:val="left"/>
      <w:pPr>
        <w:ind w:left="709" w:hanging="709"/>
      </w:pPr>
      <w:rPr>
        <w:rFonts w:hint="default"/>
      </w:rPr>
    </w:lvl>
    <w:lvl w:ilvl="3" w:tentative="0">
      <w:start w:val="1"/>
      <w:numFmt w:val="decimal"/>
      <w:suff w:val="space"/>
      <w:lvlText w:val="%1.%2.%3.%4."/>
      <w:lvlJc w:val="left"/>
      <w:pPr>
        <w:tabs>
          <w:tab w:val="left" w:pos="0"/>
        </w:tabs>
        <w:ind w:left="0" w:firstLine="0"/>
      </w:pPr>
      <w:rPr>
        <w:rFonts w:hint="default"/>
      </w:rPr>
    </w:lvl>
    <w:lvl w:ilvl="4" w:tentative="0">
      <w:start w:val="1"/>
      <w:numFmt w:val="decimal"/>
      <w:suff w:val="space"/>
      <w:lvlText w:val="%1.%2.%3.%4.%5."/>
      <w:lvlJc w:val="left"/>
      <w:pPr>
        <w:tabs>
          <w:tab w:val="left" w:pos="420"/>
        </w:tabs>
        <w:ind w:left="0" w:firstLine="0"/>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7">
    <w:nsid w:val="2CD51CC1"/>
    <w:multiLevelType w:val="multilevel"/>
    <w:tmpl w:val="2CD51CC1"/>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8">
    <w:nsid w:val="2CFC3474"/>
    <w:multiLevelType w:val="singleLevel"/>
    <w:tmpl w:val="2CFC3474"/>
    <w:lvl w:ilvl="0" w:tentative="0">
      <w:start w:val="1"/>
      <w:numFmt w:val="chineseCounting"/>
      <w:suff w:val="nothing"/>
      <w:lvlText w:val="%1、"/>
      <w:lvlJc w:val="left"/>
      <w:rPr>
        <w:rFonts w:hint="eastAsia"/>
      </w:rPr>
    </w:lvl>
  </w:abstractNum>
  <w:abstractNum w:abstractNumId="49">
    <w:nsid w:val="2F87164A"/>
    <w:multiLevelType w:val="multilevel"/>
    <w:tmpl w:val="2F87164A"/>
    <w:lvl w:ilvl="0" w:tentative="0">
      <w:start w:val="1"/>
      <w:numFmt w:val="decimal"/>
      <w:lvlText w:val="2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3052F186"/>
    <w:multiLevelType w:val="multilevel"/>
    <w:tmpl w:val="3052F186"/>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1">
    <w:nsid w:val="31BF5117"/>
    <w:multiLevelType w:val="singleLevel"/>
    <w:tmpl w:val="31BF5117"/>
    <w:lvl w:ilvl="0" w:tentative="0">
      <w:start w:val="1"/>
      <w:numFmt w:val="decimal"/>
      <w:suff w:val="space"/>
      <w:lvlText w:val="%1."/>
      <w:lvlJc w:val="left"/>
    </w:lvl>
  </w:abstractNum>
  <w:abstractNum w:abstractNumId="52">
    <w:nsid w:val="32A10131"/>
    <w:multiLevelType w:val="multilevel"/>
    <w:tmpl w:val="32A10131"/>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3">
    <w:nsid w:val="33272FC0"/>
    <w:multiLevelType w:val="multilevel"/>
    <w:tmpl w:val="33272FC0"/>
    <w:lvl w:ilvl="0" w:tentative="0">
      <w:start w:val="1"/>
      <w:numFmt w:val="decimal"/>
      <w:lvlText w:val="2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35140FCC"/>
    <w:multiLevelType w:val="multilevel"/>
    <w:tmpl w:val="35140FCC"/>
    <w:lvl w:ilvl="0" w:tentative="0">
      <w:start w:val="1"/>
      <w:numFmt w:val="decimal"/>
      <w:lvlText w:val="3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359BE4C8"/>
    <w:multiLevelType w:val="multilevel"/>
    <w:tmpl w:val="359BE4C8"/>
    <w:lvl w:ilvl="0" w:tentative="0">
      <w:start w:val="1"/>
      <w:numFmt w:val="decimal"/>
      <w:lvlText w:val="%1."/>
      <w:lvlJc w:val="left"/>
      <w:pPr>
        <w:ind w:left="425" w:hanging="425"/>
      </w:pPr>
      <w:rPr>
        <w:rFonts w:hint="default"/>
      </w:rPr>
    </w:lvl>
    <w:lvl w:ilvl="1" w:tentative="0">
      <w:start w:val="1"/>
      <w:numFmt w:val="decimal"/>
      <w:suff w:val="space"/>
      <w:lvlText w:val="%1.%2."/>
      <w:lvlJc w:val="left"/>
      <w:pPr>
        <w:tabs>
          <w:tab w:val="left" w:pos="420"/>
        </w:tabs>
        <w:ind w:left="0" w:firstLine="0"/>
      </w:pPr>
      <w:rPr>
        <w:rFonts w:hint="default"/>
      </w:rPr>
    </w:lvl>
    <w:lvl w:ilvl="2" w:tentative="0">
      <w:start w:val="1"/>
      <w:numFmt w:val="decimal"/>
      <w:lvlText w:val="%1.%2.%3."/>
      <w:lvlJc w:val="left"/>
      <w:pPr>
        <w:ind w:left="709" w:hanging="709"/>
      </w:pPr>
      <w:rPr>
        <w:rFonts w:hint="default"/>
      </w:rPr>
    </w:lvl>
    <w:lvl w:ilvl="3" w:tentative="0">
      <w:start w:val="1"/>
      <w:numFmt w:val="decimal"/>
      <w:suff w:val="space"/>
      <w:lvlText w:val="%1.%2.%3.%4."/>
      <w:lvlJc w:val="left"/>
      <w:pPr>
        <w:tabs>
          <w:tab w:val="left" w:pos="0"/>
        </w:tabs>
        <w:ind w:left="0" w:firstLine="0"/>
      </w:pPr>
      <w:rPr>
        <w:rFonts w:hint="default"/>
      </w:rPr>
    </w:lvl>
    <w:lvl w:ilvl="4" w:tentative="0">
      <w:start w:val="1"/>
      <w:numFmt w:val="decimal"/>
      <w:suff w:val="space"/>
      <w:lvlText w:val="%1.%2.%3.%4.%5."/>
      <w:lvlJc w:val="left"/>
      <w:pPr>
        <w:tabs>
          <w:tab w:val="left" w:pos="420"/>
        </w:tabs>
        <w:ind w:left="0" w:firstLine="0"/>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6">
    <w:nsid w:val="39757662"/>
    <w:multiLevelType w:val="multilevel"/>
    <w:tmpl w:val="39757662"/>
    <w:lvl w:ilvl="0" w:tentative="0">
      <w:start w:val="1"/>
      <w:numFmt w:val="decimal"/>
      <w:lvlText w:val="3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7">
    <w:nsid w:val="39CB70DF"/>
    <w:multiLevelType w:val="multilevel"/>
    <w:tmpl w:val="39CB70DF"/>
    <w:lvl w:ilvl="0" w:tentative="0">
      <w:start w:val="1"/>
      <w:numFmt w:val="decimal"/>
      <w:lvlText w:val="%1."/>
      <w:lvlJc w:val="left"/>
      <w:pPr>
        <w:ind w:left="1260" w:hanging="420"/>
      </w:pPr>
      <w:rPr>
        <w:rFonts w:hint="default" w:eastAsia="黑体"/>
        <w:b w:val="0"/>
        <w:i w:val="0"/>
        <w:sz w:val="24"/>
        <w:szCs w:val="18"/>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8">
    <w:nsid w:val="3A370800"/>
    <w:multiLevelType w:val="singleLevel"/>
    <w:tmpl w:val="3A370800"/>
    <w:lvl w:ilvl="0" w:tentative="0">
      <w:start w:val="1"/>
      <w:numFmt w:val="decimal"/>
      <w:suff w:val="space"/>
      <w:lvlText w:val="%1."/>
      <w:lvlJc w:val="left"/>
    </w:lvl>
  </w:abstractNum>
  <w:abstractNum w:abstractNumId="59">
    <w:nsid w:val="3B090AED"/>
    <w:multiLevelType w:val="multilevel"/>
    <w:tmpl w:val="3B090AED"/>
    <w:lvl w:ilvl="0" w:tentative="0">
      <w:start w:val="1"/>
      <w:numFmt w:val="decimal"/>
      <w:lvlText w:val="17.%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0">
    <w:nsid w:val="3B340122"/>
    <w:multiLevelType w:val="multilevel"/>
    <w:tmpl w:val="3B340122"/>
    <w:lvl w:ilvl="0" w:tentative="0">
      <w:start w:val="1"/>
      <w:numFmt w:val="decimal"/>
      <w:lvlText w:val="5.%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1">
    <w:nsid w:val="3BAEB8D2"/>
    <w:multiLevelType w:val="singleLevel"/>
    <w:tmpl w:val="3BAEB8D2"/>
    <w:lvl w:ilvl="0" w:tentative="0">
      <w:start w:val="1"/>
      <w:numFmt w:val="decimal"/>
      <w:suff w:val="space"/>
      <w:lvlText w:val="%1."/>
      <w:lvlJc w:val="left"/>
    </w:lvl>
  </w:abstractNum>
  <w:abstractNum w:abstractNumId="62">
    <w:nsid w:val="3D7B00B9"/>
    <w:multiLevelType w:val="singleLevel"/>
    <w:tmpl w:val="3D7B00B9"/>
    <w:lvl w:ilvl="0" w:tentative="0">
      <w:start w:val="1"/>
      <w:numFmt w:val="decimal"/>
      <w:lvlText w:val="%1."/>
      <w:lvlJc w:val="left"/>
      <w:pPr>
        <w:tabs>
          <w:tab w:val="left" w:pos="312"/>
        </w:tabs>
      </w:pPr>
    </w:lvl>
  </w:abstractNum>
  <w:abstractNum w:abstractNumId="63">
    <w:nsid w:val="3F932A7F"/>
    <w:multiLevelType w:val="multilevel"/>
    <w:tmpl w:val="3F932A7F"/>
    <w:lvl w:ilvl="0" w:tentative="0">
      <w:start w:val="1"/>
      <w:numFmt w:val="decimal"/>
      <w:lvlText w:val="18.%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4">
    <w:nsid w:val="3FBD0427"/>
    <w:multiLevelType w:val="multilevel"/>
    <w:tmpl w:val="3FBD0427"/>
    <w:lvl w:ilvl="0" w:tentative="0">
      <w:start w:val="1"/>
      <w:numFmt w:val="decimal"/>
      <w:lvlText w:val="3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5">
    <w:nsid w:val="41435D56"/>
    <w:multiLevelType w:val="multilevel"/>
    <w:tmpl w:val="41435D56"/>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6">
    <w:nsid w:val="422E303B"/>
    <w:multiLevelType w:val="multilevel"/>
    <w:tmpl w:val="422E303B"/>
    <w:lvl w:ilvl="0" w:tentative="0">
      <w:start w:val="1"/>
      <w:numFmt w:val="decimal"/>
      <w:lvlText w:val="10.%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7">
    <w:nsid w:val="459A6BC3"/>
    <w:multiLevelType w:val="multilevel"/>
    <w:tmpl w:val="459A6BC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8">
    <w:nsid w:val="45E10EE6"/>
    <w:multiLevelType w:val="multilevel"/>
    <w:tmpl w:val="45E10EE6"/>
    <w:lvl w:ilvl="0" w:tentative="0">
      <w:start w:val="1"/>
      <w:numFmt w:val="decimal"/>
      <w:lvlText w:val="3.10.%1"/>
      <w:lvlJc w:val="left"/>
      <w:pPr>
        <w:ind w:left="840" w:hanging="42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9">
    <w:nsid w:val="45FE1FD7"/>
    <w:multiLevelType w:val="multilevel"/>
    <w:tmpl w:val="45FE1FD7"/>
    <w:lvl w:ilvl="0" w:tentative="0">
      <w:start w:val="1"/>
      <w:numFmt w:val="decimal"/>
      <w:lvlText w:val="%1."/>
      <w:lvlJc w:val="left"/>
      <w:pPr>
        <w:ind w:left="900" w:hanging="420"/>
      </w:pPr>
      <w:rPr>
        <w:rFonts w:hint="default" w:ascii="等线" w:hAnsi="等线" w:eastAsia="等线" w:cs="宋体"/>
        <w:szCs w:val="22"/>
        <w:lang w:val="en-U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0">
    <w:nsid w:val="47C16F3C"/>
    <w:multiLevelType w:val="multilevel"/>
    <w:tmpl w:val="47C16F3C"/>
    <w:lvl w:ilvl="0" w:tentative="0">
      <w:start w:val="1"/>
      <w:numFmt w:val="decimal"/>
      <w:lvlText w:val="%1."/>
      <w:lvlJc w:val="left"/>
      <w:pPr>
        <w:ind w:left="420" w:hanging="420"/>
      </w:pPr>
    </w:lvl>
    <w:lvl w:ilvl="1" w:tentative="0">
      <w:start w:val="1"/>
      <w:numFmt w:val="decimal"/>
      <w:isLgl/>
      <w:lvlText w:val="%1.%2"/>
      <w:lvlJc w:val="left"/>
      <w:pPr>
        <w:ind w:left="0" w:firstLine="0"/>
      </w:pPr>
      <w:rPr>
        <w:rFonts w:hint="default"/>
      </w:rPr>
    </w:lvl>
    <w:lvl w:ilvl="2" w:tentative="0">
      <w:start w:val="1"/>
      <w:numFmt w:val="decimal"/>
      <w:isLgl/>
      <w:lvlText w:val="%1.%2.%3"/>
      <w:lvlJc w:val="left"/>
      <w:pPr>
        <w:ind w:left="0" w:firstLine="0"/>
      </w:pPr>
      <w:rPr>
        <w:rFonts w:hint="default"/>
      </w:rPr>
    </w:lvl>
    <w:lvl w:ilvl="3" w:tentative="0">
      <w:start w:val="1"/>
      <w:numFmt w:val="decimal"/>
      <w:isLgl/>
      <w:lvlText w:val="%1.%2.%3.%4"/>
      <w:lvlJc w:val="left"/>
      <w:pPr>
        <w:ind w:left="0" w:firstLine="0"/>
      </w:pPr>
      <w:rPr>
        <w:rFonts w:hint="default"/>
      </w:rPr>
    </w:lvl>
    <w:lvl w:ilvl="4" w:tentative="0">
      <w:start w:val="1"/>
      <w:numFmt w:val="decimal"/>
      <w:isLgl/>
      <w:lvlText w:val="%1.%2.%3.%4.%5"/>
      <w:lvlJc w:val="left"/>
      <w:pPr>
        <w:ind w:left="0" w:firstLine="0"/>
      </w:pPr>
      <w:rPr>
        <w:rFonts w:hint="default"/>
      </w:rPr>
    </w:lvl>
    <w:lvl w:ilvl="5" w:tentative="0">
      <w:start w:val="1"/>
      <w:numFmt w:val="decimal"/>
      <w:isLgl/>
      <w:lvlText w:val="%1.%2.%3.%4.%5.%6"/>
      <w:lvlJc w:val="left"/>
      <w:pPr>
        <w:ind w:left="0" w:firstLine="0"/>
      </w:pPr>
      <w:rPr>
        <w:rFonts w:hint="default"/>
      </w:rPr>
    </w:lvl>
    <w:lvl w:ilvl="6" w:tentative="0">
      <w:start w:val="1"/>
      <w:numFmt w:val="decimal"/>
      <w:isLgl/>
      <w:lvlText w:val="%1.%2.%3.%4.%5.%6.%7"/>
      <w:lvlJc w:val="left"/>
      <w:pPr>
        <w:ind w:left="0" w:firstLine="0"/>
      </w:pPr>
      <w:rPr>
        <w:rFonts w:hint="default"/>
      </w:rPr>
    </w:lvl>
    <w:lvl w:ilvl="7" w:tentative="0">
      <w:start w:val="1"/>
      <w:numFmt w:val="decimal"/>
      <w:isLgl/>
      <w:lvlText w:val="%1.%2.%3.%4.%5.%6.%7.%8"/>
      <w:lvlJc w:val="left"/>
      <w:pPr>
        <w:ind w:left="0" w:firstLine="0"/>
      </w:pPr>
      <w:rPr>
        <w:rFonts w:hint="default"/>
      </w:rPr>
    </w:lvl>
    <w:lvl w:ilvl="8" w:tentative="0">
      <w:start w:val="1"/>
      <w:numFmt w:val="decimal"/>
      <w:isLgl/>
      <w:lvlText w:val="%1.%2.%3.%4.%5.%6.%7.%8.%9"/>
      <w:lvlJc w:val="left"/>
      <w:pPr>
        <w:ind w:left="0" w:firstLine="0"/>
      </w:pPr>
      <w:rPr>
        <w:rFonts w:hint="default"/>
      </w:rPr>
    </w:lvl>
  </w:abstractNum>
  <w:abstractNum w:abstractNumId="71">
    <w:nsid w:val="48DA6B7C"/>
    <w:multiLevelType w:val="multilevel"/>
    <w:tmpl w:val="48DA6B7C"/>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2">
    <w:nsid w:val="492D7C2F"/>
    <w:multiLevelType w:val="multilevel"/>
    <w:tmpl w:val="492D7C2F"/>
    <w:lvl w:ilvl="0" w:tentative="0">
      <w:start w:val="1"/>
      <w:numFmt w:val="decimal"/>
      <w:lvlText w:val="19.%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3">
    <w:nsid w:val="493AABD6"/>
    <w:multiLevelType w:val="singleLevel"/>
    <w:tmpl w:val="493AABD6"/>
    <w:lvl w:ilvl="0" w:tentative="0">
      <w:start w:val="1"/>
      <w:numFmt w:val="chineseCounting"/>
      <w:suff w:val="nothing"/>
      <w:lvlText w:val="%1、"/>
      <w:lvlJc w:val="left"/>
      <w:pPr>
        <w:ind w:left="-1080"/>
      </w:pPr>
      <w:rPr>
        <w:rFonts w:hint="eastAsia"/>
      </w:rPr>
    </w:lvl>
  </w:abstractNum>
  <w:abstractNum w:abstractNumId="74">
    <w:nsid w:val="49E47DF9"/>
    <w:multiLevelType w:val="multilevel"/>
    <w:tmpl w:val="49E47DF9"/>
    <w:lvl w:ilvl="0" w:tentative="0">
      <w:start w:val="1"/>
      <w:numFmt w:val="decimal"/>
      <w:lvlText w:val="2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5">
    <w:nsid w:val="4A252A1A"/>
    <w:multiLevelType w:val="multilevel"/>
    <w:tmpl w:val="4A252A1A"/>
    <w:lvl w:ilvl="0" w:tentative="0">
      <w:start w:val="1"/>
      <w:numFmt w:val="decimal"/>
      <w:lvlText w:val="%1."/>
      <w:lvlJc w:val="left"/>
      <w:pPr>
        <w:ind w:left="900" w:hanging="420"/>
      </w:pPr>
      <w:rPr>
        <w:rFonts w:asciiTheme="minorEastAsia" w:hAnsiTheme="minorEastAsia" w:eastAsiaTheme="minor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6">
    <w:nsid w:val="4ADE72FF"/>
    <w:multiLevelType w:val="multilevel"/>
    <w:tmpl w:val="4ADE72FF"/>
    <w:lvl w:ilvl="0" w:tentative="0">
      <w:start w:val="1"/>
      <w:numFmt w:val="decimal"/>
      <w:lvlText w:val="1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7">
    <w:nsid w:val="4F134A50"/>
    <w:multiLevelType w:val="multilevel"/>
    <w:tmpl w:val="4F134A50"/>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8">
    <w:nsid w:val="50313772"/>
    <w:multiLevelType w:val="multilevel"/>
    <w:tmpl w:val="50313772"/>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9">
    <w:nsid w:val="527C1342"/>
    <w:multiLevelType w:val="multilevel"/>
    <w:tmpl w:val="527C1342"/>
    <w:lvl w:ilvl="0" w:tentative="0">
      <w:start w:val="1"/>
      <w:numFmt w:val="decimal"/>
      <w:lvlText w:val="4.%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0">
    <w:nsid w:val="529E9CBE"/>
    <w:multiLevelType w:val="singleLevel"/>
    <w:tmpl w:val="529E9CBE"/>
    <w:lvl w:ilvl="0" w:tentative="0">
      <w:start w:val="1"/>
      <w:numFmt w:val="decimal"/>
      <w:lvlText w:val="(%1)"/>
      <w:lvlJc w:val="left"/>
      <w:pPr>
        <w:ind w:left="420" w:hanging="420"/>
      </w:pPr>
      <w:rPr>
        <w:rFonts w:hint="default"/>
      </w:rPr>
    </w:lvl>
  </w:abstractNum>
  <w:abstractNum w:abstractNumId="81">
    <w:nsid w:val="53F2C71E"/>
    <w:multiLevelType w:val="singleLevel"/>
    <w:tmpl w:val="53F2C71E"/>
    <w:lvl w:ilvl="0" w:tentative="0">
      <w:start w:val="1"/>
      <w:numFmt w:val="decimal"/>
      <w:lvlText w:val="(%1)"/>
      <w:lvlJc w:val="left"/>
      <w:pPr>
        <w:ind w:left="420" w:hanging="420"/>
      </w:pPr>
      <w:rPr>
        <w:rFonts w:hint="default"/>
      </w:rPr>
    </w:lvl>
  </w:abstractNum>
  <w:abstractNum w:abstractNumId="82">
    <w:nsid w:val="57999CDD"/>
    <w:multiLevelType w:val="singleLevel"/>
    <w:tmpl w:val="57999CDD"/>
    <w:lvl w:ilvl="0" w:tentative="0">
      <w:start w:val="1"/>
      <w:numFmt w:val="decimal"/>
      <w:suff w:val="space"/>
      <w:lvlText w:val="%1."/>
      <w:lvlJc w:val="left"/>
    </w:lvl>
  </w:abstractNum>
  <w:abstractNum w:abstractNumId="83">
    <w:nsid w:val="59F28A0F"/>
    <w:multiLevelType w:val="singleLevel"/>
    <w:tmpl w:val="59F28A0F"/>
    <w:lvl w:ilvl="0" w:tentative="0">
      <w:start w:val="4"/>
      <w:numFmt w:val="chineseCounting"/>
      <w:suff w:val="space"/>
      <w:lvlText w:val="第%1章"/>
      <w:lvlJc w:val="left"/>
    </w:lvl>
  </w:abstractNum>
  <w:abstractNum w:abstractNumId="84">
    <w:nsid w:val="5AD15773"/>
    <w:multiLevelType w:val="singleLevel"/>
    <w:tmpl w:val="5AD15773"/>
    <w:lvl w:ilvl="0" w:tentative="0">
      <w:start w:val="1"/>
      <w:numFmt w:val="chineseCounting"/>
      <w:suff w:val="space"/>
      <w:lvlText w:val="（%1）"/>
      <w:lvlJc w:val="left"/>
      <w:rPr>
        <w:rFonts w:hint="eastAsia"/>
      </w:rPr>
    </w:lvl>
  </w:abstractNum>
  <w:abstractNum w:abstractNumId="85">
    <w:nsid w:val="5B3B3D34"/>
    <w:multiLevelType w:val="multilevel"/>
    <w:tmpl w:val="5B3B3D34"/>
    <w:lvl w:ilvl="0" w:tentative="0">
      <w:start w:val="1"/>
      <w:numFmt w:val="decimal"/>
      <w:lvlText w:val="2.%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6">
    <w:nsid w:val="5B6C17E8"/>
    <w:multiLevelType w:val="multilevel"/>
    <w:tmpl w:val="5B6C17E8"/>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7">
    <w:nsid w:val="5B78654D"/>
    <w:multiLevelType w:val="multilevel"/>
    <w:tmpl w:val="5B78654D"/>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8">
    <w:nsid w:val="5E830E46"/>
    <w:multiLevelType w:val="multilevel"/>
    <w:tmpl w:val="5E830E46"/>
    <w:lvl w:ilvl="0" w:tentative="0">
      <w:start w:val="1"/>
      <w:numFmt w:val="decimal"/>
      <w:lvlText w:val="36.%1"/>
      <w:lvlJc w:val="left"/>
      <w:pPr>
        <w:ind w:left="42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9">
    <w:nsid w:val="5F1B481B"/>
    <w:multiLevelType w:val="multilevel"/>
    <w:tmpl w:val="5F1B481B"/>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0">
    <w:nsid w:val="63CA1770"/>
    <w:multiLevelType w:val="multilevel"/>
    <w:tmpl w:val="63CA1770"/>
    <w:lvl w:ilvl="0" w:tentative="0">
      <w:start w:val="1"/>
      <w:numFmt w:val="decimal"/>
      <w:lvlText w:val="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1">
    <w:nsid w:val="673652E8"/>
    <w:multiLevelType w:val="multilevel"/>
    <w:tmpl w:val="673652E8"/>
    <w:lvl w:ilvl="0" w:tentative="0">
      <w:start w:val="1"/>
      <w:numFmt w:val="decimal"/>
      <w:lvlText w:val="7.%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2">
    <w:nsid w:val="68F255C4"/>
    <w:multiLevelType w:val="multilevel"/>
    <w:tmpl w:val="68F255C4"/>
    <w:lvl w:ilvl="0" w:tentative="0">
      <w:start w:val="1"/>
      <w:numFmt w:val="decimal"/>
      <w:lvlText w:val="20.%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3">
    <w:nsid w:val="6C37522D"/>
    <w:multiLevelType w:val="multilevel"/>
    <w:tmpl w:val="6C37522D"/>
    <w:lvl w:ilvl="0" w:tentative="0">
      <w:start w:val="1"/>
      <w:numFmt w:val="decimal"/>
      <w:lvlText w:val="2.7.%1"/>
      <w:lvlJc w:val="left"/>
      <w:pPr>
        <w:ind w:left="250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4">
    <w:nsid w:val="6E295D8C"/>
    <w:multiLevelType w:val="multilevel"/>
    <w:tmpl w:val="6E295D8C"/>
    <w:lvl w:ilvl="0" w:tentative="0">
      <w:start w:val="1"/>
      <w:numFmt w:val="decimal"/>
      <w:lvlText w:val="2.6.%1"/>
      <w:lvlJc w:val="left"/>
      <w:pPr>
        <w:ind w:left="271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5">
    <w:nsid w:val="702D315C"/>
    <w:multiLevelType w:val="multilevel"/>
    <w:tmpl w:val="702D315C"/>
    <w:lvl w:ilvl="0" w:tentative="0">
      <w:start w:val="1"/>
      <w:numFmt w:val="decimal"/>
      <w:lvlText w:val="23.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6">
    <w:nsid w:val="70C7430E"/>
    <w:multiLevelType w:val="multilevel"/>
    <w:tmpl w:val="70C7430E"/>
    <w:lvl w:ilvl="0" w:tentative="0">
      <w:start w:val="1"/>
      <w:numFmt w:val="decimal"/>
      <w:lvlText w:val="3.2.%1"/>
      <w:lvlJc w:val="left"/>
      <w:pPr>
        <w:ind w:left="2935"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7">
    <w:nsid w:val="72C40BD0"/>
    <w:multiLevelType w:val="multilevel"/>
    <w:tmpl w:val="72C40BD0"/>
    <w:lvl w:ilvl="0" w:tentative="0">
      <w:start w:val="1"/>
      <w:numFmt w:val="decimal"/>
      <w:lvlText w:val="37.%1"/>
      <w:lvlJc w:val="left"/>
      <w:pPr>
        <w:ind w:left="42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8">
    <w:nsid w:val="75E07E7B"/>
    <w:multiLevelType w:val="multilevel"/>
    <w:tmpl w:val="75E07E7B"/>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99">
    <w:nsid w:val="75E10196"/>
    <w:multiLevelType w:val="multilevel"/>
    <w:tmpl w:val="75E10196"/>
    <w:lvl w:ilvl="0" w:tentative="0">
      <w:start w:val="1"/>
      <w:numFmt w:val="decimal"/>
      <w:lvlText w:val="3.1.%1"/>
      <w:lvlJc w:val="left"/>
      <w:pPr>
        <w:ind w:left="2935" w:hanging="4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0">
    <w:nsid w:val="77264906"/>
    <w:multiLevelType w:val="multilevel"/>
    <w:tmpl w:val="77264906"/>
    <w:lvl w:ilvl="0" w:tentative="0">
      <w:start w:val="1"/>
      <w:numFmt w:val="decimal"/>
      <w:lvlText w:val="5.%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1">
    <w:nsid w:val="78C74DF6"/>
    <w:multiLevelType w:val="multilevel"/>
    <w:tmpl w:val="78C74DF6"/>
    <w:lvl w:ilvl="0" w:tentative="0">
      <w:start w:val="1"/>
      <w:numFmt w:val="decimal"/>
      <w:lvlText w:val="5.2.%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2">
    <w:nsid w:val="79396209"/>
    <w:multiLevelType w:val="multilevel"/>
    <w:tmpl w:val="79396209"/>
    <w:lvl w:ilvl="0" w:tentative="0">
      <w:start w:val="1"/>
      <w:numFmt w:val="decimal"/>
      <w:lvlText w:val="1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3">
    <w:nsid w:val="7B605673"/>
    <w:multiLevelType w:val="multilevel"/>
    <w:tmpl w:val="7B605673"/>
    <w:lvl w:ilvl="0" w:tentative="0">
      <w:start w:val="1"/>
      <w:numFmt w:val="decimal"/>
      <w:lvlText w:val="30.%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4">
    <w:nsid w:val="7B745647"/>
    <w:multiLevelType w:val="multilevel"/>
    <w:tmpl w:val="7B745647"/>
    <w:lvl w:ilvl="0" w:tentative="0">
      <w:start w:val="1"/>
      <w:numFmt w:val="decimal"/>
      <w:lvlText w:val="1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5">
    <w:nsid w:val="7D1B543E"/>
    <w:multiLevelType w:val="multilevel"/>
    <w:tmpl w:val="7D1B543E"/>
    <w:lvl w:ilvl="0" w:tentative="0">
      <w:start w:val="1"/>
      <w:numFmt w:val="decimal"/>
      <w:lvlText w:val="%1."/>
      <w:lvlJc w:val="left"/>
      <w:pPr>
        <w:ind w:left="1260" w:hanging="420"/>
      </w:pPr>
      <w:rPr>
        <w:rFonts w:hint="default" w:eastAsia="黑体"/>
        <w:b w:val="0"/>
        <w:i w:val="0"/>
        <w:sz w:val="24"/>
        <w:szCs w:val="18"/>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06">
    <w:nsid w:val="7ED339BD"/>
    <w:multiLevelType w:val="multilevel"/>
    <w:tmpl w:val="7ED339BD"/>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7">
    <w:nsid w:val="7F412A3D"/>
    <w:multiLevelType w:val="multilevel"/>
    <w:tmpl w:val="7F412A3D"/>
    <w:lvl w:ilvl="0" w:tentative="0">
      <w:start w:val="1"/>
      <w:numFmt w:val="decimal"/>
      <w:lvlText w:val="28.%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7"/>
  </w:num>
  <w:num w:numId="2">
    <w:abstractNumId w:val="21"/>
  </w:num>
  <w:num w:numId="3">
    <w:abstractNumId w:val="60"/>
  </w:num>
  <w:num w:numId="4">
    <w:abstractNumId w:val="70"/>
  </w:num>
  <w:num w:numId="5">
    <w:abstractNumId w:val="43"/>
  </w:num>
  <w:num w:numId="6">
    <w:abstractNumId w:val="85"/>
  </w:num>
  <w:num w:numId="7">
    <w:abstractNumId w:val="25"/>
  </w:num>
  <w:num w:numId="8">
    <w:abstractNumId w:val="68"/>
  </w:num>
  <w:num w:numId="9">
    <w:abstractNumId w:val="79"/>
  </w:num>
  <w:num w:numId="10">
    <w:abstractNumId w:val="39"/>
  </w:num>
  <w:num w:numId="11">
    <w:abstractNumId w:val="100"/>
  </w:num>
  <w:num w:numId="12">
    <w:abstractNumId w:val="101"/>
  </w:num>
  <w:num w:numId="13">
    <w:abstractNumId w:val="28"/>
  </w:num>
  <w:num w:numId="14">
    <w:abstractNumId w:val="91"/>
  </w:num>
  <w:num w:numId="15">
    <w:abstractNumId w:val="38"/>
  </w:num>
  <w:num w:numId="16">
    <w:abstractNumId w:val="45"/>
  </w:num>
  <w:num w:numId="17">
    <w:abstractNumId w:val="66"/>
  </w:num>
  <w:num w:numId="18">
    <w:abstractNumId w:val="102"/>
  </w:num>
  <w:num w:numId="19">
    <w:abstractNumId w:val="20"/>
  </w:num>
  <w:num w:numId="20">
    <w:abstractNumId w:val="81"/>
  </w:num>
  <w:num w:numId="21">
    <w:abstractNumId w:val="80"/>
  </w:num>
  <w:num w:numId="22">
    <w:abstractNumId w:val="76"/>
  </w:num>
  <w:num w:numId="23">
    <w:abstractNumId w:val="104"/>
  </w:num>
  <w:num w:numId="24">
    <w:abstractNumId w:val="30"/>
  </w:num>
  <w:num w:numId="25">
    <w:abstractNumId w:val="35"/>
  </w:num>
  <w:num w:numId="26">
    <w:abstractNumId w:val="26"/>
  </w:num>
  <w:num w:numId="27">
    <w:abstractNumId w:val="59"/>
  </w:num>
  <w:num w:numId="28">
    <w:abstractNumId w:val="63"/>
  </w:num>
  <w:num w:numId="29">
    <w:abstractNumId w:val="72"/>
  </w:num>
  <w:num w:numId="30">
    <w:abstractNumId w:val="92"/>
  </w:num>
  <w:num w:numId="31">
    <w:abstractNumId w:val="53"/>
  </w:num>
  <w:num w:numId="32">
    <w:abstractNumId w:val="90"/>
  </w:num>
  <w:num w:numId="33">
    <w:abstractNumId w:val="74"/>
  </w:num>
  <w:num w:numId="34">
    <w:abstractNumId w:val="49"/>
  </w:num>
  <w:num w:numId="35">
    <w:abstractNumId w:val="95"/>
  </w:num>
  <w:num w:numId="36">
    <w:abstractNumId w:val="41"/>
  </w:num>
  <w:num w:numId="37">
    <w:abstractNumId w:val="12"/>
  </w:num>
  <w:num w:numId="38">
    <w:abstractNumId w:val="32"/>
  </w:num>
  <w:num w:numId="39">
    <w:abstractNumId w:val="3"/>
  </w:num>
  <w:num w:numId="40">
    <w:abstractNumId w:val="107"/>
  </w:num>
  <w:num w:numId="41">
    <w:abstractNumId w:val="44"/>
  </w:num>
  <w:num w:numId="42">
    <w:abstractNumId w:val="103"/>
  </w:num>
  <w:num w:numId="43">
    <w:abstractNumId w:val="56"/>
  </w:num>
  <w:num w:numId="44">
    <w:abstractNumId w:val="54"/>
  </w:num>
  <w:num w:numId="45">
    <w:abstractNumId w:val="64"/>
  </w:num>
  <w:num w:numId="46">
    <w:abstractNumId w:val="88"/>
  </w:num>
  <w:num w:numId="47">
    <w:abstractNumId w:val="97"/>
  </w:num>
  <w:num w:numId="48">
    <w:abstractNumId w:val="33"/>
  </w:num>
  <w:num w:numId="49">
    <w:abstractNumId w:val="94"/>
  </w:num>
  <w:num w:numId="50">
    <w:abstractNumId w:val="93"/>
  </w:num>
  <w:num w:numId="51">
    <w:abstractNumId w:val="31"/>
  </w:num>
  <w:num w:numId="52">
    <w:abstractNumId w:val="99"/>
  </w:num>
  <w:num w:numId="53">
    <w:abstractNumId w:val="96"/>
  </w:num>
  <w:num w:numId="54">
    <w:abstractNumId w:val="83"/>
  </w:num>
  <w:num w:numId="55">
    <w:abstractNumId w:val="14"/>
  </w:num>
  <w:num w:numId="56">
    <w:abstractNumId w:val="73"/>
  </w:num>
  <w:num w:numId="57">
    <w:abstractNumId w:val="55"/>
  </w:num>
  <w:num w:numId="58">
    <w:abstractNumId w:val="77"/>
  </w:num>
  <w:num w:numId="59">
    <w:abstractNumId w:val="98"/>
  </w:num>
  <w:num w:numId="60">
    <w:abstractNumId w:val="8"/>
  </w:num>
  <w:num w:numId="61">
    <w:abstractNumId w:val="18"/>
  </w:num>
  <w:num w:numId="62">
    <w:abstractNumId w:val="105"/>
  </w:num>
  <w:num w:numId="63">
    <w:abstractNumId w:val="2"/>
  </w:num>
  <w:num w:numId="64">
    <w:abstractNumId w:val="57"/>
  </w:num>
  <w:num w:numId="65">
    <w:abstractNumId w:val="51"/>
  </w:num>
  <w:num w:numId="66">
    <w:abstractNumId w:val="22"/>
  </w:num>
  <w:num w:numId="67">
    <w:abstractNumId w:val="69"/>
  </w:num>
  <w:num w:numId="68">
    <w:abstractNumId w:val="86"/>
  </w:num>
  <w:num w:numId="69">
    <w:abstractNumId w:val="52"/>
  </w:num>
  <w:num w:numId="70">
    <w:abstractNumId w:val="11"/>
  </w:num>
  <w:num w:numId="71">
    <w:abstractNumId w:val="78"/>
  </w:num>
  <w:num w:numId="72">
    <w:abstractNumId w:val="89"/>
  </w:num>
  <w:num w:numId="73">
    <w:abstractNumId w:val="37"/>
  </w:num>
  <w:num w:numId="74">
    <w:abstractNumId w:val="75"/>
  </w:num>
  <w:num w:numId="75">
    <w:abstractNumId w:val="106"/>
  </w:num>
  <w:num w:numId="76">
    <w:abstractNumId w:val="29"/>
  </w:num>
  <w:num w:numId="77">
    <w:abstractNumId w:val="23"/>
  </w:num>
  <w:num w:numId="78">
    <w:abstractNumId w:val="42"/>
  </w:num>
  <w:num w:numId="79">
    <w:abstractNumId w:val="65"/>
  </w:num>
  <w:num w:numId="80">
    <w:abstractNumId w:val="24"/>
  </w:num>
  <w:num w:numId="81">
    <w:abstractNumId w:val="27"/>
  </w:num>
  <w:num w:numId="82">
    <w:abstractNumId w:val="34"/>
  </w:num>
  <w:num w:numId="83">
    <w:abstractNumId w:val="36"/>
  </w:num>
  <w:num w:numId="84">
    <w:abstractNumId w:val="6"/>
  </w:num>
  <w:num w:numId="85">
    <w:abstractNumId w:val="61"/>
  </w:num>
  <w:num w:numId="86">
    <w:abstractNumId w:val="9"/>
  </w:num>
  <w:num w:numId="87">
    <w:abstractNumId w:val="58"/>
  </w:num>
  <w:num w:numId="88">
    <w:abstractNumId w:val="15"/>
  </w:num>
  <w:num w:numId="89">
    <w:abstractNumId w:val="0"/>
  </w:num>
  <w:num w:numId="90">
    <w:abstractNumId w:val="82"/>
  </w:num>
  <w:num w:numId="91">
    <w:abstractNumId w:val="62"/>
  </w:num>
  <w:num w:numId="92">
    <w:abstractNumId w:val="71"/>
  </w:num>
  <w:num w:numId="93">
    <w:abstractNumId w:val="13"/>
  </w:num>
  <w:num w:numId="94">
    <w:abstractNumId w:val="4"/>
  </w:num>
  <w:num w:numId="95">
    <w:abstractNumId w:val="5"/>
  </w:num>
  <w:num w:numId="96">
    <w:abstractNumId w:val="16"/>
  </w:num>
  <w:num w:numId="97">
    <w:abstractNumId w:val="40"/>
  </w:num>
  <w:num w:numId="98">
    <w:abstractNumId w:val="17"/>
  </w:num>
  <w:num w:numId="99">
    <w:abstractNumId w:val="10"/>
  </w:num>
  <w:num w:numId="100">
    <w:abstractNumId w:val="47"/>
  </w:num>
  <w:num w:numId="101">
    <w:abstractNumId w:val="67"/>
  </w:num>
  <w:num w:numId="102">
    <w:abstractNumId w:val="7"/>
  </w:num>
  <w:num w:numId="103">
    <w:abstractNumId w:val="19"/>
  </w:num>
  <w:num w:numId="104">
    <w:abstractNumId w:val="84"/>
  </w:num>
  <w:num w:numId="105">
    <w:abstractNumId w:val="1"/>
  </w:num>
  <w:num w:numId="106">
    <w:abstractNumId w:val="48"/>
  </w:num>
  <w:num w:numId="107">
    <w:abstractNumId w:val="46"/>
  </w:num>
  <w:num w:numId="108">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hideSpellingErrors/>
  <w:attachedTemplate r:id="rId1"/>
  <w:documentProtection w:enforcement="0"/>
  <w:defaultTabStop w:val="420"/>
  <w:drawingGridVerticalSpacing w:val="16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mNjcyOWViMzcwM2RiODk4YTU5NGM3OTE3MzE1MGYifQ=="/>
  </w:docVars>
  <w:rsids>
    <w:rsidRoot w:val="008A27A8"/>
    <w:rsid w:val="00010BDE"/>
    <w:rsid w:val="000149AE"/>
    <w:rsid w:val="00031A07"/>
    <w:rsid w:val="00036548"/>
    <w:rsid w:val="00040E5C"/>
    <w:rsid w:val="00041F13"/>
    <w:rsid w:val="0006671C"/>
    <w:rsid w:val="00067BBF"/>
    <w:rsid w:val="00070D99"/>
    <w:rsid w:val="000807FB"/>
    <w:rsid w:val="00081502"/>
    <w:rsid w:val="00087D72"/>
    <w:rsid w:val="00090FA4"/>
    <w:rsid w:val="00091CE4"/>
    <w:rsid w:val="00096DFF"/>
    <w:rsid w:val="00097DB3"/>
    <w:rsid w:val="000A77A4"/>
    <w:rsid w:val="000B724E"/>
    <w:rsid w:val="000B7271"/>
    <w:rsid w:val="000E1E8E"/>
    <w:rsid w:val="000E2D9E"/>
    <w:rsid w:val="000E6E60"/>
    <w:rsid w:val="000F2B1B"/>
    <w:rsid w:val="000F76BF"/>
    <w:rsid w:val="00100948"/>
    <w:rsid w:val="001010D3"/>
    <w:rsid w:val="00104CBE"/>
    <w:rsid w:val="00110A0A"/>
    <w:rsid w:val="00111AEA"/>
    <w:rsid w:val="00114F0C"/>
    <w:rsid w:val="00121C11"/>
    <w:rsid w:val="00122CFE"/>
    <w:rsid w:val="0012373B"/>
    <w:rsid w:val="00124EEC"/>
    <w:rsid w:val="00125428"/>
    <w:rsid w:val="001316F2"/>
    <w:rsid w:val="00132D7C"/>
    <w:rsid w:val="00137073"/>
    <w:rsid w:val="00137293"/>
    <w:rsid w:val="001407CA"/>
    <w:rsid w:val="00140AF3"/>
    <w:rsid w:val="00142292"/>
    <w:rsid w:val="00144DE3"/>
    <w:rsid w:val="00146198"/>
    <w:rsid w:val="00153067"/>
    <w:rsid w:val="00160DEC"/>
    <w:rsid w:val="001619D3"/>
    <w:rsid w:val="0016384F"/>
    <w:rsid w:val="001647FB"/>
    <w:rsid w:val="0016660D"/>
    <w:rsid w:val="001679B0"/>
    <w:rsid w:val="00174F87"/>
    <w:rsid w:val="00176E2D"/>
    <w:rsid w:val="00177EED"/>
    <w:rsid w:val="00180CC3"/>
    <w:rsid w:val="00181758"/>
    <w:rsid w:val="00184390"/>
    <w:rsid w:val="00184E94"/>
    <w:rsid w:val="0018682B"/>
    <w:rsid w:val="00187B88"/>
    <w:rsid w:val="00190C34"/>
    <w:rsid w:val="00194DBD"/>
    <w:rsid w:val="001A313E"/>
    <w:rsid w:val="001A67AE"/>
    <w:rsid w:val="001B0D90"/>
    <w:rsid w:val="001B35F4"/>
    <w:rsid w:val="001C6534"/>
    <w:rsid w:val="001D75B5"/>
    <w:rsid w:val="001E0BA6"/>
    <w:rsid w:val="001E26F6"/>
    <w:rsid w:val="001E41AB"/>
    <w:rsid w:val="001F015E"/>
    <w:rsid w:val="002038C9"/>
    <w:rsid w:val="002113B0"/>
    <w:rsid w:val="002135F9"/>
    <w:rsid w:val="00213A04"/>
    <w:rsid w:val="00215C09"/>
    <w:rsid w:val="00217A83"/>
    <w:rsid w:val="00234228"/>
    <w:rsid w:val="00237EB9"/>
    <w:rsid w:val="00241934"/>
    <w:rsid w:val="00245121"/>
    <w:rsid w:val="00246CF4"/>
    <w:rsid w:val="00255F67"/>
    <w:rsid w:val="002561FC"/>
    <w:rsid w:val="00256351"/>
    <w:rsid w:val="00257655"/>
    <w:rsid w:val="002613E2"/>
    <w:rsid w:val="00262ECF"/>
    <w:rsid w:val="00263A46"/>
    <w:rsid w:val="00266A09"/>
    <w:rsid w:val="00271EAD"/>
    <w:rsid w:val="00274090"/>
    <w:rsid w:val="00277509"/>
    <w:rsid w:val="00280CFD"/>
    <w:rsid w:val="00284E49"/>
    <w:rsid w:val="00291C7E"/>
    <w:rsid w:val="00294BA8"/>
    <w:rsid w:val="002A0DEB"/>
    <w:rsid w:val="002B20E6"/>
    <w:rsid w:val="002C0850"/>
    <w:rsid w:val="002D3A6B"/>
    <w:rsid w:val="002E716F"/>
    <w:rsid w:val="002F0B0C"/>
    <w:rsid w:val="002F3589"/>
    <w:rsid w:val="002F4934"/>
    <w:rsid w:val="0030581F"/>
    <w:rsid w:val="00306434"/>
    <w:rsid w:val="00316DDE"/>
    <w:rsid w:val="00322428"/>
    <w:rsid w:val="00323A1F"/>
    <w:rsid w:val="00325B3B"/>
    <w:rsid w:val="003260CE"/>
    <w:rsid w:val="00327961"/>
    <w:rsid w:val="003304AC"/>
    <w:rsid w:val="00330D8F"/>
    <w:rsid w:val="00333F66"/>
    <w:rsid w:val="00340FA8"/>
    <w:rsid w:val="00344B64"/>
    <w:rsid w:val="00345508"/>
    <w:rsid w:val="00345C34"/>
    <w:rsid w:val="00355C91"/>
    <w:rsid w:val="00357E73"/>
    <w:rsid w:val="00362283"/>
    <w:rsid w:val="00373516"/>
    <w:rsid w:val="00374794"/>
    <w:rsid w:val="0037766E"/>
    <w:rsid w:val="00377EE1"/>
    <w:rsid w:val="00387EAE"/>
    <w:rsid w:val="00390953"/>
    <w:rsid w:val="0039487E"/>
    <w:rsid w:val="003A3001"/>
    <w:rsid w:val="003A32DB"/>
    <w:rsid w:val="003A4C8E"/>
    <w:rsid w:val="003B268F"/>
    <w:rsid w:val="003C53A5"/>
    <w:rsid w:val="003C5714"/>
    <w:rsid w:val="003C793A"/>
    <w:rsid w:val="003D7576"/>
    <w:rsid w:val="003E3612"/>
    <w:rsid w:val="003E7FA2"/>
    <w:rsid w:val="003F216D"/>
    <w:rsid w:val="003F4DDD"/>
    <w:rsid w:val="004005F4"/>
    <w:rsid w:val="00400974"/>
    <w:rsid w:val="004038B8"/>
    <w:rsid w:val="00403A1B"/>
    <w:rsid w:val="00415051"/>
    <w:rsid w:val="00415BBD"/>
    <w:rsid w:val="00416030"/>
    <w:rsid w:val="0042141A"/>
    <w:rsid w:val="00422646"/>
    <w:rsid w:val="00422D25"/>
    <w:rsid w:val="00427E7C"/>
    <w:rsid w:val="00432611"/>
    <w:rsid w:val="004413A6"/>
    <w:rsid w:val="004452A4"/>
    <w:rsid w:val="0044710A"/>
    <w:rsid w:val="00451A6B"/>
    <w:rsid w:val="00452183"/>
    <w:rsid w:val="004538C3"/>
    <w:rsid w:val="00463826"/>
    <w:rsid w:val="0046491A"/>
    <w:rsid w:val="00470258"/>
    <w:rsid w:val="004706E5"/>
    <w:rsid w:val="00470CFC"/>
    <w:rsid w:val="004742F9"/>
    <w:rsid w:val="004758DC"/>
    <w:rsid w:val="00486638"/>
    <w:rsid w:val="00491F09"/>
    <w:rsid w:val="00494A77"/>
    <w:rsid w:val="00494CA4"/>
    <w:rsid w:val="00496BDE"/>
    <w:rsid w:val="004A3329"/>
    <w:rsid w:val="004A61A7"/>
    <w:rsid w:val="004B03BC"/>
    <w:rsid w:val="004B6081"/>
    <w:rsid w:val="004C0B99"/>
    <w:rsid w:val="004C1CC6"/>
    <w:rsid w:val="004C312B"/>
    <w:rsid w:val="004E16D3"/>
    <w:rsid w:val="004E1AF0"/>
    <w:rsid w:val="004E37EC"/>
    <w:rsid w:val="004E5DEC"/>
    <w:rsid w:val="004E7C65"/>
    <w:rsid w:val="004F111E"/>
    <w:rsid w:val="004F1E31"/>
    <w:rsid w:val="00502B84"/>
    <w:rsid w:val="00503E14"/>
    <w:rsid w:val="00506B18"/>
    <w:rsid w:val="0051203E"/>
    <w:rsid w:val="00515BDA"/>
    <w:rsid w:val="0051686C"/>
    <w:rsid w:val="0052073B"/>
    <w:rsid w:val="005419D7"/>
    <w:rsid w:val="00545A91"/>
    <w:rsid w:val="005476F2"/>
    <w:rsid w:val="00547BBB"/>
    <w:rsid w:val="005525BF"/>
    <w:rsid w:val="005561EF"/>
    <w:rsid w:val="005605AD"/>
    <w:rsid w:val="00567F80"/>
    <w:rsid w:val="00571F19"/>
    <w:rsid w:val="00576E6A"/>
    <w:rsid w:val="005900FE"/>
    <w:rsid w:val="0059144A"/>
    <w:rsid w:val="005934FD"/>
    <w:rsid w:val="005949DF"/>
    <w:rsid w:val="00594A09"/>
    <w:rsid w:val="00595338"/>
    <w:rsid w:val="005A39F7"/>
    <w:rsid w:val="005A403A"/>
    <w:rsid w:val="005A611E"/>
    <w:rsid w:val="005A6137"/>
    <w:rsid w:val="005B2DE8"/>
    <w:rsid w:val="005B5471"/>
    <w:rsid w:val="005B6A60"/>
    <w:rsid w:val="005D03C5"/>
    <w:rsid w:val="005D0975"/>
    <w:rsid w:val="005D1F0D"/>
    <w:rsid w:val="005D2B42"/>
    <w:rsid w:val="005D4F85"/>
    <w:rsid w:val="005E180C"/>
    <w:rsid w:val="005E42AD"/>
    <w:rsid w:val="005F0735"/>
    <w:rsid w:val="005F22C3"/>
    <w:rsid w:val="005F5B51"/>
    <w:rsid w:val="00600D9A"/>
    <w:rsid w:val="00602BBD"/>
    <w:rsid w:val="00605A42"/>
    <w:rsid w:val="00610FDC"/>
    <w:rsid w:val="00614A79"/>
    <w:rsid w:val="006166E9"/>
    <w:rsid w:val="00623C05"/>
    <w:rsid w:val="00637551"/>
    <w:rsid w:val="00645AA4"/>
    <w:rsid w:val="00657080"/>
    <w:rsid w:val="006635CF"/>
    <w:rsid w:val="006665E3"/>
    <w:rsid w:val="00666BCD"/>
    <w:rsid w:val="00673AD1"/>
    <w:rsid w:val="0068123E"/>
    <w:rsid w:val="006834A7"/>
    <w:rsid w:val="00684BAB"/>
    <w:rsid w:val="00690C91"/>
    <w:rsid w:val="00691C0C"/>
    <w:rsid w:val="00692783"/>
    <w:rsid w:val="00692A00"/>
    <w:rsid w:val="00693F94"/>
    <w:rsid w:val="00696D1A"/>
    <w:rsid w:val="00696DE7"/>
    <w:rsid w:val="006972F1"/>
    <w:rsid w:val="006A22C3"/>
    <w:rsid w:val="006A2889"/>
    <w:rsid w:val="006A296A"/>
    <w:rsid w:val="006A2CAF"/>
    <w:rsid w:val="006A7544"/>
    <w:rsid w:val="006A79A1"/>
    <w:rsid w:val="006A7FE5"/>
    <w:rsid w:val="006B0308"/>
    <w:rsid w:val="006B05EC"/>
    <w:rsid w:val="006B1BA6"/>
    <w:rsid w:val="006B4182"/>
    <w:rsid w:val="006B47CE"/>
    <w:rsid w:val="006B4A3E"/>
    <w:rsid w:val="006B5E78"/>
    <w:rsid w:val="006C0972"/>
    <w:rsid w:val="006C4222"/>
    <w:rsid w:val="006C6AE9"/>
    <w:rsid w:val="006C7BF4"/>
    <w:rsid w:val="006D34DA"/>
    <w:rsid w:val="006D62A4"/>
    <w:rsid w:val="006D781C"/>
    <w:rsid w:val="006E2122"/>
    <w:rsid w:val="006F3EA2"/>
    <w:rsid w:val="006F785E"/>
    <w:rsid w:val="00701074"/>
    <w:rsid w:val="00701170"/>
    <w:rsid w:val="007054AE"/>
    <w:rsid w:val="00710D83"/>
    <w:rsid w:val="00725543"/>
    <w:rsid w:val="0072593A"/>
    <w:rsid w:val="0072631C"/>
    <w:rsid w:val="007338B7"/>
    <w:rsid w:val="007338F9"/>
    <w:rsid w:val="007362EB"/>
    <w:rsid w:val="00737598"/>
    <w:rsid w:val="007379EF"/>
    <w:rsid w:val="00737D5D"/>
    <w:rsid w:val="00743B24"/>
    <w:rsid w:val="007457AA"/>
    <w:rsid w:val="0075285F"/>
    <w:rsid w:val="00754A0A"/>
    <w:rsid w:val="00756936"/>
    <w:rsid w:val="007617D7"/>
    <w:rsid w:val="007647C9"/>
    <w:rsid w:val="007664EC"/>
    <w:rsid w:val="00777173"/>
    <w:rsid w:val="00783AD6"/>
    <w:rsid w:val="00791BD7"/>
    <w:rsid w:val="00794B9B"/>
    <w:rsid w:val="007973ED"/>
    <w:rsid w:val="007A0852"/>
    <w:rsid w:val="007A652F"/>
    <w:rsid w:val="007B2A9E"/>
    <w:rsid w:val="007B549C"/>
    <w:rsid w:val="007C17FE"/>
    <w:rsid w:val="007C2526"/>
    <w:rsid w:val="007C34EC"/>
    <w:rsid w:val="007C5F74"/>
    <w:rsid w:val="007D3542"/>
    <w:rsid w:val="007D3DE6"/>
    <w:rsid w:val="007E03D5"/>
    <w:rsid w:val="007E5F1D"/>
    <w:rsid w:val="007F243B"/>
    <w:rsid w:val="007F48E0"/>
    <w:rsid w:val="00803278"/>
    <w:rsid w:val="0080531E"/>
    <w:rsid w:val="008073F3"/>
    <w:rsid w:val="00811E76"/>
    <w:rsid w:val="00814FE4"/>
    <w:rsid w:val="00815002"/>
    <w:rsid w:val="008155B6"/>
    <w:rsid w:val="008167CE"/>
    <w:rsid w:val="00823972"/>
    <w:rsid w:val="00827B10"/>
    <w:rsid w:val="00831A60"/>
    <w:rsid w:val="00831F05"/>
    <w:rsid w:val="00833843"/>
    <w:rsid w:val="0083485C"/>
    <w:rsid w:val="00835666"/>
    <w:rsid w:val="00843231"/>
    <w:rsid w:val="00846339"/>
    <w:rsid w:val="00855AAF"/>
    <w:rsid w:val="0086201A"/>
    <w:rsid w:val="00865078"/>
    <w:rsid w:val="0086630D"/>
    <w:rsid w:val="00873271"/>
    <w:rsid w:val="0087578E"/>
    <w:rsid w:val="00876C9D"/>
    <w:rsid w:val="0089281A"/>
    <w:rsid w:val="00894FF2"/>
    <w:rsid w:val="008A27A8"/>
    <w:rsid w:val="008A3E79"/>
    <w:rsid w:val="008A61D6"/>
    <w:rsid w:val="008A69D0"/>
    <w:rsid w:val="008B5D96"/>
    <w:rsid w:val="008D1226"/>
    <w:rsid w:val="008D42CA"/>
    <w:rsid w:val="008E5B3B"/>
    <w:rsid w:val="008E7670"/>
    <w:rsid w:val="008F24C3"/>
    <w:rsid w:val="008F2680"/>
    <w:rsid w:val="008F4945"/>
    <w:rsid w:val="0090318C"/>
    <w:rsid w:val="00910324"/>
    <w:rsid w:val="00911FA3"/>
    <w:rsid w:val="009134B3"/>
    <w:rsid w:val="00913C35"/>
    <w:rsid w:val="009179D0"/>
    <w:rsid w:val="0092055C"/>
    <w:rsid w:val="00931740"/>
    <w:rsid w:val="009358A3"/>
    <w:rsid w:val="0093696E"/>
    <w:rsid w:val="009400B7"/>
    <w:rsid w:val="00940161"/>
    <w:rsid w:val="00940DA4"/>
    <w:rsid w:val="0094210E"/>
    <w:rsid w:val="009424D9"/>
    <w:rsid w:val="00942E8C"/>
    <w:rsid w:val="00943DB6"/>
    <w:rsid w:val="009469F7"/>
    <w:rsid w:val="009563A6"/>
    <w:rsid w:val="00961CCE"/>
    <w:rsid w:val="00971A0B"/>
    <w:rsid w:val="0097296B"/>
    <w:rsid w:val="00975331"/>
    <w:rsid w:val="00975909"/>
    <w:rsid w:val="00975F03"/>
    <w:rsid w:val="00982751"/>
    <w:rsid w:val="00984014"/>
    <w:rsid w:val="00985530"/>
    <w:rsid w:val="0098704A"/>
    <w:rsid w:val="009A53EF"/>
    <w:rsid w:val="009A790A"/>
    <w:rsid w:val="009B5DAB"/>
    <w:rsid w:val="009B6399"/>
    <w:rsid w:val="009C18D1"/>
    <w:rsid w:val="009C53EF"/>
    <w:rsid w:val="009C7C83"/>
    <w:rsid w:val="009E59E9"/>
    <w:rsid w:val="009E68B9"/>
    <w:rsid w:val="009F26AA"/>
    <w:rsid w:val="009F2B2A"/>
    <w:rsid w:val="009F3D01"/>
    <w:rsid w:val="009F6C52"/>
    <w:rsid w:val="00A01C59"/>
    <w:rsid w:val="00A13F6B"/>
    <w:rsid w:val="00A3020F"/>
    <w:rsid w:val="00A40754"/>
    <w:rsid w:val="00A43BDB"/>
    <w:rsid w:val="00A45A11"/>
    <w:rsid w:val="00A53E4E"/>
    <w:rsid w:val="00A62671"/>
    <w:rsid w:val="00A75DB8"/>
    <w:rsid w:val="00A77AA4"/>
    <w:rsid w:val="00A81DFF"/>
    <w:rsid w:val="00A82BF4"/>
    <w:rsid w:val="00A84D2F"/>
    <w:rsid w:val="00A87C63"/>
    <w:rsid w:val="00AA42AD"/>
    <w:rsid w:val="00AA685F"/>
    <w:rsid w:val="00AB0BB5"/>
    <w:rsid w:val="00AB0C7D"/>
    <w:rsid w:val="00AC2E3C"/>
    <w:rsid w:val="00AC43C8"/>
    <w:rsid w:val="00AD2978"/>
    <w:rsid w:val="00AE1243"/>
    <w:rsid w:val="00AF1C28"/>
    <w:rsid w:val="00B01751"/>
    <w:rsid w:val="00B06221"/>
    <w:rsid w:val="00B16E0F"/>
    <w:rsid w:val="00B208C4"/>
    <w:rsid w:val="00B21D81"/>
    <w:rsid w:val="00B27EFE"/>
    <w:rsid w:val="00B32CB9"/>
    <w:rsid w:val="00B36EC2"/>
    <w:rsid w:val="00B41711"/>
    <w:rsid w:val="00B431BF"/>
    <w:rsid w:val="00B445CD"/>
    <w:rsid w:val="00B45139"/>
    <w:rsid w:val="00B538DA"/>
    <w:rsid w:val="00B53910"/>
    <w:rsid w:val="00B53F41"/>
    <w:rsid w:val="00B56E14"/>
    <w:rsid w:val="00B632AC"/>
    <w:rsid w:val="00B63EE5"/>
    <w:rsid w:val="00B6625E"/>
    <w:rsid w:val="00B71581"/>
    <w:rsid w:val="00B76A94"/>
    <w:rsid w:val="00B9279D"/>
    <w:rsid w:val="00BA0B9B"/>
    <w:rsid w:val="00BA6F57"/>
    <w:rsid w:val="00BB41AF"/>
    <w:rsid w:val="00BB4894"/>
    <w:rsid w:val="00BC0882"/>
    <w:rsid w:val="00BC2409"/>
    <w:rsid w:val="00BC2924"/>
    <w:rsid w:val="00BD2239"/>
    <w:rsid w:val="00BD4E27"/>
    <w:rsid w:val="00BD703A"/>
    <w:rsid w:val="00BD785A"/>
    <w:rsid w:val="00BE0C6F"/>
    <w:rsid w:val="00BE1201"/>
    <w:rsid w:val="00BE217C"/>
    <w:rsid w:val="00BE4DE0"/>
    <w:rsid w:val="00BE6E16"/>
    <w:rsid w:val="00BF2083"/>
    <w:rsid w:val="00BF29E1"/>
    <w:rsid w:val="00BF3F08"/>
    <w:rsid w:val="00BF6048"/>
    <w:rsid w:val="00BF6F52"/>
    <w:rsid w:val="00BF734C"/>
    <w:rsid w:val="00C00749"/>
    <w:rsid w:val="00C0224E"/>
    <w:rsid w:val="00C03A03"/>
    <w:rsid w:val="00C064C1"/>
    <w:rsid w:val="00C218FD"/>
    <w:rsid w:val="00C23D96"/>
    <w:rsid w:val="00C26878"/>
    <w:rsid w:val="00C27443"/>
    <w:rsid w:val="00C275E7"/>
    <w:rsid w:val="00C3097E"/>
    <w:rsid w:val="00C32C06"/>
    <w:rsid w:val="00C345F3"/>
    <w:rsid w:val="00C35E7A"/>
    <w:rsid w:val="00C428E1"/>
    <w:rsid w:val="00C42D42"/>
    <w:rsid w:val="00C430CE"/>
    <w:rsid w:val="00C50010"/>
    <w:rsid w:val="00C50B70"/>
    <w:rsid w:val="00C54620"/>
    <w:rsid w:val="00C55943"/>
    <w:rsid w:val="00C60C02"/>
    <w:rsid w:val="00C63506"/>
    <w:rsid w:val="00C647B0"/>
    <w:rsid w:val="00C64927"/>
    <w:rsid w:val="00C70662"/>
    <w:rsid w:val="00C707FE"/>
    <w:rsid w:val="00C708BD"/>
    <w:rsid w:val="00C713A5"/>
    <w:rsid w:val="00C779B3"/>
    <w:rsid w:val="00C80303"/>
    <w:rsid w:val="00C82F84"/>
    <w:rsid w:val="00C85B03"/>
    <w:rsid w:val="00C85F25"/>
    <w:rsid w:val="00C85F78"/>
    <w:rsid w:val="00C87CD6"/>
    <w:rsid w:val="00C913DE"/>
    <w:rsid w:val="00C9278E"/>
    <w:rsid w:val="00C928EE"/>
    <w:rsid w:val="00C931CE"/>
    <w:rsid w:val="00C9503D"/>
    <w:rsid w:val="00C9727E"/>
    <w:rsid w:val="00CA17C5"/>
    <w:rsid w:val="00CA2FD4"/>
    <w:rsid w:val="00CA41A9"/>
    <w:rsid w:val="00CA4A3C"/>
    <w:rsid w:val="00CA67D3"/>
    <w:rsid w:val="00CB2995"/>
    <w:rsid w:val="00CB4A8F"/>
    <w:rsid w:val="00CC0DEE"/>
    <w:rsid w:val="00CC44DE"/>
    <w:rsid w:val="00CD0B48"/>
    <w:rsid w:val="00CD0FBE"/>
    <w:rsid w:val="00CD1667"/>
    <w:rsid w:val="00CD76E4"/>
    <w:rsid w:val="00CE2B69"/>
    <w:rsid w:val="00CE4866"/>
    <w:rsid w:val="00CF0067"/>
    <w:rsid w:val="00D00618"/>
    <w:rsid w:val="00D01243"/>
    <w:rsid w:val="00D0197C"/>
    <w:rsid w:val="00D0530D"/>
    <w:rsid w:val="00D1028D"/>
    <w:rsid w:val="00D17C6D"/>
    <w:rsid w:val="00D21772"/>
    <w:rsid w:val="00D22148"/>
    <w:rsid w:val="00D226D5"/>
    <w:rsid w:val="00D23D4E"/>
    <w:rsid w:val="00D24AEA"/>
    <w:rsid w:val="00D31122"/>
    <w:rsid w:val="00D32E13"/>
    <w:rsid w:val="00D350BB"/>
    <w:rsid w:val="00D44ED3"/>
    <w:rsid w:val="00D452EE"/>
    <w:rsid w:val="00D45AF7"/>
    <w:rsid w:val="00D5138F"/>
    <w:rsid w:val="00D55771"/>
    <w:rsid w:val="00D55B08"/>
    <w:rsid w:val="00D57A30"/>
    <w:rsid w:val="00D728AA"/>
    <w:rsid w:val="00D74762"/>
    <w:rsid w:val="00D77246"/>
    <w:rsid w:val="00D80857"/>
    <w:rsid w:val="00D8365A"/>
    <w:rsid w:val="00D85486"/>
    <w:rsid w:val="00D87EB2"/>
    <w:rsid w:val="00D957B1"/>
    <w:rsid w:val="00DA1997"/>
    <w:rsid w:val="00DA5229"/>
    <w:rsid w:val="00DA70C3"/>
    <w:rsid w:val="00DB0278"/>
    <w:rsid w:val="00DB59EE"/>
    <w:rsid w:val="00DB6535"/>
    <w:rsid w:val="00DB658F"/>
    <w:rsid w:val="00DC39D2"/>
    <w:rsid w:val="00DC6A3B"/>
    <w:rsid w:val="00DD00EB"/>
    <w:rsid w:val="00DD289E"/>
    <w:rsid w:val="00DD49D7"/>
    <w:rsid w:val="00DE1B19"/>
    <w:rsid w:val="00DF2298"/>
    <w:rsid w:val="00DF7F69"/>
    <w:rsid w:val="00E0234D"/>
    <w:rsid w:val="00E0442F"/>
    <w:rsid w:val="00E04E70"/>
    <w:rsid w:val="00E05208"/>
    <w:rsid w:val="00E070E0"/>
    <w:rsid w:val="00E074A6"/>
    <w:rsid w:val="00E2021B"/>
    <w:rsid w:val="00E20C62"/>
    <w:rsid w:val="00E2113B"/>
    <w:rsid w:val="00E21B45"/>
    <w:rsid w:val="00E3611D"/>
    <w:rsid w:val="00E439DD"/>
    <w:rsid w:val="00E57C2C"/>
    <w:rsid w:val="00E820EA"/>
    <w:rsid w:val="00E8350C"/>
    <w:rsid w:val="00E9430D"/>
    <w:rsid w:val="00EA0134"/>
    <w:rsid w:val="00EA070A"/>
    <w:rsid w:val="00EA2109"/>
    <w:rsid w:val="00EA2937"/>
    <w:rsid w:val="00EA3F97"/>
    <w:rsid w:val="00EA42DB"/>
    <w:rsid w:val="00EC0CD7"/>
    <w:rsid w:val="00EC188D"/>
    <w:rsid w:val="00EC3F03"/>
    <w:rsid w:val="00EC50EF"/>
    <w:rsid w:val="00EC6984"/>
    <w:rsid w:val="00ED0EDF"/>
    <w:rsid w:val="00ED316B"/>
    <w:rsid w:val="00ED345E"/>
    <w:rsid w:val="00EE01A5"/>
    <w:rsid w:val="00EE0FC1"/>
    <w:rsid w:val="00EE5F3F"/>
    <w:rsid w:val="00EF3EFF"/>
    <w:rsid w:val="00EF6BF2"/>
    <w:rsid w:val="00F0088B"/>
    <w:rsid w:val="00F1514E"/>
    <w:rsid w:val="00F20146"/>
    <w:rsid w:val="00F2091A"/>
    <w:rsid w:val="00F21602"/>
    <w:rsid w:val="00F241C6"/>
    <w:rsid w:val="00F31B1B"/>
    <w:rsid w:val="00F321FC"/>
    <w:rsid w:val="00F40BA3"/>
    <w:rsid w:val="00F43721"/>
    <w:rsid w:val="00F4479A"/>
    <w:rsid w:val="00F474F6"/>
    <w:rsid w:val="00F47BE4"/>
    <w:rsid w:val="00F5059A"/>
    <w:rsid w:val="00F55006"/>
    <w:rsid w:val="00F62774"/>
    <w:rsid w:val="00F64C06"/>
    <w:rsid w:val="00F66859"/>
    <w:rsid w:val="00F81763"/>
    <w:rsid w:val="00F81D99"/>
    <w:rsid w:val="00F87302"/>
    <w:rsid w:val="00F87817"/>
    <w:rsid w:val="00F90492"/>
    <w:rsid w:val="00F918FA"/>
    <w:rsid w:val="00F92AE0"/>
    <w:rsid w:val="00F934B3"/>
    <w:rsid w:val="00F93B67"/>
    <w:rsid w:val="00F971AA"/>
    <w:rsid w:val="00FA3C71"/>
    <w:rsid w:val="00FB13B3"/>
    <w:rsid w:val="00FB2DFC"/>
    <w:rsid w:val="00FC2475"/>
    <w:rsid w:val="00FC79AA"/>
    <w:rsid w:val="00FD4A33"/>
    <w:rsid w:val="00FD517C"/>
    <w:rsid w:val="00FD6B70"/>
    <w:rsid w:val="00FE3435"/>
    <w:rsid w:val="00FE434E"/>
    <w:rsid w:val="00FF4FD3"/>
    <w:rsid w:val="012452F1"/>
    <w:rsid w:val="01AF36F6"/>
    <w:rsid w:val="01CF0FA6"/>
    <w:rsid w:val="01E5519D"/>
    <w:rsid w:val="0216798E"/>
    <w:rsid w:val="0313555D"/>
    <w:rsid w:val="034D2EA8"/>
    <w:rsid w:val="046F23C0"/>
    <w:rsid w:val="04E6728C"/>
    <w:rsid w:val="04F15D6B"/>
    <w:rsid w:val="050726BE"/>
    <w:rsid w:val="05E9014C"/>
    <w:rsid w:val="077B2C04"/>
    <w:rsid w:val="079641AD"/>
    <w:rsid w:val="07F37C7B"/>
    <w:rsid w:val="089E6988"/>
    <w:rsid w:val="09B53047"/>
    <w:rsid w:val="0A817D17"/>
    <w:rsid w:val="0AAA142A"/>
    <w:rsid w:val="0B230877"/>
    <w:rsid w:val="0B793D99"/>
    <w:rsid w:val="0BD63BCA"/>
    <w:rsid w:val="0C567289"/>
    <w:rsid w:val="0C680624"/>
    <w:rsid w:val="0C711D75"/>
    <w:rsid w:val="0CFA0439"/>
    <w:rsid w:val="0D186567"/>
    <w:rsid w:val="0D8E7657"/>
    <w:rsid w:val="0DA61392"/>
    <w:rsid w:val="0DBA677E"/>
    <w:rsid w:val="0E4554F7"/>
    <w:rsid w:val="0F956C5E"/>
    <w:rsid w:val="101F7380"/>
    <w:rsid w:val="102D6F45"/>
    <w:rsid w:val="10B9330E"/>
    <w:rsid w:val="110D5EE3"/>
    <w:rsid w:val="11181F98"/>
    <w:rsid w:val="11227A99"/>
    <w:rsid w:val="11DE3945"/>
    <w:rsid w:val="12664DFD"/>
    <w:rsid w:val="134E7BC5"/>
    <w:rsid w:val="13871AEC"/>
    <w:rsid w:val="13A52826"/>
    <w:rsid w:val="13B91051"/>
    <w:rsid w:val="13D35DFC"/>
    <w:rsid w:val="13F8217D"/>
    <w:rsid w:val="14284589"/>
    <w:rsid w:val="14BD634B"/>
    <w:rsid w:val="14D1000A"/>
    <w:rsid w:val="15957DAD"/>
    <w:rsid w:val="15D62AD2"/>
    <w:rsid w:val="16794345"/>
    <w:rsid w:val="174B661D"/>
    <w:rsid w:val="175D307A"/>
    <w:rsid w:val="183C59AA"/>
    <w:rsid w:val="18624BF1"/>
    <w:rsid w:val="189579BD"/>
    <w:rsid w:val="18B229AF"/>
    <w:rsid w:val="18C50884"/>
    <w:rsid w:val="19C5703E"/>
    <w:rsid w:val="1AB55A4D"/>
    <w:rsid w:val="1AD02A1C"/>
    <w:rsid w:val="1AFF3B35"/>
    <w:rsid w:val="1B9B4C19"/>
    <w:rsid w:val="1CF05236"/>
    <w:rsid w:val="1D3927C4"/>
    <w:rsid w:val="1D8949B6"/>
    <w:rsid w:val="1DAD7710"/>
    <w:rsid w:val="1DE7099F"/>
    <w:rsid w:val="1E845838"/>
    <w:rsid w:val="1E9D4DAF"/>
    <w:rsid w:val="1EAB7365"/>
    <w:rsid w:val="1EC820BD"/>
    <w:rsid w:val="1ED84015"/>
    <w:rsid w:val="1EDF0599"/>
    <w:rsid w:val="1EF17A20"/>
    <w:rsid w:val="1F5A1985"/>
    <w:rsid w:val="1F645C77"/>
    <w:rsid w:val="1F8A1FB3"/>
    <w:rsid w:val="1FDC5B5E"/>
    <w:rsid w:val="1FFE567F"/>
    <w:rsid w:val="20377019"/>
    <w:rsid w:val="21243BA5"/>
    <w:rsid w:val="214E27D4"/>
    <w:rsid w:val="21785B9F"/>
    <w:rsid w:val="219D08AB"/>
    <w:rsid w:val="22964EC2"/>
    <w:rsid w:val="23F2091A"/>
    <w:rsid w:val="24871D0B"/>
    <w:rsid w:val="24A96C6B"/>
    <w:rsid w:val="24E56089"/>
    <w:rsid w:val="253E5B18"/>
    <w:rsid w:val="256A0691"/>
    <w:rsid w:val="25850383"/>
    <w:rsid w:val="25B61C6D"/>
    <w:rsid w:val="26C848F6"/>
    <w:rsid w:val="291A5CBF"/>
    <w:rsid w:val="29492010"/>
    <w:rsid w:val="2A0D27B5"/>
    <w:rsid w:val="2A233F53"/>
    <w:rsid w:val="2BA7492D"/>
    <w:rsid w:val="2BE405D8"/>
    <w:rsid w:val="2BF22367"/>
    <w:rsid w:val="2BFA22EB"/>
    <w:rsid w:val="2C851982"/>
    <w:rsid w:val="2CF63552"/>
    <w:rsid w:val="2D1370DE"/>
    <w:rsid w:val="2D3F1804"/>
    <w:rsid w:val="2D9F6D12"/>
    <w:rsid w:val="2E287666"/>
    <w:rsid w:val="2E5A3357"/>
    <w:rsid w:val="2FA64827"/>
    <w:rsid w:val="315A1AF7"/>
    <w:rsid w:val="31AE6BB1"/>
    <w:rsid w:val="3260141C"/>
    <w:rsid w:val="332E6BA3"/>
    <w:rsid w:val="341704C4"/>
    <w:rsid w:val="35166956"/>
    <w:rsid w:val="35D71D92"/>
    <w:rsid w:val="36A06960"/>
    <w:rsid w:val="36A76732"/>
    <w:rsid w:val="36FF588D"/>
    <w:rsid w:val="37F43658"/>
    <w:rsid w:val="39170D74"/>
    <w:rsid w:val="393A25C2"/>
    <w:rsid w:val="395D3D07"/>
    <w:rsid w:val="3B5B34F6"/>
    <w:rsid w:val="3C247E72"/>
    <w:rsid w:val="3C6E61D0"/>
    <w:rsid w:val="3D1B3D2C"/>
    <w:rsid w:val="3D333C33"/>
    <w:rsid w:val="3DF757B1"/>
    <w:rsid w:val="3E3C4EC1"/>
    <w:rsid w:val="3E502D1C"/>
    <w:rsid w:val="3E592B01"/>
    <w:rsid w:val="3E815B29"/>
    <w:rsid w:val="3EA90EB2"/>
    <w:rsid w:val="3EB40A67"/>
    <w:rsid w:val="3EE375A4"/>
    <w:rsid w:val="3F311A53"/>
    <w:rsid w:val="3FCF1A73"/>
    <w:rsid w:val="40397911"/>
    <w:rsid w:val="404E3622"/>
    <w:rsid w:val="41022509"/>
    <w:rsid w:val="41DC623B"/>
    <w:rsid w:val="41F11681"/>
    <w:rsid w:val="42332A3D"/>
    <w:rsid w:val="429D020F"/>
    <w:rsid w:val="42AF3DAC"/>
    <w:rsid w:val="42BD00EB"/>
    <w:rsid w:val="42DF73CC"/>
    <w:rsid w:val="43211B95"/>
    <w:rsid w:val="434D7DB2"/>
    <w:rsid w:val="43B10FA1"/>
    <w:rsid w:val="43DE3273"/>
    <w:rsid w:val="43F13938"/>
    <w:rsid w:val="4561367C"/>
    <w:rsid w:val="45681FBA"/>
    <w:rsid w:val="45D76C83"/>
    <w:rsid w:val="45E862F5"/>
    <w:rsid w:val="47056F90"/>
    <w:rsid w:val="470A364A"/>
    <w:rsid w:val="473A67BC"/>
    <w:rsid w:val="478532D8"/>
    <w:rsid w:val="478C73E9"/>
    <w:rsid w:val="481F291A"/>
    <w:rsid w:val="48C7251D"/>
    <w:rsid w:val="497F5435"/>
    <w:rsid w:val="4A565228"/>
    <w:rsid w:val="4A810264"/>
    <w:rsid w:val="4B854BF3"/>
    <w:rsid w:val="4C9F2142"/>
    <w:rsid w:val="4DEB36AF"/>
    <w:rsid w:val="4E04314A"/>
    <w:rsid w:val="4E4228D0"/>
    <w:rsid w:val="4E60270C"/>
    <w:rsid w:val="4F080A92"/>
    <w:rsid w:val="50BB7518"/>
    <w:rsid w:val="510158EE"/>
    <w:rsid w:val="5138189C"/>
    <w:rsid w:val="515D4BCC"/>
    <w:rsid w:val="51987FC0"/>
    <w:rsid w:val="52062653"/>
    <w:rsid w:val="521B429A"/>
    <w:rsid w:val="523601EE"/>
    <w:rsid w:val="52825F06"/>
    <w:rsid w:val="528A1AA5"/>
    <w:rsid w:val="52B53487"/>
    <w:rsid w:val="54237050"/>
    <w:rsid w:val="543372F9"/>
    <w:rsid w:val="56995539"/>
    <w:rsid w:val="57A32177"/>
    <w:rsid w:val="57B24296"/>
    <w:rsid w:val="57EF3F57"/>
    <w:rsid w:val="58AB6A49"/>
    <w:rsid w:val="58F436AE"/>
    <w:rsid w:val="59165EAE"/>
    <w:rsid w:val="59D144DF"/>
    <w:rsid w:val="5A646A40"/>
    <w:rsid w:val="5B3C76F5"/>
    <w:rsid w:val="5B8F795B"/>
    <w:rsid w:val="5C2C6065"/>
    <w:rsid w:val="5C4216A5"/>
    <w:rsid w:val="5D5B2280"/>
    <w:rsid w:val="5D8266B6"/>
    <w:rsid w:val="60046D46"/>
    <w:rsid w:val="605C5E31"/>
    <w:rsid w:val="606F5EEF"/>
    <w:rsid w:val="60E85D1A"/>
    <w:rsid w:val="614655F8"/>
    <w:rsid w:val="614655F9"/>
    <w:rsid w:val="614E13FA"/>
    <w:rsid w:val="61A90BA2"/>
    <w:rsid w:val="62EC3A44"/>
    <w:rsid w:val="63DD3F1A"/>
    <w:rsid w:val="63E94E4E"/>
    <w:rsid w:val="64203064"/>
    <w:rsid w:val="650A7121"/>
    <w:rsid w:val="65805037"/>
    <w:rsid w:val="65C0446C"/>
    <w:rsid w:val="67510081"/>
    <w:rsid w:val="67E710AD"/>
    <w:rsid w:val="67F30C31"/>
    <w:rsid w:val="688649F8"/>
    <w:rsid w:val="68E55CA4"/>
    <w:rsid w:val="691E3E12"/>
    <w:rsid w:val="69307D33"/>
    <w:rsid w:val="69540E60"/>
    <w:rsid w:val="69800DF6"/>
    <w:rsid w:val="69B16242"/>
    <w:rsid w:val="69BB4CF2"/>
    <w:rsid w:val="6A6B6786"/>
    <w:rsid w:val="6A897983"/>
    <w:rsid w:val="6B5F20D2"/>
    <w:rsid w:val="6CD907A0"/>
    <w:rsid w:val="6D835848"/>
    <w:rsid w:val="6D845024"/>
    <w:rsid w:val="6DDE7EE2"/>
    <w:rsid w:val="6E264A93"/>
    <w:rsid w:val="6EC82BE4"/>
    <w:rsid w:val="6EE97F37"/>
    <w:rsid w:val="6FF0796A"/>
    <w:rsid w:val="70432F48"/>
    <w:rsid w:val="70920039"/>
    <w:rsid w:val="71784EE7"/>
    <w:rsid w:val="7194765F"/>
    <w:rsid w:val="71AE124C"/>
    <w:rsid w:val="71C52A57"/>
    <w:rsid w:val="71D2648C"/>
    <w:rsid w:val="72620AA9"/>
    <w:rsid w:val="72A55E55"/>
    <w:rsid w:val="72AD1AF5"/>
    <w:rsid w:val="73634EBE"/>
    <w:rsid w:val="738B4B3D"/>
    <w:rsid w:val="739C12E6"/>
    <w:rsid w:val="73A4400D"/>
    <w:rsid w:val="743F0EF6"/>
    <w:rsid w:val="74575FB8"/>
    <w:rsid w:val="752B0EE0"/>
    <w:rsid w:val="75DE3968"/>
    <w:rsid w:val="7615776E"/>
    <w:rsid w:val="762421DE"/>
    <w:rsid w:val="76AB7B76"/>
    <w:rsid w:val="78513E7C"/>
    <w:rsid w:val="79522680"/>
    <w:rsid w:val="7AEF4A44"/>
    <w:rsid w:val="7AF12D82"/>
    <w:rsid w:val="7B435EAA"/>
    <w:rsid w:val="7B4A6FA1"/>
    <w:rsid w:val="7B7A2107"/>
    <w:rsid w:val="7C2C33A9"/>
    <w:rsid w:val="7C3A2791"/>
    <w:rsid w:val="7C5B4F34"/>
    <w:rsid w:val="7D342A27"/>
    <w:rsid w:val="7D60337C"/>
    <w:rsid w:val="7D6C6598"/>
    <w:rsid w:val="7DF907DC"/>
    <w:rsid w:val="7E524AA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nhideWhenUsed="0"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qFormat="1" w:unhideWhenUsed="0" w:uiPriority="0" w:semiHidden="0"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43"/>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44"/>
    <w:qFormat/>
    <w:uiPriority w:val="0"/>
    <w:pPr>
      <w:keepNext/>
      <w:keepLines/>
      <w:tabs>
        <w:tab w:val="left" w:pos="1440"/>
      </w:tabs>
      <w:adjustRightInd w:val="0"/>
      <w:spacing w:before="260" w:after="260" w:line="416" w:lineRule="atLeast"/>
      <w:ind w:left="1440" w:hanging="360"/>
      <w:textAlignment w:val="baseline"/>
      <w:outlineLvl w:val="1"/>
    </w:pPr>
    <w:rPr>
      <w:rFonts w:ascii="Arial" w:hAnsi="Arial" w:eastAsia="黑体"/>
      <w:b/>
      <w:kern w:val="0"/>
      <w:sz w:val="32"/>
      <w:szCs w:val="20"/>
    </w:rPr>
  </w:style>
  <w:style w:type="paragraph" w:styleId="5">
    <w:name w:val="heading 3"/>
    <w:basedOn w:val="1"/>
    <w:next w:val="1"/>
    <w:link w:val="45"/>
    <w:unhideWhenUsed/>
    <w:qFormat/>
    <w:uiPriority w:val="9"/>
    <w:pPr>
      <w:keepNext/>
      <w:keepLines/>
      <w:spacing w:before="260" w:after="260" w:line="416" w:lineRule="auto"/>
      <w:outlineLvl w:val="2"/>
    </w:pPr>
    <w:rPr>
      <w:b/>
      <w:bCs/>
      <w:sz w:val="32"/>
      <w:szCs w:val="32"/>
    </w:rPr>
  </w:style>
  <w:style w:type="paragraph" w:styleId="2">
    <w:name w:val="heading 4"/>
    <w:basedOn w:val="1"/>
    <w:next w:val="1"/>
    <w:qFormat/>
    <w:uiPriority w:val="0"/>
    <w:pPr>
      <w:spacing w:before="60" w:after="60" w:line="360" w:lineRule="auto"/>
      <w:outlineLvl w:val="3"/>
    </w:pPr>
    <w:rPr>
      <w:b/>
      <w:bCs/>
      <w:sz w:val="24"/>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qFormat/>
    <w:uiPriority w:val="39"/>
    <w:pPr>
      <w:ind w:left="2520" w:leftChars="1200"/>
    </w:pPr>
    <w:rPr>
      <w:rFonts w:ascii="Times New Roman" w:hAnsi="Times New Roman"/>
    </w:rPr>
  </w:style>
  <w:style w:type="paragraph" w:styleId="7">
    <w:name w:val="List Bullet 4"/>
    <w:basedOn w:val="1"/>
    <w:qFormat/>
    <w:uiPriority w:val="0"/>
    <w:pPr>
      <w:tabs>
        <w:tab w:val="left" w:pos="1620"/>
      </w:tabs>
      <w:ind w:left="1620" w:hanging="360"/>
    </w:pPr>
    <w:rPr>
      <w:rFonts w:ascii="Times New Roman" w:hAnsi="Times New Roman"/>
    </w:rPr>
  </w:style>
  <w:style w:type="paragraph" w:styleId="8">
    <w:name w:val="Normal Indent"/>
    <w:basedOn w:val="1"/>
    <w:qFormat/>
    <w:uiPriority w:val="0"/>
    <w:pPr>
      <w:ind w:firstLine="420" w:firstLineChars="200"/>
    </w:pPr>
    <w:rPr>
      <w:rFonts w:ascii="Times New Roman" w:hAnsi="Times New Roman"/>
    </w:rPr>
  </w:style>
  <w:style w:type="paragraph" w:styleId="9">
    <w:name w:val="annotation text"/>
    <w:basedOn w:val="1"/>
    <w:link w:val="69"/>
    <w:unhideWhenUsed/>
    <w:qFormat/>
    <w:uiPriority w:val="99"/>
    <w:pPr>
      <w:jc w:val="left"/>
    </w:pPr>
  </w:style>
  <w:style w:type="paragraph" w:styleId="10">
    <w:name w:val="Body Text"/>
    <w:basedOn w:val="1"/>
    <w:next w:val="11"/>
    <w:link w:val="54"/>
    <w:unhideWhenUsed/>
    <w:qFormat/>
    <w:uiPriority w:val="0"/>
    <w:pPr>
      <w:spacing w:after="120"/>
    </w:pPr>
  </w:style>
  <w:style w:type="paragraph" w:styleId="11">
    <w:name w:val="Body Text Indent"/>
    <w:basedOn w:val="1"/>
    <w:qFormat/>
    <w:uiPriority w:val="0"/>
    <w:pPr>
      <w:spacing w:after="120"/>
      <w:ind w:left="420" w:leftChars="200"/>
    </w:pPr>
    <w:rPr>
      <w:rFonts w:ascii="Times New Roman" w:hAnsi="Times New Roman" w:eastAsiaTheme="minorEastAsia" w:cstheme="minorBidi"/>
      <w:kern w:val="0"/>
      <w:sz w:val="20"/>
    </w:rPr>
  </w:style>
  <w:style w:type="paragraph" w:styleId="12">
    <w:name w:val="toc 5"/>
    <w:basedOn w:val="1"/>
    <w:next w:val="1"/>
    <w:unhideWhenUsed/>
    <w:qFormat/>
    <w:uiPriority w:val="39"/>
    <w:pPr>
      <w:ind w:left="1680" w:leftChars="800"/>
    </w:pPr>
    <w:rPr>
      <w:szCs w:val="22"/>
    </w:rPr>
  </w:style>
  <w:style w:type="paragraph" w:styleId="13">
    <w:name w:val="toc 3"/>
    <w:basedOn w:val="1"/>
    <w:next w:val="1"/>
    <w:unhideWhenUsed/>
    <w:qFormat/>
    <w:uiPriority w:val="39"/>
    <w:pPr>
      <w:widowControl/>
      <w:spacing w:after="100" w:line="276" w:lineRule="auto"/>
      <w:ind w:left="440"/>
      <w:jc w:val="left"/>
    </w:pPr>
    <w:rPr>
      <w:kern w:val="0"/>
      <w:sz w:val="22"/>
      <w:szCs w:val="22"/>
    </w:rPr>
  </w:style>
  <w:style w:type="paragraph" w:styleId="14">
    <w:name w:val="Plain Text"/>
    <w:basedOn w:val="1"/>
    <w:link w:val="59"/>
    <w:qFormat/>
    <w:uiPriority w:val="0"/>
    <w:rPr>
      <w:rFonts w:ascii="宋体" w:hAnsi="Courier New"/>
      <w:szCs w:val="22"/>
    </w:rPr>
  </w:style>
  <w:style w:type="paragraph" w:styleId="15">
    <w:name w:val="toc 8"/>
    <w:basedOn w:val="1"/>
    <w:next w:val="1"/>
    <w:unhideWhenUsed/>
    <w:qFormat/>
    <w:uiPriority w:val="39"/>
    <w:pPr>
      <w:ind w:left="2940" w:leftChars="1400"/>
    </w:pPr>
    <w:rPr>
      <w:szCs w:val="22"/>
    </w:rPr>
  </w:style>
  <w:style w:type="paragraph" w:styleId="16">
    <w:name w:val="Date"/>
    <w:basedOn w:val="1"/>
    <w:next w:val="1"/>
    <w:link w:val="66"/>
    <w:qFormat/>
    <w:uiPriority w:val="0"/>
    <w:pPr>
      <w:autoSpaceDE w:val="0"/>
      <w:autoSpaceDN w:val="0"/>
      <w:adjustRightInd w:val="0"/>
    </w:pPr>
    <w:rPr>
      <w:rFonts w:ascii="宋体" w:hAnsi="Times New Roman"/>
      <w:sz w:val="28"/>
    </w:rPr>
  </w:style>
  <w:style w:type="paragraph" w:styleId="17">
    <w:name w:val="Body Text Indent 2"/>
    <w:basedOn w:val="1"/>
    <w:link w:val="61"/>
    <w:unhideWhenUsed/>
    <w:qFormat/>
    <w:uiPriority w:val="99"/>
    <w:pPr>
      <w:spacing w:after="120" w:line="480" w:lineRule="auto"/>
      <w:ind w:left="420" w:leftChars="200"/>
    </w:pPr>
  </w:style>
  <w:style w:type="paragraph" w:styleId="18">
    <w:name w:val="Balloon Text"/>
    <w:basedOn w:val="1"/>
    <w:link w:val="68"/>
    <w:unhideWhenUsed/>
    <w:qFormat/>
    <w:uiPriority w:val="0"/>
    <w:rPr>
      <w:sz w:val="18"/>
      <w:szCs w:val="18"/>
    </w:rPr>
  </w:style>
  <w:style w:type="paragraph" w:styleId="19">
    <w:name w:val="footer"/>
    <w:basedOn w:val="1"/>
    <w:link w:val="42"/>
    <w:unhideWhenUsed/>
    <w:qFormat/>
    <w:uiPriority w:val="99"/>
    <w:pPr>
      <w:tabs>
        <w:tab w:val="center" w:pos="4153"/>
        <w:tab w:val="right" w:pos="8306"/>
      </w:tabs>
      <w:snapToGrid w:val="0"/>
      <w:jc w:val="left"/>
    </w:pPr>
    <w:rPr>
      <w:sz w:val="18"/>
      <w:szCs w:val="18"/>
    </w:rPr>
  </w:style>
  <w:style w:type="paragraph" w:styleId="20">
    <w:name w:val="header"/>
    <w:basedOn w:val="1"/>
    <w:link w:val="41"/>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rPr>
      <w:rFonts w:ascii="Times New Roman" w:hAnsi="Times New Roman"/>
    </w:rPr>
  </w:style>
  <w:style w:type="paragraph" w:styleId="22">
    <w:name w:val="toc 4"/>
    <w:basedOn w:val="1"/>
    <w:next w:val="1"/>
    <w:unhideWhenUsed/>
    <w:qFormat/>
    <w:uiPriority w:val="39"/>
    <w:pPr>
      <w:ind w:left="1260" w:leftChars="600"/>
    </w:pPr>
    <w:rPr>
      <w:szCs w:val="22"/>
    </w:rPr>
  </w:style>
  <w:style w:type="paragraph" w:styleId="23">
    <w:name w:val="Subtitle"/>
    <w:basedOn w:val="1"/>
    <w:next w:val="1"/>
    <w:link w:val="77"/>
    <w:qFormat/>
    <w:uiPriority w:val="0"/>
    <w:pPr>
      <w:spacing w:before="240" w:after="60" w:line="312" w:lineRule="auto"/>
      <w:jc w:val="center"/>
      <w:outlineLvl w:val="1"/>
    </w:pPr>
    <w:rPr>
      <w:rFonts w:ascii="Cambria" w:hAnsi="Cambria"/>
      <w:b/>
      <w:bCs/>
      <w:kern w:val="28"/>
      <w:sz w:val="32"/>
      <w:szCs w:val="32"/>
    </w:rPr>
  </w:style>
  <w:style w:type="paragraph" w:styleId="24">
    <w:name w:val="toc 6"/>
    <w:basedOn w:val="1"/>
    <w:next w:val="1"/>
    <w:unhideWhenUsed/>
    <w:qFormat/>
    <w:uiPriority w:val="39"/>
    <w:pPr>
      <w:ind w:left="2100" w:leftChars="1000"/>
    </w:pPr>
    <w:rPr>
      <w:szCs w:val="22"/>
    </w:rPr>
  </w:style>
  <w:style w:type="paragraph" w:styleId="25">
    <w:name w:val="toc 2"/>
    <w:basedOn w:val="1"/>
    <w:next w:val="1"/>
    <w:unhideWhenUsed/>
    <w:qFormat/>
    <w:uiPriority w:val="39"/>
    <w:pPr>
      <w:widowControl/>
      <w:spacing w:after="100" w:line="276" w:lineRule="auto"/>
      <w:ind w:left="220"/>
      <w:jc w:val="left"/>
    </w:pPr>
    <w:rPr>
      <w:kern w:val="0"/>
      <w:sz w:val="22"/>
      <w:szCs w:val="22"/>
    </w:rPr>
  </w:style>
  <w:style w:type="paragraph" w:styleId="26">
    <w:name w:val="toc 9"/>
    <w:basedOn w:val="1"/>
    <w:next w:val="1"/>
    <w:unhideWhenUsed/>
    <w:qFormat/>
    <w:uiPriority w:val="39"/>
    <w:pPr>
      <w:ind w:left="3360" w:leftChars="1600"/>
    </w:pPr>
    <w:rPr>
      <w:szCs w:val="22"/>
    </w:rPr>
  </w:style>
  <w:style w:type="paragraph" w:styleId="27">
    <w:name w:val="HTML Preformatted"/>
    <w:basedOn w:val="1"/>
    <w:link w:val="1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lang w:val="zh-CN" w:eastAsia="zh-CN"/>
    </w:rPr>
  </w:style>
  <w:style w:type="paragraph" w:styleId="28">
    <w:name w:val="Normal (Web)"/>
    <w:basedOn w:val="1"/>
    <w:link w:val="84"/>
    <w:qFormat/>
    <w:uiPriority w:val="0"/>
    <w:pPr>
      <w:widowControl/>
      <w:spacing w:before="100" w:beforeAutospacing="1" w:after="100" w:afterAutospacing="1"/>
      <w:jc w:val="left"/>
    </w:pPr>
    <w:rPr>
      <w:rFonts w:ascii="宋体" w:hAnsi="宋体"/>
      <w:kern w:val="0"/>
      <w:sz w:val="15"/>
      <w:szCs w:val="15"/>
    </w:rPr>
  </w:style>
  <w:style w:type="paragraph" w:styleId="29">
    <w:name w:val="Title"/>
    <w:basedOn w:val="1"/>
    <w:next w:val="1"/>
    <w:link w:val="76"/>
    <w:qFormat/>
    <w:uiPriority w:val="0"/>
    <w:pPr>
      <w:spacing w:before="240" w:after="60"/>
      <w:jc w:val="center"/>
      <w:outlineLvl w:val="0"/>
    </w:pPr>
    <w:rPr>
      <w:rFonts w:ascii="Cambria" w:hAnsi="Cambria"/>
      <w:b/>
      <w:bCs/>
      <w:sz w:val="32"/>
      <w:szCs w:val="32"/>
    </w:rPr>
  </w:style>
  <w:style w:type="paragraph" w:styleId="30">
    <w:name w:val="annotation subject"/>
    <w:basedOn w:val="9"/>
    <w:next w:val="9"/>
    <w:link w:val="70"/>
    <w:unhideWhenUsed/>
    <w:qFormat/>
    <w:uiPriority w:val="99"/>
    <w:rPr>
      <w:b/>
      <w:bCs/>
    </w:rPr>
  </w:style>
  <w:style w:type="paragraph" w:styleId="31">
    <w:name w:val="Body Text First Indent"/>
    <w:basedOn w:val="10"/>
    <w:next w:val="32"/>
    <w:link w:val="58"/>
    <w:qFormat/>
    <w:uiPriority w:val="0"/>
    <w:pPr>
      <w:ind w:firstLine="420" w:firstLineChars="100"/>
    </w:pPr>
    <w:rPr>
      <w:rFonts w:ascii="宋体" w:hAnsi="Times New Roman"/>
    </w:rPr>
  </w:style>
  <w:style w:type="paragraph" w:customStyle="1" w:styleId="32">
    <w:name w:val="样式 正文首行缩进 + 宋体 小四 首行缩进:  1 字符"/>
    <w:basedOn w:val="1"/>
    <w:next w:val="1"/>
    <w:qFormat/>
    <w:uiPriority w:val="0"/>
    <w:pPr>
      <w:spacing w:after="120" w:line="360" w:lineRule="auto"/>
      <w:ind w:firstLine="150" w:firstLineChars="150"/>
    </w:pPr>
    <w:rPr>
      <w:rFonts w:ascii="宋体" w:hAnsi="宋体"/>
      <w:szCs w:val="20"/>
    </w:rPr>
  </w:style>
  <w:style w:type="paragraph" w:styleId="33">
    <w:name w:val="Body Text First Indent 2"/>
    <w:basedOn w:val="11"/>
    <w:qFormat/>
    <w:uiPriority w:val="0"/>
    <w:pPr>
      <w:ind w:firstLine="420" w:firstLineChars="200"/>
    </w:pPr>
    <w:rPr>
      <w:rFonts w:ascii="Calibri" w:hAnsi="Calibri"/>
    </w:rPr>
  </w:style>
  <w:style w:type="table" w:styleId="35">
    <w:name w:val="Table Grid"/>
    <w:basedOn w:val="3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7">
    <w:name w:val="Strong"/>
    <w:qFormat/>
    <w:uiPriority w:val="0"/>
    <w:rPr>
      <w:rFonts w:ascii="黑体" w:hAnsi="Verdana" w:eastAsia="黑体"/>
      <w:b/>
      <w:bCs/>
      <w:kern w:val="0"/>
      <w:sz w:val="32"/>
      <w:szCs w:val="32"/>
      <w:lang w:eastAsia="en-US"/>
    </w:rPr>
  </w:style>
  <w:style w:type="character" w:styleId="38">
    <w:name w:val="page number"/>
    <w:basedOn w:val="36"/>
    <w:qFormat/>
    <w:uiPriority w:val="0"/>
  </w:style>
  <w:style w:type="character" w:styleId="39">
    <w:name w:val="Hyperlink"/>
    <w:unhideWhenUsed/>
    <w:qFormat/>
    <w:uiPriority w:val="99"/>
    <w:rPr>
      <w:color w:val="0000FF"/>
      <w:u w:val="single"/>
    </w:rPr>
  </w:style>
  <w:style w:type="character" w:styleId="40">
    <w:name w:val="annotation reference"/>
    <w:semiHidden/>
    <w:qFormat/>
    <w:uiPriority w:val="0"/>
    <w:rPr>
      <w:rFonts w:ascii="Verdana" w:hAnsi="Verdana" w:eastAsia="仿宋_GB2312"/>
      <w:kern w:val="0"/>
      <w:sz w:val="21"/>
      <w:szCs w:val="21"/>
      <w:lang w:eastAsia="en-US"/>
    </w:rPr>
  </w:style>
  <w:style w:type="character" w:customStyle="1" w:styleId="41">
    <w:name w:val="页眉 Char"/>
    <w:link w:val="20"/>
    <w:qFormat/>
    <w:uiPriority w:val="99"/>
    <w:rPr>
      <w:sz w:val="18"/>
      <w:szCs w:val="18"/>
    </w:rPr>
  </w:style>
  <w:style w:type="character" w:customStyle="1" w:styleId="42">
    <w:name w:val="页脚 Char"/>
    <w:link w:val="19"/>
    <w:qFormat/>
    <w:uiPriority w:val="99"/>
    <w:rPr>
      <w:sz w:val="18"/>
      <w:szCs w:val="18"/>
    </w:rPr>
  </w:style>
  <w:style w:type="character" w:customStyle="1" w:styleId="43">
    <w:name w:val="标题 1 Char"/>
    <w:link w:val="3"/>
    <w:qFormat/>
    <w:uiPriority w:val="0"/>
    <w:rPr>
      <w:rFonts w:ascii="Calibri" w:hAnsi="Calibri" w:eastAsia="宋体" w:cs="Times New Roman"/>
      <w:b/>
      <w:bCs/>
      <w:kern w:val="44"/>
      <w:sz w:val="44"/>
      <w:szCs w:val="44"/>
    </w:rPr>
  </w:style>
  <w:style w:type="character" w:customStyle="1" w:styleId="44">
    <w:name w:val="标题 2 Char"/>
    <w:link w:val="4"/>
    <w:qFormat/>
    <w:uiPriority w:val="0"/>
    <w:rPr>
      <w:rFonts w:ascii="Arial" w:hAnsi="Arial" w:eastAsia="黑体" w:cs="Times New Roman"/>
      <w:b/>
      <w:kern w:val="0"/>
      <w:sz w:val="32"/>
      <w:szCs w:val="20"/>
    </w:rPr>
  </w:style>
  <w:style w:type="character" w:customStyle="1" w:styleId="45">
    <w:name w:val="标题 3 Char"/>
    <w:link w:val="5"/>
    <w:qFormat/>
    <w:uiPriority w:val="9"/>
    <w:rPr>
      <w:rFonts w:ascii="Calibri" w:hAnsi="Calibri" w:eastAsia="宋体" w:cs="Times New Roman"/>
      <w:b/>
      <w:bCs/>
      <w:sz w:val="32"/>
      <w:szCs w:val="32"/>
    </w:rPr>
  </w:style>
  <w:style w:type="paragraph" w:customStyle="1" w:styleId="46">
    <w:name w:val="列出段落1"/>
    <w:basedOn w:val="1"/>
    <w:qFormat/>
    <w:uiPriority w:val="0"/>
    <w:pPr>
      <w:ind w:firstLine="420" w:firstLineChars="200"/>
    </w:pPr>
  </w:style>
  <w:style w:type="paragraph" w:customStyle="1" w:styleId="47">
    <w:name w:val="正文缩进2格"/>
    <w:basedOn w:val="1"/>
    <w:next w:val="1"/>
    <w:link w:val="48"/>
    <w:qFormat/>
    <w:uiPriority w:val="0"/>
    <w:pPr>
      <w:spacing w:line="600" w:lineRule="exact"/>
      <w:ind w:firstLine="639" w:firstLineChars="206"/>
    </w:pPr>
    <w:rPr>
      <w:rFonts w:ascii="仿宋_GB2312" w:hAnsi="宋体" w:eastAsia="仿宋_GB2312"/>
      <w:sz w:val="31"/>
      <w:szCs w:val="28"/>
    </w:rPr>
  </w:style>
  <w:style w:type="character" w:customStyle="1" w:styleId="48">
    <w:name w:val="正文缩进2格 Char"/>
    <w:link w:val="47"/>
    <w:qFormat/>
    <w:uiPriority w:val="0"/>
    <w:rPr>
      <w:rFonts w:ascii="仿宋_GB2312" w:hAnsi="宋体" w:eastAsia="仿宋_GB2312" w:cs="Times New Roman"/>
      <w:sz w:val="31"/>
      <w:szCs w:val="28"/>
    </w:rPr>
  </w:style>
  <w:style w:type="paragraph" w:customStyle="1" w:styleId="49">
    <w:name w:val="标题 3.1"/>
    <w:basedOn w:val="5"/>
    <w:link w:val="50"/>
    <w:qFormat/>
    <w:uiPriority w:val="0"/>
    <w:pPr>
      <w:tabs>
        <w:tab w:val="left" w:pos="1440"/>
        <w:tab w:val="left" w:pos="1620"/>
      </w:tabs>
      <w:spacing w:line="600" w:lineRule="exact"/>
    </w:pPr>
    <w:rPr>
      <w:rFonts w:ascii="黑体" w:hAnsi="华文仿宋" w:eastAsia="黑体"/>
      <w:bCs w:val="0"/>
      <w:sz w:val="24"/>
      <w:szCs w:val="24"/>
    </w:rPr>
  </w:style>
  <w:style w:type="character" w:customStyle="1" w:styleId="50">
    <w:name w:val="标题 3.1 Char"/>
    <w:link w:val="49"/>
    <w:qFormat/>
    <w:uiPriority w:val="0"/>
    <w:rPr>
      <w:rFonts w:ascii="黑体" w:hAnsi="华文仿宋" w:eastAsia="黑体" w:cs="Times New Roman"/>
      <w:b/>
      <w:sz w:val="24"/>
      <w:szCs w:val="24"/>
    </w:rPr>
  </w:style>
  <w:style w:type="paragraph" w:customStyle="1" w:styleId="51">
    <w:name w:val="正文缩进4格"/>
    <w:basedOn w:val="47"/>
    <w:qFormat/>
    <w:uiPriority w:val="0"/>
    <w:pPr>
      <w:ind w:left="2" w:firstLine="403" w:firstLineChars="192"/>
    </w:pPr>
    <w:rPr>
      <w:sz w:val="21"/>
      <w:szCs w:val="21"/>
    </w:rPr>
  </w:style>
  <w:style w:type="character" w:customStyle="1" w:styleId="52">
    <w:name w:val="正文缩进 Char"/>
    <w:qFormat/>
    <w:uiPriority w:val="0"/>
    <w:rPr>
      <w:rFonts w:eastAsia="宋体"/>
      <w:lang w:val="en-US" w:eastAsia="zh-CN" w:bidi="ar-SA"/>
    </w:rPr>
  </w:style>
  <w:style w:type="paragraph" w:customStyle="1" w:styleId="53">
    <w:name w:val="保留正文"/>
    <w:basedOn w:val="10"/>
    <w:qFormat/>
    <w:uiPriority w:val="0"/>
    <w:pPr>
      <w:keepNext/>
      <w:spacing w:after="160"/>
    </w:pPr>
    <w:rPr>
      <w:rFonts w:ascii="Times New Roman" w:hAnsi="Times New Roman"/>
    </w:rPr>
  </w:style>
  <w:style w:type="character" w:customStyle="1" w:styleId="54">
    <w:name w:val="正文文本 Char"/>
    <w:link w:val="10"/>
    <w:semiHidden/>
    <w:qFormat/>
    <w:uiPriority w:val="99"/>
    <w:rPr>
      <w:rFonts w:ascii="Calibri" w:hAnsi="Calibri" w:eastAsia="宋体" w:cs="Times New Roman"/>
      <w:szCs w:val="24"/>
    </w:rPr>
  </w:style>
  <w:style w:type="paragraph" w:customStyle="1" w:styleId="55">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56">
    <w:name w:val="Char Char Char Char"/>
    <w:basedOn w:val="1"/>
    <w:qFormat/>
    <w:uiPriority w:val="0"/>
    <w:rPr>
      <w:rFonts w:ascii="Tahoma" w:hAnsi="Tahoma"/>
      <w:sz w:val="24"/>
      <w:szCs w:val="20"/>
    </w:rPr>
  </w:style>
  <w:style w:type="character" w:customStyle="1" w:styleId="57">
    <w:name w:val="标题1"/>
    <w:basedOn w:val="36"/>
    <w:qFormat/>
    <w:uiPriority w:val="0"/>
  </w:style>
  <w:style w:type="character" w:customStyle="1" w:styleId="58">
    <w:name w:val="正文首行缩进 Char"/>
    <w:link w:val="31"/>
    <w:qFormat/>
    <w:uiPriority w:val="0"/>
    <w:rPr>
      <w:rFonts w:ascii="宋体" w:hAnsi="Times New Roman" w:eastAsia="宋体" w:cs="Times New Roman"/>
      <w:szCs w:val="24"/>
    </w:rPr>
  </w:style>
  <w:style w:type="character" w:customStyle="1" w:styleId="59">
    <w:name w:val="纯文本 Char"/>
    <w:link w:val="14"/>
    <w:qFormat/>
    <w:uiPriority w:val="99"/>
    <w:rPr>
      <w:rFonts w:ascii="宋体" w:hAnsi="Courier New" w:eastAsia="宋体"/>
    </w:rPr>
  </w:style>
  <w:style w:type="character" w:customStyle="1" w:styleId="60">
    <w:name w:val="纯文本 Char1"/>
    <w:semiHidden/>
    <w:qFormat/>
    <w:uiPriority w:val="99"/>
    <w:rPr>
      <w:rFonts w:ascii="宋体" w:hAnsi="Courier New" w:eastAsia="宋体" w:cs="Courier New"/>
      <w:szCs w:val="21"/>
    </w:rPr>
  </w:style>
  <w:style w:type="character" w:customStyle="1" w:styleId="61">
    <w:name w:val="正文文本缩进 2 Char"/>
    <w:link w:val="17"/>
    <w:qFormat/>
    <w:uiPriority w:val="99"/>
    <w:rPr>
      <w:rFonts w:ascii="Calibri" w:hAnsi="Calibri" w:eastAsia="宋体" w:cs="Times New Roman"/>
      <w:szCs w:val="24"/>
    </w:rPr>
  </w:style>
  <w:style w:type="character" w:customStyle="1" w:styleId="62">
    <w:name w:val="标题 2 Char1"/>
    <w:qFormat/>
    <w:locked/>
    <w:uiPriority w:val="0"/>
    <w:rPr>
      <w:rFonts w:ascii="Arial" w:hAnsi="Arial" w:eastAsia="黑体"/>
      <w:b/>
      <w:sz w:val="32"/>
      <w:lang w:val="en-US" w:eastAsia="zh-CN" w:bidi="ar-SA"/>
    </w:rPr>
  </w:style>
  <w:style w:type="paragraph" w:customStyle="1" w:styleId="63">
    <w:name w:val="正文无缩进"/>
    <w:basedOn w:val="47"/>
    <w:link w:val="64"/>
    <w:qFormat/>
    <w:uiPriority w:val="0"/>
    <w:pPr>
      <w:ind w:firstLine="0" w:firstLineChars="0"/>
    </w:pPr>
  </w:style>
  <w:style w:type="character" w:customStyle="1" w:styleId="64">
    <w:name w:val="正文无缩进 Char"/>
    <w:link w:val="63"/>
    <w:qFormat/>
    <w:locked/>
    <w:uiPriority w:val="0"/>
    <w:rPr>
      <w:rFonts w:ascii="仿宋_GB2312" w:hAnsi="宋体" w:eastAsia="仿宋_GB2312" w:cs="Times New Roman"/>
      <w:sz w:val="31"/>
      <w:szCs w:val="28"/>
    </w:rPr>
  </w:style>
  <w:style w:type="paragraph" w:customStyle="1" w:styleId="65">
    <w:name w:val="1册标题2"/>
    <w:basedOn w:val="1"/>
    <w:next w:val="1"/>
    <w:qFormat/>
    <w:uiPriority w:val="0"/>
    <w:pPr>
      <w:adjustRightInd w:val="0"/>
      <w:spacing w:beforeLines="50" w:afterLines="50" w:line="300" w:lineRule="auto"/>
      <w:jc w:val="center"/>
      <w:textAlignment w:val="baseline"/>
      <w:outlineLvl w:val="1"/>
    </w:pPr>
    <w:rPr>
      <w:rFonts w:ascii="Arial" w:hAnsi="Arial" w:eastAsia="黑体"/>
      <w:bCs/>
      <w:kern w:val="0"/>
      <w:sz w:val="32"/>
    </w:rPr>
  </w:style>
  <w:style w:type="character" w:customStyle="1" w:styleId="66">
    <w:name w:val="日期 Char"/>
    <w:link w:val="16"/>
    <w:qFormat/>
    <w:uiPriority w:val="0"/>
    <w:rPr>
      <w:rFonts w:ascii="宋体" w:hAnsi="Times New Roman" w:eastAsia="宋体" w:cs="Times New Roman"/>
      <w:sz w:val="28"/>
      <w:szCs w:val="24"/>
    </w:rPr>
  </w:style>
  <w:style w:type="paragraph" w:customStyle="1" w:styleId="67">
    <w:name w:val="TOC 标题1"/>
    <w:basedOn w:val="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68">
    <w:name w:val="批注框文本 Char"/>
    <w:link w:val="18"/>
    <w:semiHidden/>
    <w:qFormat/>
    <w:uiPriority w:val="99"/>
    <w:rPr>
      <w:rFonts w:ascii="Calibri" w:hAnsi="Calibri" w:eastAsia="宋体" w:cs="Times New Roman"/>
      <w:sz w:val="18"/>
      <w:szCs w:val="18"/>
    </w:rPr>
  </w:style>
  <w:style w:type="character" w:customStyle="1" w:styleId="69">
    <w:name w:val="批注文字 Char"/>
    <w:link w:val="9"/>
    <w:semiHidden/>
    <w:qFormat/>
    <w:uiPriority w:val="99"/>
    <w:rPr>
      <w:rFonts w:ascii="Calibri" w:hAnsi="Calibri" w:eastAsia="宋体" w:cs="Times New Roman"/>
      <w:szCs w:val="24"/>
    </w:rPr>
  </w:style>
  <w:style w:type="character" w:customStyle="1" w:styleId="70">
    <w:name w:val="批注主题 Char"/>
    <w:link w:val="30"/>
    <w:semiHidden/>
    <w:qFormat/>
    <w:uiPriority w:val="99"/>
    <w:rPr>
      <w:rFonts w:ascii="Calibri" w:hAnsi="Calibri" w:eastAsia="宋体" w:cs="Times New Roman"/>
      <w:b/>
      <w:bCs/>
      <w:szCs w:val="24"/>
    </w:rPr>
  </w:style>
  <w:style w:type="paragraph" w:customStyle="1" w:styleId="71">
    <w:name w:val="Char Char"/>
    <w:basedOn w:val="1"/>
    <w:qFormat/>
    <w:uiPriority w:val="0"/>
    <w:pPr>
      <w:adjustRightInd w:val="0"/>
      <w:spacing w:line="360" w:lineRule="atLeast"/>
    </w:pPr>
    <w:rPr>
      <w:rFonts w:ascii="Times New Roman" w:hAnsi="Times New Roman"/>
    </w:rPr>
  </w:style>
  <w:style w:type="paragraph" w:customStyle="1" w:styleId="72">
    <w:name w:val="Char Char Char Char Char Char Char Char Char Char Char Char Char Char Char Char Char Char Char Char Char Char Char Char2 Char"/>
    <w:basedOn w:val="1"/>
    <w:qFormat/>
    <w:uiPriority w:val="0"/>
    <w:pPr>
      <w:widowControl/>
      <w:spacing w:after="160" w:line="240" w:lineRule="exact"/>
      <w:jc w:val="center"/>
    </w:pPr>
    <w:rPr>
      <w:rFonts w:ascii="黑体" w:hAnsi="Verdana" w:eastAsia="黑体"/>
      <w:kern w:val="0"/>
      <w:sz w:val="32"/>
      <w:szCs w:val="32"/>
      <w:lang w:eastAsia="en-US"/>
    </w:rPr>
  </w:style>
  <w:style w:type="paragraph" w:customStyle="1" w:styleId="73">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4">
    <w:name w:val="Blockquote"/>
    <w:basedOn w:val="1"/>
    <w:qFormat/>
    <w:uiPriority w:val="0"/>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75">
    <w:name w:val="Char1"/>
    <w:basedOn w:val="1"/>
    <w:qFormat/>
    <w:uiPriority w:val="0"/>
    <w:pPr>
      <w:tabs>
        <w:tab w:val="left" w:pos="360"/>
      </w:tabs>
    </w:pPr>
    <w:rPr>
      <w:rFonts w:ascii="Times New Roman" w:hAnsi="Times New Roman"/>
      <w:sz w:val="24"/>
    </w:rPr>
  </w:style>
  <w:style w:type="character" w:customStyle="1" w:styleId="76">
    <w:name w:val="标题 Char"/>
    <w:link w:val="29"/>
    <w:qFormat/>
    <w:uiPriority w:val="0"/>
    <w:rPr>
      <w:rFonts w:ascii="Cambria" w:hAnsi="Cambria" w:eastAsia="宋体" w:cs="Times New Roman"/>
      <w:b/>
      <w:bCs/>
      <w:sz w:val="32"/>
      <w:szCs w:val="32"/>
    </w:rPr>
  </w:style>
  <w:style w:type="character" w:customStyle="1" w:styleId="77">
    <w:name w:val="副标题 Char"/>
    <w:link w:val="23"/>
    <w:qFormat/>
    <w:uiPriority w:val="0"/>
    <w:rPr>
      <w:rFonts w:ascii="Cambria" w:hAnsi="Cambria" w:eastAsia="宋体" w:cs="Times New Roman"/>
      <w:b/>
      <w:bCs/>
      <w:kern w:val="28"/>
      <w:sz w:val="32"/>
      <w:szCs w:val="32"/>
    </w:rPr>
  </w:style>
  <w:style w:type="paragraph" w:customStyle="1" w:styleId="78">
    <w:name w:val="列出段落2"/>
    <w:basedOn w:val="1"/>
    <w:unhideWhenUsed/>
    <w:qFormat/>
    <w:uiPriority w:val="0"/>
    <w:pPr>
      <w:ind w:firstLine="420" w:firstLineChars="200"/>
    </w:pPr>
  </w:style>
  <w:style w:type="paragraph" w:customStyle="1" w:styleId="79">
    <w:name w:val="列出段落3"/>
    <w:basedOn w:val="1"/>
    <w:unhideWhenUsed/>
    <w:qFormat/>
    <w:uiPriority w:val="99"/>
    <w:pPr>
      <w:ind w:firstLine="420" w:firstLineChars="200"/>
    </w:pPr>
  </w:style>
  <w:style w:type="paragraph" w:customStyle="1" w:styleId="80">
    <w:name w:val="正文-1"/>
    <w:basedOn w:val="1"/>
    <w:qFormat/>
    <w:uiPriority w:val="0"/>
    <w:rPr>
      <w:rFonts w:cs="黑体"/>
      <w:szCs w:val="22"/>
    </w:rPr>
  </w:style>
  <w:style w:type="paragraph" w:customStyle="1" w:styleId="81">
    <w:name w:val="p0"/>
    <w:basedOn w:val="1"/>
    <w:qFormat/>
    <w:uiPriority w:val="0"/>
    <w:pPr>
      <w:widowControl/>
    </w:pPr>
    <w:rPr>
      <w:rFonts w:ascii="Times New Roman" w:hAnsi="Times New Roman"/>
      <w:kern w:val="0"/>
      <w:szCs w:val="21"/>
    </w:rPr>
  </w:style>
  <w:style w:type="paragraph" w:styleId="82">
    <w:name w:val="List Paragraph"/>
    <w:basedOn w:val="1"/>
    <w:link w:val="83"/>
    <w:unhideWhenUsed/>
    <w:qFormat/>
    <w:uiPriority w:val="34"/>
    <w:pPr>
      <w:ind w:firstLine="420" w:firstLineChars="200"/>
    </w:pPr>
  </w:style>
  <w:style w:type="character" w:customStyle="1" w:styleId="83">
    <w:name w:val="列出段落 Char"/>
    <w:link w:val="82"/>
    <w:qFormat/>
    <w:uiPriority w:val="0"/>
    <w:rPr>
      <w:rFonts w:ascii="Calibri" w:hAnsi="Calibri"/>
      <w:kern w:val="2"/>
      <w:sz w:val="21"/>
      <w:szCs w:val="24"/>
    </w:rPr>
  </w:style>
  <w:style w:type="character" w:customStyle="1" w:styleId="84">
    <w:name w:val="普通(网站) Char"/>
    <w:link w:val="28"/>
    <w:qFormat/>
    <w:locked/>
    <w:uiPriority w:val="0"/>
    <w:rPr>
      <w:rFonts w:ascii="宋体" w:hAnsi="宋体"/>
      <w:sz w:val="15"/>
      <w:szCs w:val="15"/>
    </w:rPr>
  </w:style>
  <w:style w:type="paragraph" w:customStyle="1" w:styleId="85">
    <w:name w:val="首行缩进"/>
    <w:basedOn w:val="1"/>
    <w:qFormat/>
    <w:uiPriority w:val="0"/>
    <w:pPr>
      <w:ind w:firstLine="480" w:firstLineChars="200"/>
    </w:pPr>
    <w:rPr>
      <w:lang w:val="zh-CN"/>
    </w:rPr>
  </w:style>
  <w:style w:type="character" w:customStyle="1" w:styleId="86">
    <w:name w:val="font31"/>
    <w:basedOn w:val="36"/>
    <w:qFormat/>
    <w:uiPriority w:val="0"/>
    <w:rPr>
      <w:rFonts w:hint="default" w:ascii="仿宋_GB2312" w:eastAsia="仿宋_GB2312" w:cs="仿宋_GB2312"/>
      <w:color w:val="FF0000"/>
      <w:sz w:val="20"/>
      <w:szCs w:val="20"/>
      <w:u w:val="none"/>
    </w:rPr>
  </w:style>
  <w:style w:type="paragraph" w:customStyle="1" w:styleId="87">
    <w:name w:val="2级标题"/>
    <w:basedOn w:val="1"/>
    <w:qFormat/>
    <w:uiPriority w:val="0"/>
    <w:pPr>
      <w:ind w:right="26"/>
    </w:pPr>
    <w:rPr>
      <w:rFonts w:ascii="宋体" w:hAnsi="宋体"/>
      <w:szCs w:val="20"/>
    </w:rPr>
  </w:style>
  <w:style w:type="character" w:customStyle="1" w:styleId="88">
    <w:name w:val="font01"/>
    <w:basedOn w:val="36"/>
    <w:qFormat/>
    <w:uiPriority w:val="0"/>
    <w:rPr>
      <w:rFonts w:hint="eastAsia" w:ascii="宋体" w:hAnsi="宋体" w:eastAsia="宋体" w:cs="宋体"/>
      <w:b/>
      <w:color w:val="000000"/>
      <w:sz w:val="32"/>
      <w:szCs w:val="32"/>
      <w:u w:val="single"/>
    </w:rPr>
  </w:style>
  <w:style w:type="character" w:customStyle="1" w:styleId="89">
    <w:name w:val="font41"/>
    <w:basedOn w:val="36"/>
    <w:qFormat/>
    <w:uiPriority w:val="0"/>
    <w:rPr>
      <w:rFonts w:hint="eastAsia" w:ascii="宋体" w:hAnsi="宋体" w:eastAsia="宋体" w:cs="宋体"/>
      <w:b/>
      <w:color w:val="000000"/>
      <w:sz w:val="32"/>
      <w:szCs w:val="32"/>
      <w:u w:val="none"/>
    </w:rPr>
  </w:style>
  <w:style w:type="paragraph" w:customStyle="1" w:styleId="90">
    <w:name w:val="表格文字"/>
    <w:basedOn w:val="1"/>
    <w:qFormat/>
    <w:uiPriority w:val="0"/>
    <w:pPr>
      <w:spacing w:before="25" w:after="25" w:line="300" w:lineRule="auto"/>
    </w:pPr>
    <w:rPr>
      <w:rFonts w:ascii="Times" w:hAnsi="Times"/>
      <w:spacing w:val="10"/>
      <w:kern w:val="0"/>
      <w:sz w:val="24"/>
      <w:szCs w:val="20"/>
    </w:rPr>
  </w:style>
  <w:style w:type="paragraph" w:customStyle="1" w:styleId="91">
    <w:name w:val="BodyText"/>
    <w:basedOn w:val="1"/>
    <w:next w:val="29"/>
    <w:qFormat/>
    <w:uiPriority w:val="0"/>
    <w:pPr>
      <w:spacing w:before="100" w:beforeAutospacing="1" w:after="120"/>
    </w:pPr>
    <w:rPr>
      <w:szCs w:val="21"/>
    </w:rPr>
  </w:style>
  <w:style w:type="paragraph" w:customStyle="1" w:styleId="92">
    <w:name w:val="Table Paragraph"/>
    <w:basedOn w:val="1"/>
    <w:qFormat/>
    <w:uiPriority w:val="1"/>
    <w:pPr>
      <w:autoSpaceDE w:val="0"/>
      <w:autoSpaceDN w:val="0"/>
      <w:spacing w:before="9" w:line="297" w:lineRule="exact"/>
      <w:ind w:left="109"/>
      <w:jc w:val="left"/>
    </w:pPr>
    <w:rPr>
      <w:rFonts w:ascii="宋体" w:hAnsi="宋体" w:cs="宋体"/>
      <w:kern w:val="0"/>
      <w:sz w:val="22"/>
      <w:szCs w:val="22"/>
      <w:lang w:val="zh-CN" w:bidi="zh-CN"/>
    </w:rPr>
  </w:style>
  <w:style w:type="paragraph" w:customStyle="1" w:styleId="93">
    <w:name w:val="正文1"/>
    <w:basedOn w:val="1"/>
    <w:qFormat/>
    <w:uiPriority w:val="0"/>
    <w:pPr>
      <w:tabs>
        <w:tab w:val="center" w:pos="1440"/>
        <w:tab w:val="left" w:pos="5720"/>
      </w:tabs>
      <w:spacing w:line="360" w:lineRule="auto"/>
      <w:ind w:firstLine="480" w:firstLineChars="200"/>
      <w:jc w:val="left"/>
    </w:pPr>
    <w:rPr>
      <w:rFonts w:ascii="宋体" w:hAnsi="Times New Roman"/>
      <w:szCs w:val="20"/>
    </w:rPr>
  </w:style>
  <w:style w:type="paragraph" w:customStyle="1" w:styleId="94">
    <w:name w:val="李娟段落"/>
    <w:basedOn w:val="1"/>
    <w:qFormat/>
    <w:uiPriority w:val="0"/>
    <w:pPr>
      <w:widowControl/>
      <w:spacing w:before="60" w:after="60" w:line="360" w:lineRule="auto"/>
      <w:ind w:firstLine="480" w:firstLineChars="200"/>
      <w:jc w:val="left"/>
    </w:pPr>
    <w:rPr>
      <w:rFonts w:ascii="宋体" w:hAnsi="宋体"/>
      <w:kern w:val="0"/>
    </w:rPr>
  </w:style>
  <w:style w:type="character" w:customStyle="1" w:styleId="95">
    <w:name w:val="NormalCharacter"/>
    <w:semiHidden/>
    <w:qFormat/>
    <w:uiPriority w:val="0"/>
  </w:style>
  <w:style w:type="paragraph" w:customStyle="1" w:styleId="96">
    <w:name w:val="无间隔1"/>
    <w:qFormat/>
    <w:uiPriority w:val="1"/>
    <w:pPr>
      <w:widowControl w:val="0"/>
      <w:jc w:val="both"/>
    </w:pPr>
    <w:rPr>
      <w:rFonts w:ascii="Times New Roman" w:hAnsi="Times New Roman" w:eastAsia="宋体" w:cs="Times New Roman"/>
      <w:kern w:val="2"/>
      <w:sz w:val="24"/>
      <w:lang w:val="en-US" w:eastAsia="zh-CN" w:bidi="ar-SA"/>
    </w:rPr>
  </w:style>
  <w:style w:type="paragraph" w:customStyle="1" w:styleId="97">
    <w:name w:val="WPSOffice手动目录 1"/>
    <w:qFormat/>
    <w:uiPriority w:val="0"/>
    <w:rPr>
      <w:rFonts w:ascii="Times New Roman" w:hAnsi="Times New Roman" w:eastAsia="宋体" w:cs="Times New Roman"/>
      <w:lang w:val="en-US" w:eastAsia="zh-CN" w:bidi="ar-SA"/>
    </w:rPr>
  </w:style>
  <w:style w:type="paragraph" w:customStyle="1" w:styleId="98">
    <w:name w:val="标准文本"/>
    <w:basedOn w:val="1"/>
    <w:link w:val="99"/>
    <w:qFormat/>
    <w:uiPriority w:val="0"/>
    <w:pPr>
      <w:spacing w:after="160" w:line="360" w:lineRule="auto"/>
      <w:ind w:firstLine="480" w:firstLineChars="200"/>
    </w:pPr>
    <w:rPr>
      <w:rFonts w:ascii="Times New Roman" w:hAnsi="Times New Roman" w:cs="宋体"/>
      <w:sz w:val="24"/>
      <w:szCs w:val="20"/>
    </w:rPr>
  </w:style>
  <w:style w:type="character" w:customStyle="1" w:styleId="99">
    <w:name w:val="标准文本 Char"/>
    <w:link w:val="98"/>
    <w:qFormat/>
    <w:uiPriority w:val="0"/>
    <w:rPr>
      <w:rFonts w:cs="宋体"/>
      <w:kern w:val="2"/>
      <w:sz w:val="24"/>
    </w:rPr>
  </w:style>
  <w:style w:type="character" w:customStyle="1" w:styleId="100">
    <w:name w:val="HTML 预设格式 Char"/>
    <w:basedOn w:val="36"/>
    <w:link w:val="27"/>
    <w:qFormat/>
    <w:uiPriority w:val="0"/>
    <w:rPr>
      <w:rFonts w:ascii="黑体" w:hAnsi="Courier New" w:eastAsia="黑体"/>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1512;&#21516;&#27861;&#21153;&#37096;\2018-2021&#31449;&#22330;&#20445;&#27905;\&#25307;&#26631;&#36164;&#26009;\&#19996;&#33694;&#24052;&#22763;&#26377;&#38480;&#20844;&#21496;2018-2021&#24180;&#20445;&#27905;&#26381;&#21153;&#37319;&#36141;&#39033;&#30446;&#37319;&#36141;&#25991;&#2021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04129A-03A1-4F41-85CD-468F2FB2AFFC}">
  <ds:schemaRefs/>
</ds:datastoreItem>
</file>

<file path=docProps/app.xml><?xml version="1.0" encoding="utf-8"?>
<Properties xmlns="http://schemas.openxmlformats.org/officeDocument/2006/extended-properties" xmlns:vt="http://schemas.openxmlformats.org/officeDocument/2006/docPropsVTypes">
  <Template>东莞巴士有限公司2018-2021年保洁服务采购项目采购文件</Template>
  <Company>Microsoft</Company>
  <Pages>120</Pages>
  <Words>53723</Words>
  <Characters>55618</Characters>
  <Lines>483</Lines>
  <Paragraphs>136</Paragraphs>
  <TotalTime>0</TotalTime>
  <ScaleCrop>false</ScaleCrop>
  <LinksUpToDate>false</LinksUpToDate>
  <CharactersWithSpaces>58207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2022-08-04T09:46:00Z</dcterms:created>
  <dc:creator>周玉兰</dc:creator>
  <cp:lastModifiedBy>W.lin</cp:lastModifiedBy>
  <cp:lastPrinted>2022-04-14T06:19:00Z</cp:lastPrinted>
  <dcterms:modified xsi:type="dcterms:W3CDTF">2022-08-08T01:47:18Z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7A635D8AD46E46A2A3532D58E91AB963</vt:lpwstr>
  </property>
</Properties>
</file>