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after="60" w:line="1200" w:lineRule="exact"/>
        <w:ind w:right="0" w:rightChars="0"/>
        <w:jc w:val="center"/>
        <w:textAlignment w:val="auto"/>
        <w:rPr>
          <w:rFonts w:hint="eastAsia" w:ascii="宋体" w:hAnsi="宋体"/>
          <w:b/>
          <w:bCs/>
          <w:color w:val="auto"/>
          <w:sz w:val="60"/>
          <w:szCs w:val="60"/>
          <w:highlight w:val="none"/>
          <w:lang w:eastAsia="zh-CN"/>
        </w:rPr>
      </w:pPr>
      <w:bookmarkStart w:id="0" w:name="_Hlk1990161"/>
      <w:r>
        <w:rPr>
          <w:rFonts w:hint="eastAsia" w:ascii="宋体" w:hAnsi="宋体"/>
          <w:b/>
          <w:bCs/>
          <w:color w:val="auto"/>
          <w:sz w:val="60"/>
          <w:szCs w:val="60"/>
          <w:highlight w:val="none"/>
          <w:lang w:eastAsia="zh-CN"/>
        </w:rPr>
        <w:t>东莞交投集团客服呼叫中心运营</w:t>
      </w:r>
    </w:p>
    <w:p>
      <w:pPr>
        <w:keepNext w:val="0"/>
        <w:keepLines w:val="0"/>
        <w:pageBreakBefore w:val="0"/>
        <w:widowControl w:val="0"/>
        <w:kinsoku/>
        <w:wordWrap/>
        <w:overflowPunct/>
        <w:topLinePunct w:val="0"/>
        <w:autoSpaceDE/>
        <w:autoSpaceDN/>
        <w:bidi w:val="0"/>
        <w:adjustRightInd w:val="0"/>
        <w:snapToGrid w:val="0"/>
        <w:spacing w:after="60" w:line="1200" w:lineRule="exact"/>
        <w:ind w:right="0" w:rightChars="0"/>
        <w:jc w:val="center"/>
        <w:textAlignment w:val="auto"/>
        <w:rPr>
          <w:rFonts w:hint="eastAsia" w:ascii="宋体" w:hAnsi="宋体" w:eastAsia="宋体"/>
          <w:b/>
          <w:bCs/>
          <w:color w:val="auto"/>
          <w:sz w:val="60"/>
          <w:szCs w:val="60"/>
          <w:highlight w:val="none"/>
          <w:lang w:eastAsia="zh-CN"/>
        </w:rPr>
      </w:pPr>
      <w:r>
        <w:rPr>
          <w:rFonts w:hint="eastAsia" w:ascii="宋体" w:hAnsi="宋体"/>
          <w:b/>
          <w:bCs/>
          <w:color w:val="auto"/>
          <w:sz w:val="60"/>
          <w:szCs w:val="60"/>
          <w:highlight w:val="none"/>
          <w:lang w:eastAsia="zh-CN"/>
        </w:rPr>
        <w:t>服务外包项目</w:t>
      </w:r>
    </w:p>
    <w:bookmarkEnd w:id="0"/>
    <w:p>
      <w:pPr>
        <w:jc w:val="center"/>
        <w:rPr>
          <w:rFonts w:ascii="Times New Roman" w:hAnsi="Times New Roman"/>
          <w:b/>
          <w:bCs/>
          <w:color w:val="auto"/>
          <w:sz w:val="84"/>
          <w:szCs w:val="84"/>
          <w:highlight w:val="none"/>
        </w:rPr>
      </w:pPr>
    </w:p>
    <w:p>
      <w:pPr>
        <w:tabs>
          <w:tab w:val="left" w:pos="6015"/>
        </w:tabs>
        <w:spacing w:after="312" w:afterLines="100"/>
        <w:jc w:val="center"/>
        <w:rPr>
          <w:rFonts w:ascii="宋体" w:hAnsi="宋体"/>
          <w:b/>
          <w:bCs/>
          <w:color w:val="auto"/>
          <w:spacing w:val="20"/>
          <w:sz w:val="52"/>
          <w:szCs w:val="52"/>
          <w:highlight w:val="none"/>
        </w:rPr>
      </w:pPr>
      <w:r>
        <w:rPr>
          <w:rFonts w:ascii="宋体" w:hAnsi="宋体"/>
          <w:b/>
          <w:bCs/>
          <w:color w:val="auto"/>
          <w:spacing w:val="20"/>
          <w:sz w:val="52"/>
          <w:szCs w:val="52"/>
          <w:highlight w:val="none"/>
        </w:rPr>
        <w:t>招标文件</w:t>
      </w:r>
    </w:p>
    <w:p>
      <w:pPr>
        <w:snapToGrid w:val="0"/>
        <w:spacing w:line="360" w:lineRule="auto"/>
        <w:ind w:firstLine="921" w:firstLineChars="296"/>
        <w:jc w:val="left"/>
        <w:rPr>
          <w:rFonts w:ascii="宋体" w:hAnsi="宋体"/>
          <w:b/>
          <w:color w:val="auto"/>
          <w:sz w:val="31"/>
          <w:szCs w:val="18"/>
          <w:highlight w:val="none"/>
        </w:rPr>
      </w:pPr>
    </w:p>
    <w:p>
      <w:pPr>
        <w:snapToGrid w:val="0"/>
        <w:spacing w:line="360" w:lineRule="auto"/>
        <w:ind w:firstLine="921" w:firstLineChars="296"/>
        <w:jc w:val="left"/>
        <w:rPr>
          <w:rFonts w:ascii="宋体" w:hAnsi="宋体"/>
          <w:b/>
          <w:color w:val="auto"/>
          <w:sz w:val="31"/>
          <w:szCs w:val="18"/>
          <w:highlight w:val="none"/>
        </w:rPr>
      </w:pPr>
    </w:p>
    <w:p>
      <w:pPr>
        <w:snapToGrid w:val="0"/>
        <w:spacing w:line="360" w:lineRule="auto"/>
        <w:ind w:firstLine="921" w:firstLineChars="296"/>
        <w:jc w:val="left"/>
        <w:rPr>
          <w:rFonts w:ascii="宋体" w:hAnsi="宋体"/>
          <w:b/>
          <w:color w:val="auto"/>
          <w:sz w:val="31"/>
          <w:szCs w:val="18"/>
          <w:highlight w:val="none"/>
        </w:rPr>
      </w:pPr>
    </w:p>
    <w:p>
      <w:pPr>
        <w:snapToGrid w:val="0"/>
        <w:spacing w:line="360" w:lineRule="auto"/>
        <w:ind w:firstLine="921" w:firstLineChars="296"/>
        <w:jc w:val="left"/>
        <w:rPr>
          <w:rFonts w:ascii="宋体" w:hAnsi="宋体"/>
          <w:b/>
          <w:color w:val="auto"/>
          <w:sz w:val="31"/>
          <w:szCs w:val="18"/>
          <w:highlight w:val="none"/>
        </w:rPr>
      </w:pPr>
    </w:p>
    <w:p>
      <w:pPr>
        <w:snapToGrid w:val="0"/>
        <w:spacing w:line="360" w:lineRule="auto"/>
        <w:jc w:val="left"/>
        <w:rPr>
          <w:rFonts w:ascii="宋体" w:hAnsi="宋体"/>
          <w:b/>
          <w:color w:val="auto"/>
          <w:sz w:val="31"/>
          <w:szCs w:val="18"/>
          <w:highlight w:val="none"/>
        </w:rPr>
      </w:pPr>
    </w:p>
    <w:p>
      <w:pPr>
        <w:snapToGrid w:val="0"/>
        <w:spacing w:line="360" w:lineRule="auto"/>
        <w:ind w:firstLine="921" w:firstLineChars="296"/>
        <w:jc w:val="left"/>
        <w:rPr>
          <w:rFonts w:ascii="宋体" w:hAnsi="宋体"/>
          <w:b/>
          <w:color w:val="auto"/>
          <w:sz w:val="31"/>
          <w:szCs w:val="18"/>
          <w:highlight w:val="none"/>
        </w:rPr>
      </w:pPr>
    </w:p>
    <w:p>
      <w:pPr>
        <w:snapToGrid w:val="0"/>
        <w:spacing w:line="360" w:lineRule="auto"/>
        <w:ind w:firstLine="921" w:firstLineChars="296"/>
        <w:jc w:val="left"/>
        <w:rPr>
          <w:rFonts w:ascii="宋体" w:hAnsi="宋体"/>
          <w:b/>
          <w:color w:val="auto"/>
          <w:sz w:val="31"/>
          <w:szCs w:val="18"/>
          <w:highlight w:val="none"/>
        </w:rPr>
      </w:pPr>
    </w:p>
    <w:p>
      <w:pPr>
        <w:snapToGrid w:val="0"/>
        <w:spacing w:line="360" w:lineRule="auto"/>
        <w:ind w:firstLine="921" w:firstLineChars="296"/>
        <w:jc w:val="left"/>
        <w:rPr>
          <w:rFonts w:hint="eastAsia" w:ascii="宋体" w:hAnsi="宋体" w:eastAsia="宋体"/>
          <w:b/>
          <w:bCs/>
          <w:color w:val="auto"/>
          <w:sz w:val="31"/>
          <w:szCs w:val="18"/>
          <w:highlight w:val="none"/>
          <w:u w:val="single"/>
          <w:lang w:eastAsia="zh-CN"/>
        </w:rPr>
      </w:pPr>
      <w:r>
        <w:rPr>
          <w:rFonts w:hint="eastAsia" w:ascii="宋体" w:hAnsi="宋体"/>
          <w:b/>
          <w:color w:val="auto"/>
          <w:sz w:val="31"/>
          <w:szCs w:val="18"/>
          <w:highlight w:val="none"/>
        </w:rPr>
        <w:t>项目编号：</w:t>
      </w:r>
      <w:r>
        <w:rPr>
          <w:rFonts w:hint="eastAsia" w:ascii="宋体" w:hAnsi="宋体"/>
          <w:b/>
          <w:color w:val="auto"/>
          <w:sz w:val="31"/>
          <w:szCs w:val="18"/>
          <w:highlight w:val="none"/>
          <w:u w:val="single"/>
          <w:lang w:eastAsia="zh-CN"/>
        </w:rPr>
        <w:t>JT-CG2021005</w:t>
      </w:r>
    </w:p>
    <w:p>
      <w:pPr>
        <w:snapToGrid w:val="0"/>
        <w:spacing w:line="360" w:lineRule="auto"/>
        <w:ind w:firstLine="921" w:firstLineChars="296"/>
        <w:jc w:val="left"/>
        <w:rPr>
          <w:rFonts w:ascii="宋体" w:hAnsi="宋体"/>
          <w:b/>
          <w:bCs/>
          <w:color w:val="auto"/>
          <w:sz w:val="31"/>
          <w:szCs w:val="18"/>
          <w:highlight w:val="none"/>
          <w:u w:val="single"/>
        </w:rPr>
      </w:pPr>
      <w:r>
        <w:rPr>
          <w:rFonts w:hint="eastAsia" w:ascii="宋体" w:hAnsi="宋体"/>
          <w:b/>
          <w:color w:val="auto"/>
          <w:sz w:val="31"/>
          <w:szCs w:val="18"/>
          <w:highlight w:val="none"/>
        </w:rPr>
        <w:t>招标</w:t>
      </w:r>
      <w:r>
        <w:rPr>
          <w:rFonts w:ascii="宋体" w:hAnsi="宋体"/>
          <w:b/>
          <w:color w:val="auto"/>
          <w:sz w:val="31"/>
          <w:szCs w:val="18"/>
          <w:highlight w:val="none"/>
        </w:rPr>
        <w:t>单位：</w:t>
      </w:r>
      <w:r>
        <w:rPr>
          <w:rFonts w:hint="eastAsia" w:ascii="宋体" w:hAnsi="宋体"/>
          <w:b/>
          <w:bCs/>
          <w:color w:val="auto"/>
          <w:sz w:val="31"/>
          <w:szCs w:val="18"/>
          <w:highlight w:val="none"/>
          <w:u w:val="single"/>
        </w:rPr>
        <w:t>东莞市交通投资集团有限公司</w:t>
      </w:r>
    </w:p>
    <w:p>
      <w:pPr>
        <w:snapToGrid w:val="0"/>
        <w:spacing w:line="360" w:lineRule="auto"/>
        <w:ind w:firstLine="934" w:firstLineChars="300"/>
        <w:rPr>
          <w:rFonts w:hint="eastAsia" w:ascii="宋体" w:hAnsi="宋体" w:eastAsia="宋体"/>
          <w:b/>
          <w:color w:val="auto"/>
          <w:sz w:val="31"/>
          <w:szCs w:val="18"/>
          <w:highlight w:val="none"/>
          <w:u w:val="single"/>
          <w:lang w:eastAsia="zh-CN"/>
        </w:rPr>
      </w:pPr>
      <w:r>
        <w:rPr>
          <w:rFonts w:hint="eastAsia" w:ascii="宋体" w:hAnsi="宋体"/>
          <w:b/>
          <w:color w:val="auto"/>
          <w:sz w:val="31"/>
          <w:szCs w:val="18"/>
          <w:highlight w:val="none"/>
        </w:rPr>
        <w:t>招标</w:t>
      </w:r>
      <w:r>
        <w:rPr>
          <w:rFonts w:ascii="宋体" w:hAnsi="宋体"/>
          <w:b/>
          <w:color w:val="auto"/>
          <w:sz w:val="31"/>
          <w:szCs w:val="18"/>
          <w:highlight w:val="none"/>
        </w:rPr>
        <w:t>代理机构：</w:t>
      </w:r>
      <w:r>
        <w:rPr>
          <w:rFonts w:hint="eastAsia" w:ascii="宋体" w:hAnsi="宋体"/>
          <w:b/>
          <w:color w:val="auto"/>
          <w:sz w:val="31"/>
          <w:szCs w:val="18"/>
          <w:highlight w:val="none"/>
          <w:u w:val="single"/>
          <w:lang w:eastAsia="zh-CN"/>
        </w:rPr>
        <w:t>广东中凯工程管理咨询有限公司</w:t>
      </w:r>
    </w:p>
    <w:p>
      <w:pPr>
        <w:snapToGrid w:val="0"/>
        <w:spacing w:line="360" w:lineRule="auto"/>
        <w:ind w:firstLine="934" w:firstLineChars="300"/>
        <w:rPr>
          <w:rFonts w:ascii="宋体" w:hAnsi="宋体"/>
          <w:b/>
          <w:bCs/>
          <w:color w:val="auto"/>
          <w:sz w:val="31"/>
          <w:szCs w:val="18"/>
          <w:highlight w:val="none"/>
          <w:u w:val="single"/>
        </w:rPr>
      </w:pPr>
      <w:r>
        <w:rPr>
          <w:rFonts w:hint="eastAsia" w:ascii="宋体" w:hAnsi="宋体"/>
          <w:b/>
          <w:bCs/>
          <w:color w:val="auto"/>
          <w:sz w:val="31"/>
          <w:szCs w:val="18"/>
          <w:highlight w:val="none"/>
        </w:rPr>
        <w:t>监督单位：</w:t>
      </w:r>
      <w:bookmarkStart w:id="1" w:name="_Hlk1990192"/>
      <w:r>
        <w:rPr>
          <w:rFonts w:hint="eastAsia" w:ascii="宋体" w:hAnsi="宋体"/>
          <w:b/>
          <w:bCs/>
          <w:color w:val="auto"/>
          <w:sz w:val="31"/>
          <w:szCs w:val="18"/>
          <w:highlight w:val="none"/>
        </w:rPr>
        <w:t>东莞市交通投资集团有限公司纪检监察部</w:t>
      </w:r>
      <w:bookmarkEnd w:id="1"/>
    </w:p>
    <w:p>
      <w:pPr>
        <w:spacing w:line="600" w:lineRule="exact"/>
        <w:jc w:val="center"/>
        <w:rPr>
          <w:rFonts w:hint="eastAsia" w:ascii="Times New Roman" w:hAnsi="Times New Roman"/>
          <w:b/>
          <w:bCs/>
          <w:color w:val="auto"/>
          <w:spacing w:val="26"/>
          <w:sz w:val="31"/>
          <w:highlight w:val="none"/>
          <w:lang w:val="en-US" w:eastAsia="zh-CN"/>
        </w:rPr>
      </w:pPr>
    </w:p>
    <w:p>
      <w:pPr>
        <w:spacing w:line="600" w:lineRule="exact"/>
        <w:jc w:val="center"/>
        <w:rPr>
          <w:rFonts w:ascii="Times New Roman" w:hAnsi="Times New Roman"/>
          <w:b/>
          <w:bCs/>
          <w:color w:val="auto"/>
          <w:spacing w:val="26"/>
          <w:sz w:val="31"/>
          <w:highlight w:val="none"/>
        </w:rPr>
      </w:pPr>
      <w:r>
        <w:rPr>
          <w:rFonts w:hint="eastAsia" w:ascii="Times New Roman" w:hAnsi="Times New Roman"/>
          <w:b/>
          <w:bCs/>
          <w:color w:val="auto"/>
          <w:spacing w:val="26"/>
          <w:sz w:val="31"/>
          <w:highlight w:val="none"/>
          <w:lang w:val="en-US" w:eastAsia="zh-CN"/>
        </w:rPr>
        <w:t>2021</w:t>
      </w:r>
      <w:r>
        <w:rPr>
          <w:rFonts w:ascii="Times New Roman" w:hAnsi="Times New Roman"/>
          <w:b/>
          <w:bCs/>
          <w:color w:val="auto"/>
          <w:spacing w:val="26"/>
          <w:sz w:val="31"/>
          <w:highlight w:val="none"/>
        </w:rPr>
        <w:t>年</w:t>
      </w:r>
      <w:r>
        <w:rPr>
          <w:rFonts w:hint="eastAsia" w:ascii="Times New Roman" w:hAnsi="Times New Roman"/>
          <w:b/>
          <w:bCs/>
          <w:color w:val="auto"/>
          <w:spacing w:val="26"/>
          <w:sz w:val="31"/>
          <w:highlight w:val="none"/>
          <w:lang w:val="en-US" w:eastAsia="zh-CN"/>
        </w:rPr>
        <w:t>02</w:t>
      </w:r>
      <w:r>
        <w:rPr>
          <w:rFonts w:ascii="Times New Roman" w:hAnsi="Times New Roman"/>
          <w:b/>
          <w:bCs/>
          <w:color w:val="auto"/>
          <w:spacing w:val="26"/>
          <w:sz w:val="31"/>
          <w:highlight w:val="none"/>
        </w:rPr>
        <w:t>月</w:t>
      </w:r>
      <w:r>
        <w:rPr>
          <w:rFonts w:ascii="Times New Roman" w:hAnsi="Times New Roman" w:eastAsiaTheme="minorEastAsia"/>
          <w:b/>
          <w:bCs/>
          <w:color w:val="auto"/>
          <w:sz w:val="32"/>
          <w:szCs w:val="32"/>
          <w:highlight w:val="none"/>
        </w:rPr>
        <w:br w:type="page"/>
      </w:r>
    </w:p>
    <w:sdt>
      <w:sdtPr>
        <w:rPr>
          <w:rFonts w:ascii="Times New Roman" w:hAnsi="Times New Roman" w:eastAsia="宋体" w:cs="Times New Roman"/>
          <w:b w:val="0"/>
          <w:bCs w:val="0"/>
          <w:color w:val="auto"/>
          <w:kern w:val="2"/>
          <w:sz w:val="21"/>
          <w:szCs w:val="24"/>
          <w:highlight w:val="none"/>
          <w:lang w:val="zh-CN"/>
        </w:rPr>
        <w:id w:val="786984627"/>
      </w:sdtPr>
      <w:sdtEndPr>
        <w:rPr>
          <w:rFonts w:ascii="宋体" w:hAnsi="宋体" w:eastAsia="宋体" w:cs="Times New Roman"/>
          <w:b w:val="0"/>
          <w:bCs w:val="0"/>
          <w:color w:val="auto"/>
          <w:kern w:val="2"/>
          <w:sz w:val="22"/>
          <w:szCs w:val="22"/>
          <w:highlight w:val="none"/>
          <w:lang w:val="en-US"/>
        </w:rPr>
      </w:sdtEndPr>
      <w:sdtContent>
        <w:p>
          <w:pPr>
            <w:pStyle w:val="87"/>
            <w:tabs>
              <w:tab w:val="center" w:pos="4575"/>
              <w:tab w:val="left" w:pos="6390"/>
            </w:tabs>
            <w:spacing w:line="360" w:lineRule="auto"/>
            <w:rPr>
              <w:rFonts w:ascii="宋体" w:hAnsi="宋体" w:eastAsia="宋体" w:cs="Times New Roman"/>
              <w:b w:val="0"/>
              <w:color w:val="auto"/>
              <w:sz w:val="22"/>
              <w:szCs w:val="22"/>
              <w:highlight w:val="none"/>
            </w:rPr>
          </w:pPr>
          <w:r>
            <w:rPr>
              <w:rFonts w:ascii="Times New Roman" w:hAnsi="Times New Roman" w:eastAsia="宋体" w:cs="Times New Roman"/>
              <w:b w:val="0"/>
              <w:bCs w:val="0"/>
              <w:color w:val="auto"/>
              <w:kern w:val="2"/>
              <w:sz w:val="21"/>
              <w:szCs w:val="24"/>
              <w:highlight w:val="none"/>
              <w:lang w:val="zh-CN"/>
            </w:rPr>
            <w:tab/>
          </w:r>
          <w:r>
            <w:rPr>
              <w:rFonts w:ascii="宋体" w:hAnsi="宋体" w:eastAsia="宋体" w:cs="Times New Roman"/>
              <w:b w:val="0"/>
              <w:color w:val="auto"/>
              <w:sz w:val="22"/>
              <w:szCs w:val="22"/>
              <w:highlight w:val="none"/>
              <w:lang w:val="zh-CN"/>
            </w:rPr>
            <w:t>目录</w:t>
          </w:r>
        </w:p>
        <w:p>
          <w:pPr>
            <w:pStyle w:val="33"/>
            <w:tabs>
              <w:tab w:val="right" w:leader="dot" w:pos="9288"/>
            </w:tabs>
            <w:spacing w:line="360" w:lineRule="auto"/>
            <w:rPr>
              <w:rFonts w:ascii="宋体" w:hAnsi="宋体" w:cstheme="minorBidi"/>
              <w:color w:val="auto"/>
              <w:sz w:val="22"/>
              <w:szCs w:val="22"/>
              <w:highlight w:val="none"/>
            </w:rPr>
          </w:pPr>
          <w:r>
            <w:rPr>
              <w:rFonts w:ascii="宋体" w:hAnsi="宋体"/>
              <w:color w:val="auto"/>
              <w:sz w:val="22"/>
              <w:szCs w:val="22"/>
              <w:highlight w:val="none"/>
            </w:rPr>
            <w:fldChar w:fldCharType="begin"/>
          </w:r>
          <w:r>
            <w:rPr>
              <w:rFonts w:ascii="宋体" w:hAnsi="宋体"/>
              <w:color w:val="auto"/>
              <w:sz w:val="22"/>
              <w:szCs w:val="22"/>
              <w:highlight w:val="none"/>
            </w:rPr>
            <w:instrText xml:space="preserve"> TOC \o "1-3" \h \z \u </w:instrText>
          </w:r>
          <w:r>
            <w:rPr>
              <w:rFonts w:ascii="宋体" w:hAnsi="宋体"/>
              <w:color w:val="auto"/>
              <w:sz w:val="22"/>
              <w:szCs w:val="22"/>
              <w:highlight w:val="none"/>
            </w:rPr>
            <w:fldChar w:fldCharType="separate"/>
          </w:r>
          <w:r>
            <w:rPr>
              <w:color w:val="auto"/>
              <w:highlight w:val="none"/>
            </w:rPr>
            <w:fldChar w:fldCharType="begin"/>
          </w:r>
          <w:r>
            <w:rPr>
              <w:color w:val="auto"/>
              <w:highlight w:val="none"/>
            </w:rPr>
            <w:instrText xml:space="preserve"> HYPERLINK \l "_Toc61529804" </w:instrText>
          </w:r>
          <w:r>
            <w:rPr>
              <w:color w:val="auto"/>
              <w:highlight w:val="none"/>
            </w:rPr>
            <w:fldChar w:fldCharType="separate"/>
          </w:r>
          <w:r>
            <w:rPr>
              <w:rStyle w:val="58"/>
              <w:rFonts w:hint="eastAsia" w:ascii="宋体" w:hAnsi="宋体"/>
              <w:color w:val="auto"/>
              <w:sz w:val="22"/>
              <w:szCs w:val="22"/>
              <w:highlight w:val="none"/>
            </w:rPr>
            <w:t>第一章</w:t>
          </w:r>
          <w:r>
            <w:rPr>
              <w:rStyle w:val="58"/>
              <w:rFonts w:ascii="宋体" w:hAnsi="宋体"/>
              <w:color w:val="auto"/>
              <w:sz w:val="22"/>
              <w:szCs w:val="22"/>
              <w:highlight w:val="none"/>
            </w:rPr>
            <w:t xml:space="preserve">  </w:t>
          </w:r>
          <w:r>
            <w:rPr>
              <w:rStyle w:val="58"/>
              <w:rFonts w:hint="eastAsia" w:ascii="宋体" w:hAnsi="宋体"/>
              <w:color w:val="auto"/>
              <w:sz w:val="22"/>
              <w:szCs w:val="22"/>
              <w:highlight w:val="none"/>
            </w:rPr>
            <w:t>投标邀请</w:t>
          </w:r>
          <w:r>
            <w:rPr>
              <w:rFonts w:ascii="宋体" w:hAnsi="宋体"/>
              <w:color w:val="auto"/>
              <w:sz w:val="22"/>
              <w:szCs w:val="22"/>
              <w:highlight w:val="none"/>
            </w:rPr>
            <w:tab/>
          </w:r>
          <w:r>
            <w:rPr>
              <w:rFonts w:ascii="宋体" w:hAnsi="宋体"/>
              <w:color w:val="auto"/>
              <w:sz w:val="22"/>
              <w:szCs w:val="22"/>
              <w:highlight w:val="none"/>
            </w:rPr>
            <w:fldChar w:fldCharType="begin"/>
          </w:r>
          <w:r>
            <w:rPr>
              <w:rFonts w:ascii="宋体" w:hAnsi="宋体"/>
              <w:color w:val="auto"/>
              <w:sz w:val="22"/>
              <w:szCs w:val="22"/>
              <w:highlight w:val="none"/>
            </w:rPr>
            <w:instrText xml:space="preserve"> PAGEREF _Toc61529804 \h </w:instrText>
          </w:r>
          <w:r>
            <w:rPr>
              <w:rFonts w:ascii="宋体" w:hAnsi="宋体"/>
              <w:color w:val="auto"/>
              <w:sz w:val="22"/>
              <w:szCs w:val="22"/>
              <w:highlight w:val="none"/>
            </w:rPr>
            <w:fldChar w:fldCharType="separate"/>
          </w:r>
          <w:r>
            <w:rPr>
              <w:rFonts w:ascii="宋体" w:hAnsi="宋体"/>
              <w:color w:val="auto"/>
              <w:sz w:val="22"/>
              <w:szCs w:val="22"/>
              <w:highlight w:val="none"/>
            </w:rPr>
            <w:t>6</w:t>
          </w:r>
          <w:r>
            <w:rPr>
              <w:rFonts w:ascii="宋体" w:hAnsi="宋体"/>
              <w:color w:val="auto"/>
              <w:sz w:val="22"/>
              <w:szCs w:val="22"/>
              <w:highlight w:val="none"/>
            </w:rPr>
            <w:fldChar w:fldCharType="end"/>
          </w:r>
          <w:r>
            <w:rPr>
              <w:rFonts w:ascii="宋体" w:hAnsi="宋体"/>
              <w:color w:val="auto"/>
              <w:sz w:val="22"/>
              <w:szCs w:val="22"/>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"_Toc61529805" </w:instrText>
          </w:r>
          <w:r>
            <w:rPr>
              <w:color w:val="auto"/>
              <w:highlight w:val="none"/>
            </w:rPr>
            <w:fldChar w:fldCharType="separate"/>
          </w:r>
          <w:r>
            <w:rPr>
              <w:rStyle w:val="58"/>
              <w:rFonts w:hint="eastAsia" w:ascii="宋体" w:hAnsi="宋体" w:eastAsia="宋体"/>
              <w:color w:val="auto"/>
              <w:highlight w:val="none"/>
            </w:rPr>
            <w:t>一、</w:t>
          </w:r>
          <w:r>
            <w:rPr>
              <w:rStyle w:val="58"/>
              <w:rFonts w:ascii="宋体" w:hAnsi="宋体" w:eastAsia="宋体"/>
              <w:color w:val="auto"/>
              <w:highlight w:val="none"/>
            </w:rPr>
            <w:t xml:space="preserve"> </w:t>
          </w:r>
          <w:r>
            <w:rPr>
              <w:rStyle w:val="58"/>
              <w:rFonts w:hint="eastAsia" w:ascii="宋体" w:hAnsi="宋体" w:eastAsia="宋体"/>
              <w:color w:val="auto"/>
              <w:highlight w:val="none"/>
            </w:rPr>
            <w:t>投标邀请函</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_Toc61529805 \h </w:instrText>
          </w:r>
          <w:r>
            <w:rPr>
              <w:rFonts w:ascii="宋体" w:hAnsi="宋体" w:eastAsia="宋体"/>
              <w:color w:val="auto"/>
              <w:highlight w:val="none"/>
            </w:rPr>
            <w:fldChar w:fldCharType="separate"/>
          </w:r>
          <w:r>
            <w:rPr>
              <w:rFonts w:ascii="宋体" w:hAnsi="宋体" w:eastAsia="宋体"/>
              <w:color w:val="auto"/>
              <w:highlight w:val="none"/>
            </w:rPr>
            <w:t>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3"/>
            <w:tabs>
              <w:tab w:val="left" w:pos="851"/>
              <w:tab w:val="right" w:leader="dot" w:pos="9288"/>
            </w:tabs>
            <w:spacing w:line="360" w:lineRule="auto"/>
            <w:rPr>
              <w:rFonts w:ascii="宋体" w:hAnsi="宋体" w:cstheme="minorBidi"/>
              <w:color w:val="auto"/>
              <w:sz w:val="22"/>
              <w:szCs w:val="22"/>
              <w:highlight w:val="none"/>
            </w:rPr>
          </w:pPr>
          <w:r>
            <w:rPr>
              <w:color w:val="auto"/>
              <w:highlight w:val="none"/>
            </w:rPr>
            <w:fldChar w:fldCharType="begin"/>
          </w:r>
          <w:r>
            <w:rPr>
              <w:color w:val="auto"/>
              <w:highlight w:val="none"/>
            </w:rPr>
            <w:instrText xml:space="preserve"> HYPERLINK \l "_Toc61529806" </w:instrText>
          </w:r>
          <w:r>
            <w:rPr>
              <w:color w:val="auto"/>
              <w:highlight w:val="none"/>
            </w:rPr>
            <w:fldChar w:fldCharType="separate"/>
          </w:r>
          <w:r>
            <w:rPr>
              <w:rStyle w:val="58"/>
              <w:rFonts w:hint="eastAsia" w:ascii="宋体" w:hAnsi="宋体"/>
              <w:color w:val="auto"/>
              <w:sz w:val="22"/>
              <w:szCs w:val="22"/>
              <w:highlight w:val="none"/>
            </w:rPr>
            <w:t>第二章</w:t>
          </w:r>
          <w:r>
            <w:rPr>
              <w:rFonts w:ascii="宋体" w:hAnsi="宋体" w:cstheme="minorBidi"/>
              <w:color w:val="auto"/>
              <w:sz w:val="22"/>
              <w:szCs w:val="22"/>
              <w:highlight w:val="none"/>
            </w:rPr>
            <w:tab/>
          </w:r>
          <w:r>
            <w:rPr>
              <w:rStyle w:val="58"/>
              <w:rFonts w:hint="eastAsia" w:ascii="宋体" w:hAnsi="宋体"/>
              <w:color w:val="auto"/>
              <w:sz w:val="22"/>
              <w:szCs w:val="22"/>
              <w:highlight w:val="none"/>
            </w:rPr>
            <w:t>投标人须知</w:t>
          </w:r>
          <w:r>
            <w:rPr>
              <w:rFonts w:ascii="宋体" w:hAnsi="宋体"/>
              <w:color w:val="auto"/>
              <w:sz w:val="22"/>
              <w:szCs w:val="22"/>
              <w:highlight w:val="none"/>
            </w:rPr>
            <w:tab/>
          </w:r>
          <w:r>
            <w:rPr>
              <w:rFonts w:ascii="宋体" w:hAnsi="宋体"/>
              <w:color w:val="auto"/>
              <w:sz w:val="22"/>
              <w:szCs w:val="22"/>
              <w:highlight w:val="none"/>
            </w:rPr>
            <w:fldChar w:fldCharType="begin"/>
          </w:r>
          <w:r>
            <w:rPr>
              <w:rFonts w:ascii="宋体" w:hAnsi="宋体"/>
              <w:color w:val="auto"/>
              <w:sz w:val="22"/>
              <w:szCs w:val="22"/>
              <w:highlight w:val="none"/>
            </w:rPr>
            <w:instrText xml:space="preserve"> PAGEREF _Toc61529806 \h </w:instrText>
          </w:r>
          <w:r>
            <w:rPr>
              <w:rFonts w:ascii="宋体" w:hAnsi="宋体"/>
              <w:color w:val="auto"/>
              <w:sz w:val="22"/>
              <w:szCs w:val="22"/>
              <w:highlight w:val="none"/>
            </w:rPr>
            <w:fldChar w:fldCharType="separate"/>
          </w:r>
          <w:r>
            <w:rPr>
              <w:rFonts w:ascii="宋体" w:hAnsi="宋体"/>
              <w:color w:val="auto"/>
              <w:sz w:val="22"/>
              <w:szCs w:val="22"/>
              <w:highlight w:val="none"/>
            </w:rPr>
            <w:t>9</w:t>
          </w:r>
          <w:r>
            <w:rPr>
              <w:rFonts w:ascii="宋体" w:hAnsi="宋体"/>
              <w:color w:val="auto"/>
              <w:sz w:val="22"/>
              <w:szCs w:val="22"/>
              <w:highlight w:val="none"/>
            </w:rPr>
            <w:fldChar w:fldCharType="end"/>
          </w:r>
          <w:r>
            <w:rPr>
              <w:rFonts w:ascii="宋体" w:hAnsi="宋体"/>
              <w:color w:val="auto"/>
              <w:sz w:val="22"/>
              <w:szCs w:val="22"/>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"_Toc61529807" </w:instrText>
          </w:r>
          <w:r>
            <w:rPr>
              <w:color w:val="auto"/>
              <w:highlight w:val="none"/>
            </w:rPr>
            <w:fldChar w:fldCharType="separate"/>
          </w:r>
          <w:r>
            <w:rPr>
              <w:rStyle w:val="58"/>
              <w:rFonts w:hint="eastAsia" w:ascii="宋体" w:hAnsi="宋体" w:eastAsia="宋体"/>
              <w:color w:val="auto"/>
              <w:kern w:val="44"/>
              <w:highlight w:val="none"/>
              <w:lang w:val="zh-CN"/>
            </w:rPr>
            <w:t>一、投标人须知前附表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_Toc61529807 \h </w:instrText>
          </w:r>
          <w:r>
            <w:rPr>
              <w:rFonts w:ascii="宋体" w:hAnsi="宋体" w:eastAsia="宋体"/>
              <w:color w:val="auto"/>
              <w:highlight w:val="none"/>
            </w:rPr>
            <w:fldChar w:fldCharType="separate"/>
          </w:r>
          <w:r>
            <w:rPr>
              <w:rFonts w:ascii="宋体" w:hAnsi="宋体" w:eastAsia="宋体"/>
              <w:color w:val="auto"/>
              <w:highlight w:val="none"/>
            </w:rPr>
            <w:t>10</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"_Toc61529808" </w:instrText>
          </w:r>
          <w:r>
            <w:rPr>
              <w:color w:val="auto"/>
              <w:highlight w:val="none"/>
            </w:rPr>
            <w:fldChar w:fldCharType="separate"/>
          </w:r>
          <w:r>
            <w:rPr>
              <w:rStyle w:val="58"/>
              <w:rFonts w:hint="eastAsia" w:ascii="宋体" w:hAnsi="宋体" w:eastAsia="宋体"/>
              <w:color w:val="auto"/>
              <w:kern w:val="44"/>
              <w:highlight w:val="none"/>
              <w:lang w:val="zh-CN"/>
            </w:rPr>
            <w:t>二、投标人须知</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_Toc61529808 \h </w:instrText>
          </w:r>
          <w:r>
            <w:rPr>
              <w:rFonts w:ascii="宋体" w:hAnsi="宋体" w:eastAsia="宋体"/>
              <w:color w:val="auto"/>
              <w:highlight w:val="none"/>
            </w:rPr>
            <w:fldChar w:fldCharType="separate"/>
          </w:r>
          <w:r>
            <w:rPr>
              <w:rFonts w:ascii="宋体" w:hAnsi="宋体" w:eastAsia="宋体"/>
              <w:color w:val="auto"/>
              <w:highlight w:val="none"/>
            </w:rPr>
            <w:t>12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"_Toc61529809" </w:instrText>
          </w:r>
          <w:r>
            <w:rPr>
              <w:color w:val="auto"/>
              <w:highlight w:val="none"/>
            </w:rPr>
            <w:fldChar w:fldCharType="separate"/>
          </w:r>
          <w:r>
            <w:rPr>
              <w:rStyle w:val="58"/>
              <w:rFonts w:hint="eastAsia" w:ascii="宋体" w:hAnsi="宋体" w:eastAsia="宋体"/>
              <w:color w:val="auto"/>
              <w:highlight w:val="none"/>
              <w:lang w:val="zh-CN"/>
            </w:rPr>
            <w:t>（一）总则</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_Toc61529809 \h </w:instrText>
          </w:r>
          <w:r>
            <w:rPr>
              <w:rFonts w:ascii="宋体" w:hAnsi="宋体" w:eastAsia="宋体"/>
              <w:color w:val="auto"/>
              <w:highlight w:val="none"/>
            </w:rPr>
            <w:fldChar w:fldCharType="separate"/>
          </w:r>
          <w:r>
            <w:rPr>
              <w:rFonts w:ascii="宋体" w:hAnsi="宋体" w:eastAsia="宋体"/>
              <w:color w:val="auto"/>
              <w:highlight w:val="none"/>
            </w:rPr>
            <w:t>12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"_Toc61529810" </w:instrText>
          </w:r>
          <w:r>
            <w:rPr>
              <w:color w:val="auto"/>
              <w:highlight w:val="none"/>
            </w:rPr>
            <w:fldChar w:fldCharType="separate"/>
          </w:r>
          <w:r>
            <w:rPr>
              <w:rStyle w:val="58"/>
              <w:rFonts w:ascii="宋体" w:hAnsi="宋体" w:eastAsia="宋体"/>
              <w:color w:val="auto"/>
              <w:highlight w:val="none"/>
            </w:rPr>
            <w:t>1.招标范围及资金来源</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_Toc61529810 \h </w:instrText>
          </w:r>
          <w:r>
            <w:rPr>
              <w:rFonts w:ascii="宋体" w:hAnsi="宋体" w:eastAsia="宋体"/>
              <w:color w:val="auto"/>
              <w:highlight w:val="none"/>
            </w:rPr>
            <w:fldChar w:fldCharType="separate"/>
          </w:r>
          <w:r>
            <w:rPr>
              <w:rFonts w:ascii="宋体" w:hAnsi="宋体" w:eastAsia="宋体"/>
              <w:color w:val="auto"/>
              <w:highlight w:val="none"/>
            </w:rPr>
            <w:t>12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"_Toc61529811" </w:instrText>
          </w:r>
          <w:r>
            <w:rPr>
              <w:color w:val="auto"/>
              <w:highlight w:val="none"/>
            </w:rPr>
            <w:fldChar w:fldCharType="separate"/>
          </w:r>
          <w:r>
            <w:rPr>
              <w:rStyle w:val="58"/>
              <w:rFonts w:ascii="宋体" w:hAnsi="宋体" w:eastAsia="宋体"/>
              <w:color w:val="auto"/>
              <w:highlight w:val="none"/>
            </w:rPr>
            <w:t>2.定义</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_Toc61529811 \h </w:instrText>
          </w:r>
          <w:r>
            <w:rPr>
              <w:rFonts w:ascii="宋体" w:hAnsi="宋体" w:eastAsia="宋体"/>
              <w:color w:val="auto"/>
              <w:highlight w:val="none"/>
            </w:rPr>
            <w:fldChar w:fldCharType="separate"/>
          </w:r>
          <w:r>
            <w:rPr>
              <w:rFonts w:ascii="宋体" w:hAnsi="宋体" w:eastAsia="宋体"/>
              <w:color w:val="auto"/>
              <w:highlight w:val="none"/>
            </w:rPr>
            <w:t>12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"_Toc61529812" </w:instrText>
          </w:r>
          <w:r>
            <w:rPr>
              <w:color w:val="auto"/>
              <w:highlight w:val="none"/>
            </w:rPr>
            <w:fldChar w:fldCharType="separate"/>
          </w:r>
          <w:r>
            <w:rPr>
              <w:rStyle w:val="58"/>
              <w:rFonts w:ascii="宋体" w:hAnsi="宋体" w:eastAsia="宋体"/>
              <w:color w:val="auto"/>
              <w:highlight w:val="none"/>
            </w:rPr>
            <w:t>3.</w:t>
          </w:r>
          <w:r>
            <w:rPr>
              <w:rStyle w:val="58"/>
              <w:rFonts w:hint="eastAsia" w:ascii="宋体" w:hAnsi="宋体" w:eastAsia="宋体"/>
              <w:color w:val="auto"/>
              <w:highlight w:val="none"/>
            </w:rPr>
            <w:t>合格的投标人</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_Toc61529812 \h </w:instrText>
          </w:r>
          <w:r>
            <w:rPr>
              <w:rFonts w:ascii="宋体" w:hAnsi="宋体" w:eastAsia="宋体"/>
              <w:color w:val="auto"/>
              <w:highlight w:val="none"/>
            </w:rPr>
            <w:fldChar w:fldCharType="separate"/>
          </w:r>
          <w:r>
            <w:rPr>
              <w:rFonts w:ascii="宋体" w:hAnsi="宋体" w:eastAsia="宋体"/>
              <w:color w:val="auto"/>
              <w:highlight w:val="none"/>
            </w:rPr>
            <w:t>12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"_Toc61529813" </w:instrText>
          </w:r>
          <w:r>
            <w:rPr>
              <w:color w:val="auto"/>
              <w:highlight w:val="none"/>
            </w:rPr>
            <w:fldChar w:fldCharType="separate"/>
          </w:r>
          <w:r>
            <w:rPr>
              <w:rStyle w:val="58"/>
              <w:rFonts w:ascii="宋体" w:hAnsi="宋体" w:eastAsia="宋体"/>
              <w:color w:val="auto"/>
              <w:highlight w:val="none"/>
            </w:rPr>
            <w:t>4.合格的货物和服务及验收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_Toc61529813 \h </w:instrText>
          </w:r>
          <w:r>
            <w:rPr>
              <w:rFonts w:ascii="宋体" w:hAnsi="宋体" w:eastAsia="宋体"/>
              <w:color w:val="auto"/>
              <w:highlight w:val="none"/>
            </w:rPr>
            <w:fldChar w:fldCharType="separate"/>
          </w:r>
          <w:r>
            <w:rPr>
              <w:rFonts w:ascii="宋体" w:hAnsi="宋体" w:eastAsia="宋体"/>
              <w:color w:val="auto"/>
              <w:highlight w:val="none"/>
            </w:rPr>
            <w:t>13</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"_Toc61529814" </w:instrText>
          </w:r>
          <w:r>
            <w:rPr>
              <w:color w:val="auto"/>
              <w:highlight w:val="none"/>
            </w:rPr>
            <w:fldChar w:fldCharType="separate"/>
          </w:r>
          <w:r>
            <w:rPr>
              <w:rStyle w:val="58"/>
              <w:rFonts w:ascii="宋体" w:hAnsi="宋体" w:eastAsia="宋体"/>
              <w:color w:val="auto"/>
              <w:highlight w:val="none"/>
            </w:rPr>
            <w:t>5.投标费用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_Toc61529814 \h </w:instrText>
          </w:r>
          <w:r>
            <w:rPr>
              <w:rFonts w:ascii="宋体" w:hAnsi="宋体" w:eastAsia="宋体"/>
              <w:color w:val="auto"/>
              <w:highlight w:val="none"/>
            </w:rPr>
            <w:fldChar w:fldCharType="separate"/>
          </w:r>
          <w:r>
            <w:rPr>
              <w:rFonts w:ascii="宋体" w:hAnsi="宋体" w:eastAsia="宋体"/>
              <w:color w:val="auto"/>
              <w:highlight w:val="none"/>
            </w:rPr>
            <w:t>14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"_Toc61529815" </w:instrText>
          </w:r>
          <w:r>
            <w:rPr>
              <w:color w:val="auto"/>
              <w:highlight w:val="none"/>
            </w:rPr>
            <w:fldChar w:fldCharType="separate"/>
          </w:r>
          <w:r>
            <w:rPr>
              <w:rStyle w:val="58"/>
              <w:rFonts w:ascii="宋体" w:hAnsi="宋体" w:eastAsia="宋体"/>
              <w:color w:val="auto"/>
              <w:highlight w:val="none"/>
            </w:rPr>
            <w:t>6.踏勘现场</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_Toc61529815 \h </w:instrText>
          </w:r>
          <w:r>
            <w:rPr>
              <w:rFonts w:ascii="宋体" w:hAnsi="宋体" w:eastAsia="宋体"/>
              <w:color w:val="auto"/>
              <w:highlight w:val="none"/>
            </w:rPr>
            <w:fldChar w:fldCharType="separate"/>
          </w:r>
          <w:r>
            <w:rPr>
              <w:rFonts w:ascii="宋体" w:hAnsi="宋体" w:eastAsia="宋体"/>
              <w:color w:val="auto"/>
              <w:highlight w:val="none"/>
            </w:rPr>
            <w:t>15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"_Toc61529816" </w:instrText>
          </w:r>
          <w:r>
            <w:rPr>
              <w:color w:val="auto"/>
              <w:highlight w:val="none"/>
            </w:rPr>
            <w:fldChar w:fldCharType="separate"/>
          </w:r>
          <w:r>
            <w:rPr>
              <w:rStyle w:val="58"/>
              <w:rFonts w:hint="eastAsia" w:ascii="宋体" w:hAnsi="宋体" w:eastAsia="宋体"/>
              <w:color w:val="auto"/>
              <w:highlight w:val="none"/>
              <w:lang w:val="zh-CN"/>
            </w:rPr>
            <w:t>（二）招标文件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_Toc61529816 \h </w:instrText>
          </w:r>
          <w:r>
            <w:rPr>
              <w:rFonts w:ascii="宋体" w:hAnsi="宋体" w:eastAsia="宋体"/>
              <w:color w:val="auto"/>
              <w:highlight w:val="none"/>
            </w:rPr>
            <w:fldChar w:fldCharType="separate"/>
          </w:r>
          <w:r>
            <w:rPr>
              <w:rFonts w:ascii="宋体" w:hAnsi="宋体" w:eastAsia="宋体"/>
              <w:color w:val="auto"/>
              <w:highlight w:val="none"/>
            </w:rPr>
            <w:t>15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"_Toc61529817" </w:instrText>
          </w:r>
          <w:r>
            <w:rPr>
              <w:color w:val="auto"/>
              <w:highlight w:val="none"/>
            </w:rPr>
            <w:fldChar w:fldCharType="separate"/>
          </w:r>
          <w:r>
            <w:rPr>
              <w:rStyle w:val="58"/>
              <w:rFonts w:ascii="宋体" w:hAnsi="宋体" w:eastAsia="宋体"/>
              <w:color w:val="auto"/>
              <w:highlight w:val="none"/>
            </w:rPr>
            <w:t>7.</w:t>
          </w:r>
          <w:r>
            <w:rPr>
              <w:rStyle w:val="58"/>
              <w:rFonts w:hint="eastAsia" w:ascii="宋体" w:hAnsi="宋体" w:eastAsia="宋体"/>
              <w:color w:val="auto"/>
              <w:highlight w:val="none"/>
            </w:rPr>
            <w:t>招标文件的组成</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_Toc61529817 \h </w:instrText>
          </w:r>
          <w:r>
            <w:rPr>
              <w:rFonts w:ascii="宋体" w:hAnsi="宋体" w:eastAsia="宋体"/>
              <w:color w:val="auto"/>
              <w:highlight w:val="none"/>
            </w:rPr>
            <w:fldChar w:fldCharType="separate"/>
          </w:r>
          <w:r>
            <w:rPr>
              <w:rFonts w:ascii="宋体" w:hAnsi="宋体" w:eastAsia="宋体"/>
              <w:color w:val="auto"/>
              <w:highlight w:val="none"/>
            </w:rPr>
            <w:t>15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"_Toc61529818" </w:instrText>
          </w:r>
          <w:r>
            <w:rPr>
              <w:color w:val="auto"/>
              <w:highlight w:val="none"/>
            </w:rPr>
            <w:fldChar w:fldCharType="separate"/>
          </w:r>
          <w:r>
            <w:rPr>
              <w:rStyle w:val="58"/>
              <w:rFonts w:ascii="宋体" w:hAnsi="宋体" w:eastAsia="宋体"/>
              <w:color w:val="auto"/>
              <w:highlight w:val="none"/>
            </w:rPr>
            <w:t>8.招标文件的异议</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_Toc61529818 \h </w:instrText>
          </w:r>
          <w:r>
            <w:rPr>
              <w:rFonts w:ascii="宋体" w:hAnsi="宋体" w:eastAsia="宋体"/>
              <w:color w:val="auto"/>
              <w:highlight w:val="none"/>
            </w:rPr>
            <w:fldChar w:fldCharType="separate"/>
          </w:r>
          <w:r>
            <w:rPr>
              <w:rFonts w:ascii="宋体" w:hAnsi="宋体" w:eastAsia="宋体"/>
              <w:color w:val="auto"/>
              <w:highlight w:val="none"/>
            </w:rPr>
            <w:t>16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"_Toc61529819" </w:instrText>
          </w:r>
          <w:r>
            <w:rPr>
              <w:color w:val="auto"/>
              <w:highlight w:val="none"/>
            </w:rPr>
            <w:fldChar w:fldCharType="separate"/>
          </w:r>
          <w:r>
            <w:rPr>
              <w:rStyle w:val="58"/>
              <w:rFonts w:ascii="宋体" w:hAnsi="宋体" w:eastAsia="宋体"/>
              <w:color w:val="auto"/>
              <w:highlight w:val="none"/>
            </w:rPr>
            <w:t>9.招标文件的澄清及修改</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_Toc61529819 \h </w:instrText>
          </w:r>
          <w:r>
            <w:rPr>
              <w:rFonts w:ascii="宋体" w:hAnsi="宋体" w:eastAsia="宋体"/>
              <w:color w:val="auto"/>
              <w:highlight w:val="none"/>
            </w:rPr>
            <w:fldChar w:fldCharType="separate"/>
          </w:r>
          <w:r>
            <w:rPr>
              <w:rFonts w:ascii="宋体" w:hAnsi="宋体" w:eastAsia="宋体"/>
              <w:color w:val="auto"/>
              <w:highlight w:val="none"/>
            </w:rPr>
            <w:t>16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"_Toc61529820" </w:instrText>
          </w:r>
          <w:r>
            <w:rPr>
              <w:color w:val="auto"/>
              <w:highlight w:val="none"/>
            </w:rPr>
            <w:fldChar w:fldCharType="separate"/>
          </w:r>
          <w:r>
            <w:rPr>
              <w:rStyle w:val="58"/>
              <w:rFonts w:ascii="宋体" w:hAnsi="宋体" w:eastAsia="宋体"/>
              <w:color w:val="auto"/>
              <w:highlight w:val="none"/>
              <w:lang w:val="zh-CN"/>
            </w:rPr>
            <w:t>（三）投标文件编制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_Toc61529820 \h </w:instrText>
          </w:r>
          <w:r>
            <w:rPr>
              <w:rFonts w:ascii="宋体" w:hAnsi="宋体" w:eastAsia="宋体"/>
              <w:color w:val="auto"/>
              <w:highlight w:val="none"/>
            </w:rPr>
            <w:fldChar w:fldCharType="separate"/>
          </w:r>
          <w:r>
            <w:rPr>
              <w:rFonts w:ascii="宋体" w:hAnsi="宋体" w:eastAsia="宋体"/>
              <w:color w:val="auto"/>
              <w:highlight w:val="none"/>
            </w:rPr>
            <w:t>16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"_Toc61529821" </w:instrText>
          </w:r>
          <w:r>
            <w:rPr>
              <w:color w:val="auto"/>
              <w:highlight w:val="none"/>
            </w:rPr>
            <w:fldChar w:fldCharType="separate"/>
          </w:r>
          <w:r>
            <w:rPr>
              <w:rStyle w:val="58"/>
              <w:rFonts w:ascii="宋体" w:hAnsi="宋体" w:eastAsia="宋体"/>
              <w:color w:val="auto"/>
              <w:highlight w:val="none"/>
            </w:rPr>
            <w:t>10.投标文件的语言及度量衡单位</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_Toc61529821 \h </w:instrText>
          </w:r>
          <w:r>
            <w:rPr>
              <w:rFonts w:ascii="宋体" w:hAnsi="宋体" w:eastAsia="宋体"/>
              <w:color w:val="auto"/>
              <w:highlight w:val="none"/>
            </w:rPr>
            <w:fldChar w:fldCharType="separate"/>
          </w:r>
          <w:r>
            <w:rPr>
              <w:rFonts w:ascii="宋体" w:hAnsi="宋体" w:eastAsia="宋体"/>
              <w:color w:val="auto"/>
              <w:highlight w:val="none"/>
            </w:rPr>
            <w:t>16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"_Toc61529822" </w:instrText>
          </w:r>
          <w:r>
            <w:rPr>
              <w:color w:val="auto"/>
              <w:highlight w:val="none"/>
            </w:rPr>
            <w:fldChar w:fldCharType="separate"/>
          </w:r>
          <w:r>
            <w:rPr>
              <w:rStyle w:val="58"/>
              <w:rFonts w:ascii="宋体" w:hAnsi="宋体" w:eastAsia="宋体"/>
              <w:color w:val="auto"/>
              <w:highlight w:val="none"/>
            </w:rPr>
            <w:t>11.投标文件构成</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_Toc61529822 \h </w:instrText>
          </w:r>
          <w:r>
            <w:rPr>
              <w:rFonts w:ascii="宋体" w:hAnsi="宋体" w:eastAsia="宋体"/>
              <w:color w:val="auto"/>
              <w:highlight w:val="none"/>
            </w:rPr>
            <w:fldChar w:fldCharType="separate"/>
          </w:r>
          <w:r>
            <w:rPr>
              <w:rFonts w:ascii="宋体" w:hAnsi="宋体" w:eastAsia="宋体"/>
              <w:color w:val="auto"/>
              <w:highlight w:val="none"/>
            </w:rPr>
            <w:t>17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"_Toc61529823" </w:instrText>
          </w:r>
          <w:r>
            <w:rPr>
              <w:color w:val="auto"/>
              <w:highlight w:val="none"/>
            </w:rPr>
            <w:fldChar w:fldCharType="separate"/>
          </w:r>
          <w:r>
            <w:rPr>
              <w:rStyle w:val="58"/>
              <w:rFonts w:ascii="宋体" w:hAnsi="宋体" w:eastAsia="宋体"/>
              <w:color w:val="auto"/>
              <w:highlight w:val="none"/>
            </w:rPr>
            <w:t>12.投标文件格式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_Toc61529823 \h </w:instrText>
          </w:r>
          <w:r>
            <w:rPr>
              <w:rFonts w:ascii="宋体" w:hAnsi="宋体" w:eastAsia="宋体"/>
              <w:color w:val="auto"/>
              <w:highlight w:val="none"/>
            </w:rPr>
            <w:fldChar w:fldCharType="separate"/>
          </w:r>
          <w:r>
            <w:rPr>
              <w:rFonts w:ascii="宋体" w:hAnsi="宋体" w:eastAsia="宋体"/>
              <w:color w:val="auto"/>
              <w:highlight w:val="none"/>
            </w:rPr>
            <w:t>18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"_Toc61529824" </w:instrText>
          </w:r>
          <w:r>
            <w:rPr>
              <w:color w:val="auto"/>
              <w:highlight w:val="none"/>
            </w:rPr>
            <w:fldChar w:fldCharType="separate"/>
          </w:r>
          <w:r>
            <w:rPr>
              <w:rStyle w:val="58"/>
              <w:rFonts w:ascii="宋体" w:hAnsi="宋体" w:eastAsia="宋体"/>
              <w:color w:val="auto"/>
              <w:highlight w:val="none"/>
            </w:rPr>
            <w:t>13.投标文件的份数和签署</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_Toc61529824 \h </w:instrText>
          </w:r>
          <w:r>
            <w:rPr>
              <w:rFonts w:ascii="宋体" w:hAnsi="宋体" w:eastAsia="宋体"/>
              <w:color w:val="auto"/>
              <w:highlight w:val="none"/>
            </w:rPr>
            <w:fldChar w:fldCharType="separate"/>
          </w:r>
          <w:r>
            <w:rPr>
              <w:rFonts w:ascii="宋体" w:hAnsi="宋体" w:eastAsia="宋体"/>
              <w:color w:val="auto"/>
              <w:highlight w:val="none"/>
            </w:rPr>
            <w:t>18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"_Toc61529825" </w:instrText>
          </w:r>
          <w:r>
            <w:rPr>
              <w:color w:val="auto"/>
              <w:highlight w:val="none"/>
            </w:rPr>
            <w:fldChar w:fldCharType="separate"/>
          </w:r>
          <w:r>
            <w:rPr>
              <w:rStyle w:val="58"/>
              <w:rFonts w:ascii="宋体" w:hAnsi="宋体" w:eastAsia="宋体"/>
              <w:color w:val="auto"/>
              <w:highlight w:val="none"/>
            </w:rPr>
            <w:t>14.投标报价和货币</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_Toc61529825 \h </w:instrText>
          </w:r>
          <w:r>
            <w:rPr>
              <w:rFonts w:ascii="宋体" w:hAnsi="宋体" w:eastAsia="宋体"/>
              <w:color w:val="auto"/>
              <w:highlight w:val="none"/>
            </w:rPr>
            <w:fldChar w:fldCharType="separate"/>
          </w:r>
          <w:r>
            <w:rPr>
              <w:rFonts w:ascii="宋体" w:hAnsi="宋体" w:eastAsia="宋体"/>
              <w:color w:val="auto"/>
              <w:highlight w:val="none"/>
            </w:rPr>
            <w:t>19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"_Toc61529826" </w:instrText>
          </w:r>
          <w:r>
            <w:rPr>
              <w:color w:val="auto"/>
              <w:highlight w:val="none"/>
            </w:rPr>
            <w:fldChar w:fldCharType="separate"/>
          </w:r>
          <w:r>
            <w:rPr>
              <w:rStyle w:val="58"/>
              <w:rFonts w:ascii="宋体" w:hAnsi="宋体" w:eastAsia="宋体"/>
              <w:color w:val="auto"/>
              <w:highlight w:val="none"/>
            </w:rPr>
            <w:t>15.证明货物和服务的合格性和符合招标文件规定的文件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_Toc61529826 \h </w:instrText>
          </w:r>
          <w:r>
            <w:rPr>
              <w:rFonts w:ascii="宋体" w:hAnsi="宋体" w:eastAsia="宋体"/>
              <w:color w:val="auto"/>
              <w:highlight w:val="none"/>
            </w:rPr>
            <w:fldChar w:fldCharType="separate"/>
          </w:r>
          <w:r>
            <w:rPr>
              <w:rFonts w:ascii="宋体" w:hAnsi="宋体" w:eastAsia="宋体"/>
              <w:color w:val="auto"/>
              <w:highlight w:val="none"/>
            </w:rPr>
            <w:t>19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"_Toc61529827" </w:instrText>
          </w:r>
          <w:r>
            <w:rPr>
              <w:color w:val="auto"/>
              <w:highlight w:val="none"/>
            </w:rPr>
            <w:fldChar w:fldCharType="separate"/>
          </w:r>
          <w:r>
            <w:rPr>
              <w:rStyle w:val="58"/>
              <w:rFonts w:ascii="宋体" w:hAnsi="宋体" w:eastAsia="宋体"/>
              <w:color w:val="auto"/>
              <w:highlight w:val="none"/>
            </w:rPr>
            <w:t>16.投标保证金</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_Toc61529827 \h </w:instrText>
          </w:r>
          <w:r>
            <w:rPr>
              <w:rFonts w:ascii="宋体" w:hAnsi="宋体" w:eastAsia="宋体"/>
              <w:color w:val="auto"/>
              <w:highlight w:val="none"/>
            </w:rPr>
            <w:fldChar w:fldCharType="separate"/>
          </w:r>
          <w:r>
            <w:rPr>
              <w:rFonts w:ascii="宋体" w:hAnsi="宋体" w:eastAsia="宋体"/>
              <w:color w:val="auto"/>
              <w:highlight w:val="none"/>
            </w:rPr>
            <w:t>19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"_Toc61529828" </w:instrText>
          </w:r>
          <w:r>
            <w:rPr>
              <w:color w:val="auto"/>
              <w:highlight w:val="none"/>
            </w:rPr>
            <w:fldChar w:fldCharType="separate"/>
          </w:r>
          <w:r>
            <w:rPr>
              <w:rStyle w:val="58"/>
              <w:rFonts w:ascii="宋体" w:hAnsi="宋体" w:eastAsia="宋体"/>
              <w:color w:val="auto"/>
              <w:highlight w:val="none"/>
            </w:rPr>
            <w:t>17.投标有效期</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_Toc61529828 \h </w:instrText>
          </w:r>
          <w:r>
            <w:rPr>
              <w:rFonts w:ascii="宋体" w:hAnsi="宋体" w:eastAsia="宋体"/>
              <w:color w:val="auto"/>
              <w:highlight w:val="none"/>
            </w:rPr>
            <w:fldChar w:fldCharType="separate"/>
          </w:r>
          <w:r>
            <w:rPr>
              <w:rFonts w:ascii="宋体" w:hAnsi="宋体" w:eastAsia="宋体"/>
              <w:color w:val="auto"/>
              <w:highlight w:val="none"/>
            </w:rPr>
            <w:t>20</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"_Toc61529829" </w:instrText>
          </w:r>
          <w:r>
            <w:rPr>
              <w:color w:val="auto"/>
              <w:highlight w:val="none"/>
            </w:rPr>
            <w:fldChar w:fldCharType="separate"/>
          </w:r>
          <w:r>
            <w:rPr>
              <w:rStyle w:val="58"/>
              <w:rFonts w:ascii="宋体" w:hAnsi="宋体" w:eastAsia="宋体"/>
              <w:color w:val="auto"/>
              <w:highlight w:val="none"/>
              <w:lang w:val="zh-CN"/>
            </w:rPr>
            <w:t>（四）投标文件的递交</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_Toc61529829 \h </w:instrText>
          </w:r>
          <w:r>
            <w:rPr>
              <w:rFonts w:ascii="宋体" w:hAnsi="宋体" w:eastAsia="宋体"/>
              <w:color w:val="auto"/>
              <w:highlight w:val="none"/>
            </w:rPr>
            <w:fldChar w:fldCharType="separate"/>
          </w:r>
          <w:r>
            <w:rPr>
              <w:rFonts w:ascii="宋体" w:hAnsi="宋体" w:eastAsia="宋体"/>
              <w:color w:val="auto"/>
              <w:highlight w:val="none"/>
            </w:rPr>
            <w:t>21</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"_Toc61529830" </w:instrText>
          </w:r>
          <w:r>
            <w:rPr>
              <w:color w:val="auto"/>
              <w:highlight w:val="none"/>
            </w:rPr>
            <w:fldChar w:fldCharType="separate"/>
          </w:r>
          <w:r>
            <w:rPr>
              <w:rStyle w:val="58"/>
              <w:rFonts w:ascii="宋体" w:hAnsi="宋体" w:eastAsia="宋体"/>
              <w:color w:val="auto"/>
              <w:highlight w:val="none"/>
            </w:rPr>
            <w:t>18.投标文件的装订、密封和标记</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_Toc61529830 \h </w:instrText>
          </w:r>
          <w:r>
            <w:rPr>
              <w:rFonts w:ascii="宋体" w:hAnsi="宋体" w:eastAsia="宋体"/>
              <w:color w:val="auto"/>
              <w:highlight w:val="none"/>
            </w:rPr>
            <w:fldChar w:fldCharType="separate"/>
          </w:r>
          <w:r>
            <w:rPr>
              <w:rFonts w:ascii="宋体" w:hAnsi="宋体" w:eastAsia="宋体"/>
              <w:color w:val="auto"/>
              <w:highlight w:val="none"/>
            </w:rPr>
            <w:t>21</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"_Toc61529831" </w:instrText>
          </w:r>
          <w:r>
            <w:rPr>
              <w:color w:val="auto"/>
              <w:highlight w:val="none"/>
            </w:rPr>
            <w:fldChar w:fldCharType="separate"/>
          </w:r>
          <w:r>
            <w:rPr>
              <w:rStyle w:val="58"/>
              <w:rFonts w:ascii="宋体" w:hAnsi="宋体" w:eastAsia="宋体"/>
              <w:color w:val="auto"/>
              <w:highlight w:val="none"/>
            </w:rPr>
            <w:t>19.投标截止时间</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_Toc61529831 \h </w:instrText>
          </w:r>
          <w:r>
            <w:rPr>
              <w:rFonts w:ascii="宋体" w:hAnsi="宋体" w:eastAsia="宋体"/>
              <w:color w:val="auto"/>
              <w:highlight w:val="none"/>
            </w:rPr>
            <w:fldChar w:fldCharType="separate"/>
          </w:r>
          <w:r>
            <w:rPr>
              <w:rFonts w:ascii="宋体" w:hAnsi="宋体" w:eastAsia="宋体"/>
              <w:color w:val="auto"/>
              <w:highlight w:val="none"/>
            </w:rPr>
            <w:t>21</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"_Toc61529832" </w:instrText>
          </w:r>
          <w:r>
            <w:rPr>
              <w:color w:val="auto"/>
              <w:highlight w:val="none"/>
            </w:rPr>
            <w:fldChar w:fldCharType="separate"/>
          </w:r>
          <w:r>
            <w:rPr>
              <w:rStyle w:val="58"/>
              <w:rFonts w:ascii="宋体" w:hAnsi="宋体" w:eastAsia="宋体"/>
              <w:color w:val="auto"/>
              <w:highlight w:val="none"/>
            </w:rPr>
            <w:t>20.迟交的投标文件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_Toc61529832 \h </w:instrText>
          </w:r>
          <w:r>
            <w:rPr>
              <w:rFonts w:ascii="宋体" w:hAnsi="宋体" w:eastAsia="宋体"/>
              <w:color w:val="auto"/>
              <w:highlight w:val="none"/>
            </w:rPr>
            <w:fldChar w:fldCharType="separate"/>
          </w:r>
          <w:r>
            <w:rPr>
              <w:rFonts w:ascii="宋体" w:hAnsi="宋体" w:eastAsia="宋体"/>
              <w:color w:val="auto"/>
              <w:highlight w:val="none"/>
            </w:rPr>
            <w:t>22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"_Toc61529833" </w:instrText>
          </w:r>
          <w:r>
            <w:rPr>
              <w:color w:val="auto"/>
              <w:highlight w:val="none"/>
            </w:rPr>
            <w:fldChar w:fldCharType="separate"/>
          </w:r>
          <w:r>
            <w:rPr>
              <w:rStyle w:val="58"/>
              <w:rFonts w:ascii="宋体" w:hAnsi="宋体" w:eastAsia="宋体"/>
              <w:color w:val="auto"/>
              <w:highlight w:val="none"/>
            </w:rPr>
            <w:t>21.投标文件的修改与撤回</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_Toc61529833 \h </w:instrText>
          </w:r>
          <w:r>
            <w:rPr>
              <w:rFonts w:ascii="宋体" w:hAnsi="宋体" w:eastAsia="宋体"/>
              <w:color w:val="auto"/>
              <w:highlight w:val="none"/>
            </w:rPr>
            <w:fldChar w:fldCharType="separate"/>
          </w:r>
          <w:r>
            <w:rPr>
              <w:rFonts w:ascii="宋体" w:hAnsi="宋体" w:eastAsia="宋体"/>
              <w:color w:val="auto"/>
              <w:highlight w:val="none"/>
            </w:rPr>
            <w:t>22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"_Toc61529834" </w:instrText>
          </w:r>
          <w:r>
            <w:rPr>
              <w:color w:val="auto"/>
              <w:highlight w:val="none"/>
            </w:rPr>
            <w:fldChar w:fldCharType="separate"/>
          </w:r>
          <w:r>
            <w:rPr>
              <w:rStyle w:val="58"/>
              <w:rFonts w:ascii="宋体" w:hAnsi="宋体" w:eastAsia="宋体"/>
              <w:color w:val="auto"/>
              <w:highlight w:val="none"/>
              <w:lang w:val="zh-CN"/>
            </w:rPr>
            <w:t>（五）开标与评标</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_Toc61529834 \h </w:instrText>
          </w:r>
          <w:r>
            <w:rPr>
              <w:rFonts w:ascii="宋体" w:hAnsi="宋体" w:eastAsia="宋体"/>
              <w:color w:val="auto"/>
              <w:highlight w:val="none"/>
            </w:rPr>
            <w:fldChar w:fldCharType="separate"/>
          </w:r>
          <w:r>
            <w:rPr>
              <w:rFonts w:ascii="宋体" w:hAnsi="宋体" w:eastAsia="宋体"/>
              <w:color w:val="auto"/>
              <w:highlight w:val="none"/>
            </w:rPr>
            <w:t>22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"_Toc61529835" </w:instrText>
          </w:r>
          <w:r>
            <w:rPr>
              <w:color w:val="auto"/>
              <w:highlight w:val="none"/>
            </w:rPr>
            <w:fldChar w:fldCharType="separate"/>
          </w:r>
          <w:r>
            <w:rPr>
              <w:rStyle w:val="58"/>
              <w:rFonts w:ascii="宋体" w:hAnsi="宋体" w:eastAsia="宋体"/>
              <w:color w:val="auto"/>
              <w:highlight w:val="none"/>
            </w:rPr>
            <w:t>22.开标</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_Toc61529835 \h </w:instrText>
          </w:r>
          <w:r>
            <w:rPr>
              <w:rFonts w:ascii="宋体" w:hAnsi="宋体" w:eastAsia="宋体"/>
              <w:color w:val="auto"/>
              <w:highlight w:val="none"/>
            </w:rPr>
            <w:fldChar w:fldCharType="separate"/>
          </w:r>
          <w:r>
            <w:rPr>
              <w:rFonts w:ascii="宋体" w:hAnsi="宋体" w:eastAsia="宋体"/>
              <w:color w:val="auto"/>
              <w:highlight w:val="none"/>
            </w:rPr>
            <w:t>22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"_Toc61529836" </w:instrText>
          </w:r>
          <w:r>
            <w:rPr>
              <w:color w:val="auto"/>
              <w:highlight w:val="none"/>
            </w:rPr>
            <w:fldChar w:fldCharType="separate"/>
          </w:r>
          <w:r>
            <w:rPr>
              <w:rStyle w:val="58"/>
              <w:rFonts w:ascii="宋体" w:hAnsi="宋体" w:eastAsia="宋体"/>
              <w:color w:val="auto"/>
              <w:highlight w:val="none"/>
            </w:rPr>
            <w:t>23.评标委员会</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_Toc61529836 \h </w:instrText>
          </w:r>
          <w:r>
            <w:rPr>
              <w:rFonts w:ascii="宋体" w:hAnsi="宋体" w:eastAsia="宋体"/>
              <w:color w:val="auto"/>
              <w:highlight w:val="none"/>
            </w:rPr>
            <w:fldChar w:fldCharType="separate"/>
          </w:r>
          <w:r>
            <w:rPr>
              <w:rFonts w:ascii="宋体" w:hAnsi="宋体" w:eastAsia="宋体"/>
              <w:color w:val="auto"/>
              <w:highlight w:val="none"/>
            </w:rPr>
            <w:t>23</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"_Toc61529837" </w:instrText>
          </w:r>
          <w:r>
            <w:rPr>
              <w:color w:val="auto"/>
              <w:highlight w:val="none"/>
            </w:rPr>
            <w:fldChar w:fldCharType="separate"/>
          </w:r>
          <w:r>
            <w:rPr>
              <w:rStyle w:val="58"/>
              <w:rFonts w:ascii="宋体" w:hAnsi="宋体" w:eastAsia="宋体"/>
              <w:color w:val="auto"/>
              <w:highlight w:val="none"/>
            </w:rPr>
            <w:t>24.评标过程的保密性</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_Toc61529837 \h </w:instrText>
          </w:r>
          <w:r>
            <w:rPr>
              <w:rFonts w:ascii="宋体" w:hAnsi="宋体" w:eastAsia="宋体"/>
              <w:color w:val="auto"/>
              <w:highlight w:val="none"/>
            </w:rPr>
            <w:fldChar w:fldCharType="separate"/>
          </w:r>
          <w:r>
            <w:rPr>
              <w:rFonts w:ascii="宋体" w:hAnsi="宋体" w:eastAsia="宋体"/>
              <w:color w:val="auto"/>
              <w:highlight w:val="none"/>
            </w:rPr>
            <w:t>23</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"_Toc61529838" </w:instrText>
          </w:r>
          <w:r>
            <w:rPr>
              <w:color w:val="auto"/>
              <w:highlight w:val="none"/>
            </w:rPr>
            <w:fldChar w:fldCharType="separate"/>
          </w:r>
          <w:r>
            <w:rPr>
              <w:rStyle w:val="58"/>
              <w:rFonts w:ascii="宋体" w:hAnsi="宋体" w:eastAsia="宋体"/>
              <w:color w:val="auto"/>
              <w:highlight w:val="none"/>
            </w:rPr>
            <w:t>25.投标文件评审</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_Toc61529838 \h </w:instrText>
          </w:r>
          <w:r>
            <w:rPr>
              <w:rFonts w:ascii="宋体" w:hAnsi="宋体" w:eastAsia="宋体"/>
              <w:color w:val="auto"/>
              <w:highlight w:val="none"/>
            </w:rPr>
            <w:fldChar w:fldCharType="separate"/>
          </w:r>
          <w:r>
            <w:rPr>
              <w:rFonts w:ascii="宋体" w:hAnsi="宋体" w:eastAsia="宋体"/>
              <w:color w:val="auto"/>
              <w:highlight w:val="none"/>
            </w:rPr>
            <w:t>24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"_Toc61529839" </w:instrText>
          </w:r>
          <w:r>
            <w:rPr>
              <w:color w:val="auto"/>
              <w:highlight w:val="none"/>
            </w:rPr>
            <w:fldChar w:fldCharType="separate"/>
          </w:r>
          <w:r>
            <w:rPr>
              <w:rStyle w:val="58"/>
              <w:rFonts w:ascii="宋体" w:hAnsi="宋体" w:eastAsia="宋体"/>
              <w:color w:val="auto"/>
              <w:highlight w:val="none"/>
            </w:rPr>
            <w:t>26.投标文件的澄清</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_Toc61529839 \h </w:instrText>
          </w:r>
          <w:r>
            <w:rPr>
              <w:rFonts w:ascii="宋体" w:hAnsi="宋体" w:eastAsia="宋体"/>
              <w:color w:val="auto"/>
              <w:highlight w:val="none"/>
            </w:rPr>
            <w:fldChar w:fldCharType="separate"/>
          </w:r>
          <w:r>
            <w:rPr>
              <w:rFonts w:ascii="宋体" w:hAnsi="宋体" w:eastAsia="宋体"/>
              <w:color w:val="auto"/>
              <w:highlight w:val="none"/>
            </w:rPr>
            <w:t>24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"_Toc61529840" </w:instrText>
          </w:r>
          <w:r>
            <w:rPr>
              <w:color w:val="auto"/>
              <w:highlight w:val="none"/>
            </w:rPr>
            <w:fldChar w:fldCharType="separate"/>
          </w:r>
          <w:r>
            <w:rPr>
              <w:rStyle w:val="58"/>
              <w:rFonts w:ascii="宋体" w:hAnsi="宋体" w:eastAsia="宋体"/>
              <w:color w:val="auto"/>
              <w:highlight w:val="none"/>
            </w:rPr>
            <w:t>27.对投标文件的比较和评价</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_Toc61529840 \h </w:instrText>
          </w:r>
          <w:r>
            <w:rPr>
              <w:rFonts w:ascii="宋体" w:hAnsi="宋体" w:eastAsia="宋体"/>
              <w:color w:val="auto"/>
              <w:highlight w:val="none"/>
            </w:rPr>
            <w:fldChar w:fldCharType="separate"/>
          </w:r>
          <w:r>
            <w:rPr>
              <w:rFonts w:ascii="宋体" w:hAnsi="宋体" w:eastAsia="宋体"/>
              <w:color w:val="auto"/>
              <w:highlight w:val="none"/>
            </w:rPr>
            <w:t>24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"_Toc61529841" </w:instrText>
          </w:r>
          <w:r>
            <w:rPr>
              <w:color w:val="auto"/>
              <w:highlight w:val="none"/>
            </w:rPr>
            <w:fldChar w:fldCharType="separate"/>
          </w:r>
          <w:r>
            <w:rPr>
              <w:rStyle w:val="58"/>
              <w:rFonts w:ascii="宋体" w:hAnsi="宋体" w:eastAsia="宋体"/>
              <w:color w:val="auto"/>
              <w:highlight w:val="none"/>
            </w:rPr>
            <w:t>28.评标原则及方法</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_Toc61529841 \h </w:instrText>
          </w:r>
          <w:r>
            <w:rPr>
              <w:rFonts w:ascii="宋体" w:hAnsi="宋体" w:eastAsia="宋体"/>
              <w:color w:val="auto"/>
              <w:highlight w:val="none"/>
            </w:rPr>
            <w:fldChar w:fldCharType="separate"/>
          </w:r>
          <w:r>
            <w:rPr>
              <w:rFonts w:ascii="宋体" w:hAnsi="宋体" w:eastAsia="宋体"/>
              <w:color w:val="auto"/>
              <w:highlight w:val="none"/>
            </w:rPr>
            <w:t>24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"_Toc61529842" </w:instrText>
          </w:r>
          <w:r>
            <w:rPr>
              <w:color w:val="auto"/>
              <w:highlight w:val="none"/>
            </w:rPr>
            <w:fldChar w:fldCharType="separate"/>
          </w:r>
          <w:r>
            <w:rPr>
              <w:rStyle w:val="58"/>
              <w:rFonts w:ascii="宋体" w:hAnsi="宋体" w:eastAsia="宋体"/>
              <w:color w:val="auto"/>
              <w:highlight w:val="none"/>
            </w:rPr>
            <w:t>29.评标结果公示及异议、投诉</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_Toc61529842 \h </w:instrText>
          </w:r>
          <w:r>
            <w:rPr>
              <w:rFonts w:ascii="宋体" w:hAnsi="宋体" w:eastAsia="宋体"/>
              <w:color w:val="auto"/>
              <w:highlight w:val="none"/>
            </w:rPr>
            <w:fldChar w:fldCharType="separate"/>
          </w:r>
          <w:r>
            <w:rPr>
              <w:rFonts w:ascii="宋体" w:hAnsi="宋体" w:eastAsia="宋体"/>
              <w:color w:val="auto"/>
              <w:highlight w:val="none"/>
            </w:rPr>
            <w:t>24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"_Toc61529843" </w:instrText>
          </w:r>
          <w:r>
            <w:rPr>
              <w:color w:val="auto"/>
              <w:highlight w:val="none"/>
            </w:rPr>
            <w:fldChar w:fldCharType="separate"/>
          </w:r>
          <w:r>
            <w:rPr>
              <w:rStyle w:val="58"/>
              <w:rFonts w:ascii="宋体" w:hAnsi="宋体" w:eastAsia="宋体"/>
              <w:color w:val="auto"/>
              <w:highlight w:val="none"/>
            </w:rPr>
            <w:t>30.真实性审查</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_Toc61529843 \h </w:instrText>
          </w:r>
          <w:r>
            <w:rPr>
              <w:rFonts w:ascii="宋体" w:hAnsi="宋体" w:eastAsia="宋体"/>
              <w:color w:val="auto"/>
              <w:highlight w:val="none"/>
            </w:rPr>
            <w:fldChar w:fldCharType="separate"/>
          </w:r>
          <w:r>
            <w:rPr>
              <w:rFonts w:ascii="宋体" w:hAnsi="宋体" w:eastAsia="宋体"/>
              <w:color w:val="auto"/>
              <w:highlight w:val="none"/>
            </w:rPr>
            <w:t>25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"_Toc61529844" </w:instrText>
          </w:r>
          <w:r>
            <w:rPr>
              <w:color w:val="auto"/>
              <w:highlight w:val="none"/>
            </w:rPr>
            <w:fldChar w:fldCharType="separate"/>
          </w:r>
          <w:r>
            <w:rPr>
              <w:rStyle w:val="58"/>
              <w:rFonts w:ascii="宋体" w:hAnsi="宋体" w:eastAsia="宋体"/>
              <w:color w:val="auto"/>
              <w:highlight w:val="none"/>
            </w:rPr>
            <w:t>31.中标通知书</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_Toc61529844 \h </w:instrText>
          </w:r>
          <w:r>
            <w:rPr>
              <w:rFonts w:ascii="宋体" w:hAnsi="宋体" w:eastAsia="宋体"/>
              <w:color w:val="auto"/>
              <w:highlight w:val="none"/>
            </w:rPr>
            <w:fldChar w:fldCharType="separate"/>
          </w:r>
          <w:r>
            <w:rPr>
              <w:rFonts w:ascii="宋体" w:hAnsi="宋体" w:eastAsia="宋体"/>
              <w:color w:val="auto"/>
              <w:highlight w:val="none"/>
            </w:rPr>
            <w:t>26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"_Toc61529845" </w:instrText>
          </w:r>
          <w:r>
            <w:rPr>
              <w:color w:val="auto"/>
              <w:highlight w:val="none"/>
            </w:rPr>
            <w:fldChar w:fldCharType="separate"/>
          </w:r>
          <w:r>
            <w:rPr>
              <w:rStyle w:val="58"/>
              <w:rFonts w:ascii="宋体" w:hAnsi="宋体" w:eastAsia="宋体"/>
              <w:color w:val="auto"/>
              <w:highlight w:val="none"/>
              <w:lang w:val="zh-CN"/>
            </w:rPr>
            <w:t>（六）合同的授予</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_Toc61529845 \h </w:instrText>
          </w:r>
          <w:r>
            <w:rPr>
              <w:rFonts w:ascii="宋体" w:hAnsi="宋体" w:eastAsia="宋体"/>
              <w:color w:val="auto"/>
              <w:highlight w:val="none"/>
            </w:rPr>
            <w:fldChar w:fldCharType="separate"/>
          </w:r>
          <w:r>
            <w:rPr>
              <w:rFonts w:ascii="宋体" w:hAnsi="宋体" w:eastAsia="宋体"/>
              <w:color w:val="auto"/>
              <w:highlight w:val="none"/>
            </w:rPr>
            <w:t>26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"_Toc61529846" </w:instrText>
          </w:r>
          <w:r>
            <w:rPr>
              <w:color w:val="auto"/>
              <w:highlight w:val="none"/>
            </w:rPr>
            <w:fldChar w:fldCharType="separate"/>
          </w:r>
          <w:r>
            <w:rPr>
              <w:rStyle w:val="58"/>
              <w:rFonts w:ascii="宋体" w:hAnsi="宋体" w:eastAsia="宋体"/>
              <w:color w:val="auto"/>
              <w:highlight w:val="none"/>
            </w:rPr>
            <w:t>32.合同授予标准</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_Toc61529846 \h </w:instrText>
          </w:r>
          <w:r>
            <w:rPr>
              <w:rFonts w:ascii="宋体" w:hAnsi="宋体" w:eastAsia="宋体"/>
              <w:color w:val="auto"/>
              <w:highlight w:val="none"/>
            </w:rPr>
            <w:fldChar w:fldCharType="separate"/>
          </w:r>
          <w:r>
            <w:rPr>
              <w:rFonts w:ascii="宋体" w:hAnsi="宋体" w:eastAsia="宋体"/>
              <w:color w:val="auto"/>
              <w:highlight w:val="none"/>
            </w:rPr>
            <w:t>26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"_Toc61529847" </w:instrText>
          </w:r>
          <w:r>
            <w:rPr>
              <w:color w:val="auto"/>
              <w:highlight w:val="none"/>
            </w:rPr>
            <w:fldChar w:fldCharType="separate"/>
          </w:r>
          <w:r>
            <w:rPr>
              <w:rStyle w:val="58"/>
              <w:rFonts w:ascii="宋体" w:hAnsi="宋体" w:eastAsia="宋体"/>
              <w:color w:val="auto"/>
              <w:highlight w:val="none"/>
            </w:rPr>
            <w:t>33.接受和拒绝任何或所有投标的权利</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_Toc61529847 \h </w:instrText>
          </w:r>
          <w:r>
            <w:rPr>
              <w:rFonts w:ascii="宋体" w:hAnsi="宋体" w:eastAsia="宋体"/>
              <w:color w:val="auto"/>
              <w:highlight w:val="none"/>
            </w:rPr>
            <w:fldChar w:fldCharType="separate"/>
          </w:r>
          <w:r>
            <w:rPr>
              <w:rFonts w:ascii="宋体" w:hAnsi="宋体" w:eastAsia="宋体"/>
              <w:color w:val="auto"/>
              <w:highlight w:val="none"/>
            </w:rPr>
            <w:t>26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"_Toc61529848" </w:instrText>
          </w:r>
          <w:r>
            <w:rPr>
              <w:color w:val="auto"/>
              <w:highlight w:val="none"/>
            </w:rPr>
            <w:fldChar w:fldCharType="separate"/>
          </w:r>
          <w:r>
            <w:rPr>
              <w:rStyle w:val="58"/>
              <w:rFonts w:ascii="宋体" w:hAnsi="宋体" w:eastAsia="宋体"/>
              <w:color w:val="auto"/>
              <w:highlight w:val="none"/>
            </w:rPr>
            <w:t>34.授标时更改采购数量的权利</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_Toc61529848 \h </w:instrText>
          </w:r>
          <w:r>
            <w:rPr>
              <w:rFonts w:ascii="宋体" w:hAnsi="宋体" w:eastAsia="宋体"/>
              <w:color w:val="auto"/>
              <w:highlight w:val="none"/>
            </w:rPr>
            <w:fldChar w:fldCharType="separate"/>
          </w:r>
          <w:r>
            <w:rPr>
              <w:rFonts w:ascii="宋体" w:hAnsi="宋体" w:eastAsia="宋体"/>
              <w:color w:val="auto"/>
              <w:highlight w:val="none"/>
            </w:rPr>
            <w:t>26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"_Toc61529849" </w:instrText>
          </w:r>
          <w:r>
            <w:rPr>
              <w:color w:val="auto"/>
              <w:highlight w:val="none"/>
            </w:rPr>
            <w:fldChar w:fldCharType="separate"/>
          </w:r>
          <w:r>
            <w:rPr>
              <w:rStyle w:val="58"/>
              <w:rFonts w:ascii="宋体" w:hAnsi="宋体" w:eastAsia="宋体"/>
              <w:color w:val="auto"/>
              <w:highlight w:val="none"/>
            </w:rPr>
            <w:t>35.履约担保</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_Toc61529849 \h </w:instrText>
          </w:r>
          <w:r>
            <w:rPr>
              <w:rFonts w:ascii="宋体" w:hAnsi="宋体" w:eastAsia="宋体"/>
              <w:color w:val="auto"/>
              <w:highlight w:val="none"/>
            </w:rPr>
            <w:fldChar w:fldCharType="separate"/>
          </w:r>
          <w:r>
            <w:rPr>
              <w:rFonts w:ascii="宋体" w:hAnsi="宋体" w:eastAsia="宋体"/>
              <w:color w:val="auto"/>
              <w:highlight w:val="none"/>
            </w:rPr>
            <w:t>27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"_Toc61529850" </w:instrText>
          </w:r>
          <w:r>
            <w:rPr>
              <w:color w:val="auto"/>
              <w:highlight w:val="none"/>
            </w:rPr>
            <w:fldChar w:fldCharType="separate"/>
          </w:r>
          <w:r>
            <w:rPr>
              <w:rStyle w:val="58"/>
              <w:rFonts w:ascii="宋体" w:hAnsi="宋体" w:eastAsia="宋体"/>
              <w:color w:val="auto"/>
              <w:highlight w:val="none"/>
            </w:rPr>
            <w:t>36.合同协议书的签订</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_Toc61529850 \h </w:instrText>
          </w:r>
          <w:r>
            <w:rPr>
              <w:rFonts w:ascii="宋体" w:hAnsi="宋体" w:eastAsia="宋体"/>
              <w:color w:val="auto"/>
              <w:highlight w:val="none"/>
            </w:rPr>
            <w:fldChar w:fldCharType="separate"/>
          </w:r>
          <w:r>
            <w:rPr>
              <w:rFonts w:ascii="宋体" w:hAnsi="宋体" w:eastAsia="宋体"/>
              <w:color w:val="auto"/>
              <w:highlight w:val="none"/>
            </w:rPr>
            <w:t>27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"_Toc61529851" </w:instrText>
          </w:r>
          <w:r>
            <w:rPr>
              <w:color w:val="auto"/>
              <w:highlight w:val="none"/>
            </w:rPr>
            <w:fldChar w:fldCharType="separate"/>
          </w:r>
          <w:r>
            <w:rPr>
              <w:rStyle w:val="58"/>
              <w:rFonts w:ascii="宋体" w:hAnsi="宋体" w:eastAsia="宋体"/>
              <w:color w:val="auto"/>
              <w:highlight w:val="none"/>
            </w:rPr>
            <w:t>37.其他</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_Toc61529851 \h </w:instrText>
          </w:r>
          <w:r>
            <w:rPr>
              <w:rFonts w:ascii="宋体" w:hAnsi="宋体" w:eastAsia="宋体"/>
              <w:color w:val="auto"/>
              <w:highlight w:val="none"/>
            </w:rPr>
            <w:fldChar w:fldCharType="separate"/>
          </w:r>
          <w:r>
            <w:rPr>
              <w:rFonts w:ascii="宋体" w:hAnsi="宋体" w:eastAsia="宋体"/>
              <w:color w:val="auto"/>
              <w:highlight w:val="none"/>
            </w:rPr>
            <w:t>28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left" w:pos="1260"/>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"_Toc61529852" </w:instrText>
          </w:r>
          <w:r>
            <w:rPr>
              <w:color w:val="auto"/>
              <w:highlight w:val="none"/>
            </w:rPr>
            <w:fldChar w:fldCharType="separate"/>
          </w:r>
          <w:r>
            <w:rPr>
              <w:rStyle w:val="58"/>
              <w:rFonts w:ascii="宋体" w:hAnsi="宋体" w:eastAsia="宋体"/>
              <w:color w:val="auto"/>
              <w:highlight w:val="none"/>
            </w:rPr>
            <w:t>38.招标文件的解释权</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_Toc61529852 \h </w:instrText>
          </w:r>
          <w:r>
            <w:rPr>
              <w:rFonts w:ascii="宋体" w:hAnsi="宋体" w:eastAsia="宋体"/>
              <w:color w:val="auto"/>
              <w:highlight w:val="none"/>
            </w:rPr>
            <w:fldChar w:fldCharType="separate"/>
          </w:r>
          <w:r>
            <w:rPr>
              <w:rFonts w:ascii="宋体" w:hAnsi="宋体" w:eastAsia="宋体"/>
              <w:color w:val="auto"/>
              <w:highlight w:val="none"/>
            </w:rPr>
            <w:t>28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"_Toc61529853" </w:instrText>
          </w:r>
          <w:r>
            <w:rPr>
              <w:color w:val="auto"/>
              <w:highlight w:val="none"/>
            </w:rPr>
            <w:fldChar w:fldCharType="separate"/>
          </w:r>
          <w:r>
            <w:rPr>
              <w:rStyle w:val="58"/>
              <w:rFonts w:hint="eastAsia" w:ascii="宋体" w:hAnsi="宋体" w:eastAsia="宋体"/>
              <w:color w:val="auto"/>
              <w:kern w:val="44"/>
              <w:highlight w:val="none"/>
              <w:lang w:val="zh-CN"/>
            </w:rPr>
            <w:t>附件一</w:t>
          </w:r>
          <w:r>
            <w:rPr>
              <w:rStyle w:val="58"/>
              <w:rFonts w:ascii="宋体" w:hAnsi="宋体" w:eastAsia="宋体"/>
              <w:color w:val="auto"/>
              <w:kern w:val="44"/>
              <w:highlight w:val="none"/>
              <w:lang w:val="zh-CN"/>
            </w:rPr>
            <w:t xml:space="preserve"> </w:t>
          </w:r>
          <w:r>
            <w:rPr>
              <w:rStyle w:val="58"/>
              <w:rFonts w:hint="eastAsia" w:ascii="宋体" w:hAnsi="宋体" w:eastAsia="宋体"/>
              <w:color w:val="auto"/>
              <w:kern w:val="44"/>
              <w:highlight w:val="none"/>
              <w:lang w:val="zh-CN"/>
            </w:rPr>
            <w:t>投标担保函格式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_Toc61529853 \h </w:instrText>
          </w:r>
          <w:r>
            <w:rPr>
              <w:rFonts w:ascii="宋体" w:hAnsi="宋体" w:eastAsia="宋体"/>
              <w:color w:val="auto"/>
              <w:highlight w:val="none"/>
            </w:rPr>
            <w:fldChar w:fldCharType="separate"/>
          </w:r>
          <w:r>
            <w:rPr>
              <w:rFonts w:ascii="宋体" w:hAnsi="宋体" w:eastAsia="宋体"/>
              <w:color w:val="auto"/>
              <w:highlight w:val="none"/>
            </w:rPr>
            <w:t>29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"_Toc61529854" </w:instrText>
          </w:r>
          <w:r>
            <w:rPr>
              <w:color w:val="auto"/>
              <w:highlight w:val="none"/>
            </w:rPr>
            <w:fldChar w:fldCharType="separate"/>
          </w:r>
          <w:r>
            <w:rPr>
              <w:rStyle w:val="58"/>
              <w:rFonts w:ascii="宋体" w:hAnsi="宋体" w:eastAsia="宋体"/>
              <w:color w:val="auto"/>
              <w:kern w:val="44"/>
              <w:highlight w:val="none"/>
              <w:lang w:val="zh-CN"/>
            </w:rPr>
            <w:t>附件二 不可撤销银行履约保函格式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_Toc61529854 \h </w:instrText>
          </w:r>
          <w:r>
            <w:rPr>
              <w:rFonts w:ascii="宋体" w:hAnsi="宋体" w:eastAsia="宋体"/>
              <w:color w:val="auto"/>
              <w:highlight w:val="none"/>
            </w:rPr>
            <w:fldChar w:fldCharType="separate"/>
          </w:r>
          <w:r>
            <w:rPr>
              <w:rFonts w:ascii="宋体" w:hAnsi="宋体" w:eastAsia="宋体"/>
              <w:color w:val="auto"/>
              <w:highlight w:val="none"/>
            </w:rPr>
            <w:t>31</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"_Toc61529855" </w:instrText>
          </w:r>
          <w:r>
            <w:rPr>
              <w:color w:val="auto"/>
              <w:highlight w:val="none"/>
            </w:rPr>
            <w:fldChar w:fldCharType="separate"/>
          </w:r>
          <w:r>
            <w:rPr>
              <w:rStyle w:val="58"/>
              <w:rFonts w:ascii="宋体" w:hAnsi="宋体" w:eastAsia="宋体"/>
              <w:color w:val="auto"/>
              <w:kern w:val="44"/>
              <w:highlight w:val="none"/>
              <w:lang w:val="zh-CN"/>
            </w:rPr>
            <w:t>附件三 公证书格式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_Toc61529855 \h </w:instrText>
          </w:r>
          <w:r>
            <w:rPr>
              <w:rFonts w:ascii="宋体" w:hAnsi="宋体" w:eastAsia="宋体"/>
              <w:color w:val="auto"/>
              <w:highlight w:val="none"/>
            </w:rPr>
            <w:fldChar w:fldCharType="separate"/>
          </w:r>
          <w:r>
            <w:rPr>
              <w:rFonts w:ascii="宋体" w:hAnsi="宋体" w:eastAsia="宋体"/>
              <w:color w:val="auto"/>
              <w:highlight w:val="none"/>
            </w:rPr>
            <w:t>32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"_Toc61529856" </w:instrText>
          </w:r>
          <w:r>
            <w:rPr>
              <w:color w:val="auto"/>
              <w:highlight w:val="none"/>
            </w:rPr>
            <w:fldChar w:fldCharType="separate"/>
          </w:r>
          <w:r>
            <w:rPr>
              <w:rStyle w:val="58"/>
              <w:rFonts w:ascii="宋体" w:hAnsi="宋体" w:eastAsia="宋体"/>
              <w:color w:val="auto"/>
              <w:kern w:val="44"/>
              <w:highlight w:val="none"/>
              <w:lang w:val="zh-CN"/>
            </w:rPr>
            <w:t>附件四 退履约担保申请表格式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_Toc61529856 \h </w:instrText>
          </w:r>
          <w:r>
            <w:rPr>
              <w:rFonts w:ascii="宋体" w:hAnsi="宋体" w:eastAsia="宋体"/>
              <w:color w:val="auto"/>
              <w:highlight w:val="none"/>
            </w:rPr>
            <w:fldChar w:fldCharType="separate"/>
          </w:r>
          <w:r>
            <w:rPr>
              <w:rFonts w:ascii="宋体" w:hAnsi="宋体" w:eastAsia="宋体"/>
              <w:color w:val="auto"/>
              <w:highlight w:val="none"/>
            </w:rPr>
            <w:t>33</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3"/>
            <w:tabs>
              <w:tab w:val="right" w:leader="dot" w:pos="9288"/>
            </w:tabs>
            <w:spacing w:line="360" w:lineRule="auto"/>
            <w:rPr>
              <w:rFonts w:ascii="宋体" w:hAnsi="宋体" w:cstheme="minorBidi"/>
              <w:color w:val="auto"/>
              <w:sz w:val="22"/>
              <w:szCs w:val="22"/>
              <w:highlight w:val="none"/>
            </w:rPr>
          </w:pPr>
          <w:r>
            <w:rPr>
              <w:color w:val="auto"/>
              <w:highlight w:val="none"/>
            </w:rPr>
            <w:fldChar w:fldCharType="begin"/>
          </w:r>
          <w:r>
            <w:rPr>
              <w:color w:val="auto"/>
              <w:highlight w:val="none"/>
            </w:rPr>
            <w:instrText xml:space="preserve"> HYPERLINK \l "_Toc61529857" </w:instrText>
          </w:r>
          <w:r>
            <w:rPr>
              <w:color w:val="auto"/>
              <w:highlight w:val="none"/>
            </w:rPr>
            <w:fldChar w:fldCharType="separate"/>
          </w:r>
          <w:r>
            <w:rPr>
              <w:rStyle w:val="58"/>
              <w:rFonts w:hint="eastAsia" w:ascii="宋体" w:hAnsi="宋体"/>
              <w:color w:val="auto"/>
              <w:sz w:val="22"/>
              <w:szCs w:val="22"/>
              <w:highlight w:val="none"/>
            </w:rPr>
            <w:t>第三章</w:t>
          </w:r>
          <w:r>
            <w:rPr>
              <w:rStyle w:val="58"/>
              <w:rFonts w:ascii="宋体" w:hAnsi="宋体"/>
              <w:color w:val="auto"/>
              <w:sz w:val="22"/>
              <w:szCs w:val="22"/>
              <w:highlight w:val="none"/>
            </w:rPr>
            <w:t xml:space="preserve"> </w:t>
          </w:r>
          <w:r>
            <w:rPr>
              <w:rStyle w:val="58"/>
              <w:rFonts w:hint="eastAsia" w:ascii="宋体" w:hAnsi="宋体"/>
              <w:color w:val="auto"/>
              <w:sz w:val="22"/>
              <w:szCs w:val="22"/>
              <w:highlight w:val="none"/>
            </w:rPr>
            <w:t>评标办法</w:t>
          </w:r>
          <w:r>
            <w:rPr>
              <w:rFonts w:ascii="宋体" w:hAnsi="宋体"/>
              <w:color w:val="auto"/>
              <w:sz w:val="22"/>
              <w:szCs w:val="22"/>
              <w:highlight w:val="none"/>
            </w:rPr>
            <w:tab/>
          </w:r>
          <w:r>
            <w:rPr>
              <w:rFonts w:ascii="宋体" w:hAnsi="宋体"/>
              <w:color w:val="auto"/>
              <w:sz w:val="22"/>
              <w:szCs w:val="22"/>
              <w:highlight w:val="none"/>
            </w:rPr>
            <w:fldChar w:fldCharType="begin"/>
          </w:r>
          <w:r>
            <w:rPr>
              <w:rFonts w:ascii="宋体" w:hAnsi="宋体"/>
              <w:color w:val="auto"/>
              <w:sz w:val="22"/>
              <w:szCs w:val="22"/>
              <w:highlight w:val="none"/>
            </w:rPr>
            <w:instrText xml:space="preserve"> PAGEREF _Toc61529857 \h </w:instrText>
          </w:r>
          <w:r>
            <w:rPr>
              <w:rFonts w:ascii="宋体" w:hAnsi="宋体"/>
              <w:color w:val="auto"/>
              <w:sz w:val="22"/>
              <w:szCs w:val="22"/>
              <w:highlight w:val="none"/>
            </w:rPr>
            <w:fldChar w:fldCharType="separate"/>
          </w:r>
          <w:r>
            <w:rPr>
              <w:rFonts w:ascii="宋体" w:hAnsi="宋体"/>
              <w:color w:val="auto"/>
              <w:sz w:val="22"/>
              <w:szCs w:val="22"/>
              <w:highlight w:val="none"/>
            </w:rPr>
            <w:t>34</w:t>
          </w:r>
          <w:r>
            <w:rPr>
              <w:rFonts w:ascii="宋体" w:hAnsi="宋体"/>
              <w:color w:val="auto"/>
              <w:sz w:val="22"/>
              <w:szCs w:val="22"/>
              <w:highlight w:val="none"/>
            </w:rPr>
            <w:fldChar w:fldCharType="end"/>
          </w:r>
          <w:r>
            <w:rPr>
              <w:rFonts w:ascii="宋体" w:hAnsi="宋体"/>
              <w:color w:val="auto"/>
              <w:sz w:val="22"/>
              <w:szCs w:val="22"/>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"_Toc61529858" </w:instrText>
          </w:r>
          <w:r>
            <w:rPr>
              <w:color w:val="auto"/>
              <w:highlight w:val="none"/>
            </w:rPr>
            <w:fldChar w:fldCharType="separate"/>
          </w:r>
          <w:r>
            <w:rPr>
              <w:rStyle w:val="58"/>
              <w:rFonts w:hint="eastAsia" w:ascii="宋体" w:hAnsi="宋体" w:eastAsia="宋体"/>
              <w:color w:val="auto"/>
              <w:highlight w:val="none"/>
            </w:rPr>
            <w:t>一、评标原则和目的</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_Toc61529858 \h </w:instrText>
          </w:r>
          <w:r>
            <w:rPr>
              <w:rFonts w:ascii="宋体" w:hAnsi="宋体" w:eastAsia="宋体"/>
              <w:color w:val="auto"/>
              <w:highlight w:val="none"/>
            </w:rPr>
            <w:fldChar w:fldCharType="separate"/>
          </w:r>
          <w:r>
            <w:rPr>
              <w:rFonts w:ascii="宋体" w:hAnsi="宋体" w:eastAsia="宋体"/>
              <w:color w:val="auto"/>
              <w:highlight w:val="none"/>
            </w:rPr>
            <w:t>35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"_Toc61529859" </w:instrText>
          </w:r>
          <w:r>
            <w:rPr>
              <w:color w:val="auto"/>
              <w:highlight w:val="none"/>
            </w:rPr>
            <w:fldChar w:fldCharType="separate"/>
          </w:r>
          <w:r>
            <w:rPr>
              <w:rStyle w:val="58"/>
              <w:rFonts w:ascii="宋体" w:hAnsi="宋体" w:eastAsia="宋体"/>
              <w:color w:val="auto"/>
              <w:highlight w:val="none"/>
            </w:rPr>
            <w:t>二、评标程序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_Toc61529859 \h </w:instrText>
          </w:r>
          <w:r>
            <w:rPr>
              <w:rFonts w:ascii="宋体" w:hAnsi="宋体" w:eastAsia="宋体"/>
              <w:color w:val="auto"/>
              <w:highlight w:val="none"/>
            </w:rPr>
            <w:fldChar w:fldCharType="separate"/>
          </w:r>
          <w:r>
            <w:rPr>
              <w:rFonts w:ascii="宋体" w:hAnsi="宋体" w:eastAsia="宋体"/>
              <w:color w:val="auto"/>
              <w:highlight w:val="none"/>
            </w:rPr>
            <w:t>35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"_Toc61529860" </w:instrText>
          </w:r>
          <w:r>
            <w:rPr>
              <w:color w:val="auto"/>
              <w:highlight w:val="none"/>
            </w:rPr>
            <w:fldChar w:fldCharType="separate"/>
          </w:r>
          <w:r>
            <w:rPr>
              <w:rStyle w:val="58"/>
              <w:rFonts w:hint="eastAsia" w:ascii="宋体" w:hAnsi="宋体" w:eastAsia="宋体"/>
              <w:color w:val="auto"/>
              <w:highlight w:val="none"/>
            </w:rPr>
            <w:t>三、评分标准和细则</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_Toc61529860 \h </w:instrText>
          </w:r>
          <w:r>
            <w:rPr>
              <w:rFonts w:ascii="宋体" w:hAnsi="宋体" w:eastAsia="宋体"/>
              <w:color w:val="auto"/>
              <w:highlight w:val="none"/>
            </w:rPr>
            <w:fldChar w:fldCharType="separate"/>
          </w:r>
          <w:r>
            <w:rPr>
              <w:rFonts w:ascii="宋体" w:hAnsi="宋体" w:eastAsia="宋体"/>
              <w:color w:val="auto"/>
              <w:highlight w:val="none"/>
            </w:rPr>
            <w:t>39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3"/>
            <w:tabs>
              <w:tab w:val="right" w:leader="dot" w:pos="9288"/>
            </w:tabs>
            <w:spacing w:line="360" w:lineRule="auto"/>
            <w:rPr>
              <w:rFonts w:ascii="宋体" w:hAnsi="宋体" w:cstheme="minorBidi"/>
              <w:color w:val="auto"/>
              <w:sz w:val="22"/>
              <w:szCs w:val="22"/>
              <w:highlight w:val="none"/>
            </w:rPr>
          </w:pPr>
          <w:r>
            <w:rPr>
              <w:color w:val="auto"/>
              <w:highlight w:val="none"/>
            </w:rPr>
            <w:fldChar w:fldCharType="begin"/>
          </w:r>
          <w:r>
            <w:rPr>
              <w:color w:val="auto"/>
              <w:highlight w:val="none"/>
            </w:rPr>
            <w:instrText xml:space="preserve"> HYPERLINK \l "_Toc61529861" </w:instrText>
          </w:r>
          <w:r>
            <w:rPr>
              <w:color w:val="auto"/>
              <w:highlight w:val="none"/>
            </w:rPr>
            <w:fldChar w:fldCharType="separate"/>
          </w:r>
          <w:r>
            <w:rPr>
              <w:rStyle w:val="58"/>
              <w:rFonts w:hint="eastAsia" w:ascii="宋体" w:hAnsi="宋体"/>
              <w:color w:val="auto"/>
              <w:sz w:val="22"/>
              <w:szCs w:val="22"/>
              <w:highlight w:val="none"/>
            </w:rPr>
            <w:t>第四章</w:t>
          </w:r>
          <w:r>
            <w:rPr>
              <w:rStyle w:val="58"/>
              <w:rFonts w:ascii="宋体" w:hAnsi="宋体"/>
              <w:color w:val="auto"/>
              <w:sz w:val="22"/>
              <w:szCs w:val="22"/>
              <w:highlight w:val="none"/>
            </w:rPr>
            <w:t xml:space="preserve"> </w:t>
          </w:r>
          <w:r>
            <w:rPr>
              <w:rStyle w:val="58"/>
              <w:rFonts w:hint="eastAsia" w:ascii="宋体" w:hAnsi="宋体"/>
              <w:color w:val="auto"/>
              <w:sz w:val="22"/>
              <w:szCs w:val="22"/>
              <w:highlight w:val="none"/>
            </w:rPr>
            <w:t>用户需求书</w:t>
          </w:r>
          <w:r>
            <w:rPr>
              <w:rFonts w:ascii="宋体" w:hAnsi="宋体"/>
              <w:color w:val="auto"/>
              <w:sz w:val="22"/>
              <w:szCs w:val="22"/>
              <w:highlight w:val="none"/>
            </w:rPr>
            <w:tab/>
          </w:r>
          <w:r>
            <w:rPr>
              <w:rFonts w:ascii="宋体" w:hAnsi="宋体"/>
              <w:color w:val="auto"/>
              <w:sz w:val="22"/>
              <w:szCs w:val="22"/>
              <w:highlight w:val="none"/>
            </w:rPr>
            <w:fldChar w:fldCharType="begin"/>
          </w:r>
          <w:r>
            <w:rPr>
              <w:rFonts w:ascii="宋体" w:hAnsi="宋体"/>
              <w:color w:val="auto"/>
              <w:sz w:val="22"/>
              <w:szCs w:val="22"/>
              <w:highlight w:val="none"/>
            </w:rPr>
            <w:instrText xml:space="preserve"> PAGEREF _Toc61529861 \h </w:instrText>
          </w:r>
          <w:r>
            <w:rPr>
              <w:rFonts w:ascii="宋体" w:hAnsi="宋体"/>
              <w:color w:val="auto"/>
              <w:sz w:val="22"/>
              <w:szCs w:val="22"/>
              <w:highlight w:val="none"/>
            </w:rPr>
            <w:fldChar w:fldCharType="separate"/>
          </w:r>
          <w:r>
            <w:rPr>
              <w:rFonts w:ascii="宋体" w:hAnsi="宋体"/>
              <w:color w:val="auto"/>
              <w:sz w:val="22"/>
              <w:szCs w:val="22"/>
              <w:highlight w:val="none"/>
            </w:rPr>
            <w:t>44</w:t>
          </w:r>
          <w:r>
            <w:rPr>
              <w:rFonts w:ascii="宋体" w:hAnsi="宋体"/>
              <w:color w:val="auto"/>
              <w:sz w:val="22"/>
              <w:szCs w:val="22"/>
              <w:highlight w:val="none"/>
            </w:rPr>
            <w:fldChar w:fldCharType="end"/>
          </w:r>
          <w:r>
            <w:rPr>
              <w:rFonts w:ascii="宋体" w:hAnsi="宋体"/>
              <w:color w:val="auto"/>
              <w:sz w:val="22"/>
              <w:szCs w:val="22"/>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"_Toc61529862" </w:instrText>
          </w:r>
          <w:r>
            <w:rPr>
              <w:color w:val="auto"/>
              <w:highlight w:val="none"/>
            </w:rPr>
            <w:fldChar w:fldCharType="separate"/>
          </w:r>
          <w:r>
            <w:rPr>
              <w:rStyle w:val="58"/>
              <w:rFonts w:hint="eastAsia" w:ascii="宋体" w:hAnsi="宋体" w:eastAsia="宋体"/>
              <w:color w:val="auto"/>
              <w:highlight w:val="none"/>
            </w:rPr>
            <w:t>用户需求</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_Toc61529862 \h </w:instrText>
          </w:r>
          <w:r>
            <w:rPr>
              <w:rFonts w:ascii="宋体" w:hAnsi="宋体" w:eastAsia="宋体"/>
              <w:color w:val="auto"/>
              <w:highlight w:val="none"/>
            </w:rPr>
            <w:fldChar w:fldCharType="separate"/>
          </w:r>
          <w:r>
            <w:rPr>
              <w:rFonts w:ascii="宋体" w:hAnsi="宋体" w:eastAsia="宋体"/>
              <w:color w:val="auto"/>
              <w:highlight w:val="none"/>
            </w:rPr>
            <w:t>45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3"/>
            <w:tabs>
              <w:tab w:val="right" w:leader="dot" w:pos="9288"/>
            </w:tabs>
            <w:spacing w:line="360" w:lineRule="auto"/>
            <w:rPr>
              <w:rFonts w:ascii="宋体" w:hAnsi="宋体" w:cstheme="minorBidi"/>
              <w:color w:val="auto"/>
              <w:sz w:val="22"/>
              <w:szCs w:val="22"/>
              <w:highlight w:val="none"/>
            </w:rPr>
          </w:pPr>
          <w:r>
            <w:rPr>
              <w:color w:val="auto"/>
              <w:highlight w:val="none"/>
            </w:rPr>
            <w:fldChar w:fldCharType="begin"/>
          </w:r>
          <w:r>
            <w:rPr>
              <w:color w:val="auto"/>
              <w:highlight w:val="none"/>
            </w:rPr>
            <w:instrText xml:space="preserve"> HYPERLINK \l "_Toc61529863" </w:instrText>
          </w:r>
          <w:r>
            <w:rPr>
              <w:color w:val="auto"/>
              <w:highlight w:val="none"/>
            </w:rPr>
            <w:fldChar w:fldCharType="separate"/>
          </w:r>
          <w:r>
            <w:rPr>
              <w:rStyle w:val="58"/>
              <w:rFonts w:hint="eastAsia" w:ascii="宋体" w:hAnsi="宋体"/>
              <w:color w:val="auto"/>
              <w:sz w:val="22"/>
              <w:szCs w:val="22"/>
              <w:highlight w:val="none"/>
            </w:rPr>
            <w:t>第五章</w:t>
          </w:r>
          <w:r>
            <w:rPr>
              <w:rStyle w:val="58"/>
              <w:rFonts w:ascii="宋体" w:hAnsi="宋体"/>
              <w:color w:val="auto"/>
              <w:sz w:val="22"/>
              <w:szCs w:val="22"/>
              <w:highlight w:val="none"/>
            </w:rPr>
            <w:t xml:space="preserve"> </w:t>
          </w:r>
          <w:r>
            <w:rPr>
              <w:rStyle w:val="58"/>
              <w:rFonts w:hint="eastAsia" w:ascii="宋体" w:hAnsi="宋体"/>
              <w:color w:val="auto"/>
              <w:sz w:val="22"/>
              <w:szCs w:val="22"/>
              <w:highlight w:val="none"/>
            </w:rPr>
            <w:t>合同格式</w:t>
          </w:r>
          <w:r>
            <w:rPr>
              <w:rFonts w:ascii="宋体" w:hAnsi="宋体"/>
              <w:color w:val="auto"/>
              <w:sz w:val="22"/>
              <w:szCs w:val="22"/>
              <w:highlight w:val="none"/>
            </w:rPr>
            <w:tab/>
          </w:r>
          <w:r>
            <w:rPr>
              <w:rFonts w:ascii="宋体" w:hAnsi="宋体"/>
              <w:color w:val="auto"/>
              <w:sz w:val="22"/>
              <w:szCs w:val="22"/>
              <w:highlight w:val="none"/>
            </w:rPr>
            <w:fldChar w:fldCharType="begin"/>
          </w:r>
          <w:r>
            <w:rPr>
              <w:rFonts w:ascii="宋体" w:hAnsi="宋体"/>
              <w:color w:val="auto"/>
              <w:sz w:val="22"/>
              <w:szCs w:val="22"/>
              <w:highlight w:val="none"/>
            </w:rPr>
            <w:instrText xml:space="preserve"> PAGEREF _Toc61529863 \h </w:instrText>
          </w:r>
          <w:r>
            <w:rPr>
              <w:rFonts w:ascii="宋体" w:hAnsi="宋体"/>
              <w:color w:val="auto"/>
              <w:sz w:val="22"/>
              <w:szCs w:val="22"/>
              <w:highlight w:val="none"/>
            </w:rPr>
            <w:fldChar w:fldCharType="separate"/>
          </w:r>
          <w:r>
            <w:rPr>
              <w:rFonts w:ascii="宋体" w:hAnsi="宋体"/>
              <w:color w:val="auto"/>
              <w:sz w:val="22"/>
              <w:szCs w:val="22"/>
              <w:highlight w:val="none"/>
            </w:rPr>
            <w:t>53</w:t>
          </w:r>
          <w:r>
            <w:rPr>
              <w:rFonts w:ascii="宋体" w:hAnsi="宋体"/>
              <w:color w:val="auto"/>
              <w:sz w:val="22"/>
              <w:szCs w:val="22"/>
              <w:highlight w:val="none"/>
            </w:rPr>
            <w:fldChar w:fldCharType="end"/>
          </w:r>
          <w:r>
            <w:rPr>
              <w:rFonts w:ascii="宋体" w:hAnsi="宋体"/>
              <w:color w:val="auto"/>
              <w:sz w:val="22"/>
              <w:szCs w:val="22"/>
              <w:highlight w:val="none"/>
            </w:rPr>
            <w:fldChar w:fldCharType="end"/>
          </w:r>
        </w:p>
        <w:p>
          <w:pPr>
            <w:pStyle w:val="33"/>
            <w:tabs>
              <w:tab w:val="right" w:leader="dot" w:pos="9288"/>
            </w:tabs>
            <w:spacing w:line="360" w:lineRule="auto"/>
            <w:rPr>
              <w:rFonts w:ascii="宋体" w:hAnsi="宋体" w:cstheme="minorBidi"/>
              <w:color w:val="auto"/>
              <w:sz w:val="22"/>
              <w:szCs w:val="22"/>
              <w:highlight w:val="none"/>
            </w:rPr>
          </w:pPr>
          <w:r>
            <w:rPr>
              <w:color w:val="auto"/>
              <w:highlight w:val="none"/>
            </w:rPr>
            <w:fldChar w:fldCharType="begin"/>
          </w:r>
          <w:r>
            <w:rPr>
              <w:color w:val="auto"/>
              <w:highlight w:val="none"/>
            </w:rPr>
            <w:instrText xml:space="preserve"> HYPERLINK \l "_Toc61529864" </w:instrText>
          </w:r>
          <w:r>
            <w:rPr>
              <w:color w:val="auto"/>
              <w:highlight w:val="none"/>
            </w:rPr>
            <w:fldChar w:fldCharType="separate"/>
          </w:r>
          <w:r>
            <w:rPr>
              <w:rStyle w:val="58"/>
              <w:rFonts w:hint="eastAsia" w:ascii="宋体" w:hAnsi="宋体"/>
              <w:color w:val="auto"/>
              <w:sz w:val="22"/>
              <w:szCs w:val="22"/>
              <w:highlight w:val="none"/>
            </w:rPr>
            <w:t>第六章</w:t>
          </w:r>
          <w:r>
            <w:rPr>
              <w:rStyle w:val="58"/>
              <w:rFonts w:ascii="宋体" w:hAnsi="宋体"/>
              <w:color w:val="auto"/>
              <w:sz w:val="22"/>
              <w:szCs w:val="22"/>
              <w:highlight w:val="none"/>
            </w:rPr>
            <w:t xml:space="preserve"> </w:t>
          </w:r>
          <w:r>
            <w:rPr>
              <w:rStyle w:val="58"/>
              <w:rFonts w:hint="eastAsia" w:ascii="宋体" w:hAnsi="宋体"/>
              <w:color w:val="auto"/>
              <w:sz w:val="22"/>
              <w:szCs w:val="22"/>
              <w:highlight w:val="none"/>
            </w:rPr>
            <w:t>投标文件格式</w:t>
          </w:r>
          <w:r>
            <w:rPr>
              <w:rFonts w:ascii="宋体" w:hAnsi="宋体"/>
              <w:color w:val="auto"/>
              <w:sz w:val="22"/>
              <w:szCs w:val="22"/>
              <w:highlight w:val="none"/>
            </w:rPr>
            <w:tab/>
          </w:r>
          <w:r>
            <w:rPr>
              <w:rFonts w:ascii="宋体" w:hAnsi="宋体"/>
              <w:color w:val="auto"/>
              <w:sz w:val="22"/>
              <w:szCs w:val="22"/>
              <w:highlight w:val="none"/>
            </w:rPr>
            <w:fldChar w:fldCharType="begin"/>
          </w:r>
          <w:r>
            <w:rPr>
              <w:rFonts w:ascii="宋体" w:hAnsi="宋体"/>
              <w:color w:val="auto"/>
              <w:sz w:val="22"/>
              <w:szCs w:val="22"/>
              <w:highlight w:val="none"/>
            </w:rPr>
            <w:instrText xml:space="preserve"> PAGEREF _Toc61529864 \h </w:instrText>
          </w:r>
          <w:r>
            <w:rPr>
              <w:rFonts w:ascii="宋体" w:hAnsi="宋体"/>
              <w:color w:val="auto"/>
              <w:sz w:val="22"/>
              <w:szCs w:val="22"/>
              <w:highlight w:val="none"/>
            </w:rPr>
            <w:fldChar w:fldCharType="separate"/>
          </w:r>
          <w:r>
            <w:rPr>
              <w:rFonts w:ascii="宋体" w:hAnsi="宋体"/>
              <w:color w:val="auto"/>
              <w:sz w:val="22"/>
              <w:szCs w:val="22"/>
              <w:highlight w:val="none"/>
            </w:rPr>
            <w:t>87</w:t>
          </w:r>
          <w:r>
            <w:rPr>
              <w:rFonts w:ascii="宋体" w:hAnsi="宋体"/>
              <w:color w:val="auto"/>
              <w:sz w:val="22"/>
              <w:szCs w:val="22"/>
              <w:highlight w:val="none"/>
            </w:rPr>
            <w:fldChar w:fldCharType="end"/>
          </w:r>
          <w:r>
            <w:rPr>
              <w:rFonts w:ascii="宋体" w:hAnsi="宋体"/>
              <w:color w:val="auto"/>
              <w:sz w:val="22"/>
              <w:szCs w:val="22"/>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"_Toc61529865" </w:instrText>
          </w:r>
          <w:r>
            <w:rPr>
              <w:color w:val="auto"/>
              <w:highlight w:val="none"/>
            </w:rPr>
            <w:fldChar w:fldCharType="separate"/>
          </w:r>
          <w:r>
            <w:rPr>
              <w:rStyle w:val="58"/>
              <w:rFonts w:hint="eastAsia" w:ascii="宋体" w:hAnsi="宋体" w:eastAsia="宋体"/>
              <w:color w:val="auto"/>
              <w:spacing w:val="-6"/>
              <w:highlight w:val="none"/>
            </w:rPr>
            <w:t>一、价格部分文件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_Toc61529865 \h </w:instrText>
          </w:r>
          <w:r>
            <w:rPr>
              <w:rFonts w:ascii="宋体" w:hAnsi="宋体" w:eastAsia="宋体"/>
              <w:color w:val="auto"/>
              <w:highlight w:val="none"/>
            </w:rPr>
            <w:fldChar w:fldCharType="separate"/>
          </w:r>
          <w:r>
            <w:rPr>
              <w:rFonts w:ascii="宋体" w:hAnsi="宋体" w:eastAsia="宋体"/>
              <w:color w:val="auto"/>
              <w:highlight w:val="none"/>
            </w:rPr>
            <w:t>88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"_Toc61529866" </w:instrText>
          </w:r>
          <w:r>
            <w:rPr>
              <w:color w:val="auto"/>
              <w:highlight w:val="none"/>
            </w:rPr>
            <w:fldChar w:fldCharType="separate"/>
          </w:r>
          <w:r>
            <w:rPr>
              <w:rStyle w:val="58"/>
              <w:rFonts w:ascii="宋体" w:hAnsi="宋体" w:eastAsia="宋体"/>
              <w:color w:val="auto"/>
              <w:highlight w:val="none"/>
            </w:rPr>
            <w:t>1、投标报价一览表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_Toc61529866 \h </w:instrText>
          </w:r>
          <w:r>
            <w:rPr>
              <w:rFonts w:ascii="宋体" w:hAnsi="宋体" w:eastAsia="宋体"/>
              <w:color w:val="auto"/>
              <w:highlight w:val="none"/>
            </w:rPr>
            <w:fldChar w:fldCharType="separate"/>
          </w:r>
          <w:r>
            <w:rPr>
              <w:rFonts w:ascii="宋体" w:hAnsi="宋体" w:eastAsia="宋体"/>
              <w:color w:val="auto"/>
              <w:highlight w:val="none"/>
            </w:rPr>
            <w:t>89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"_Toc61529868" </w:instrText>
          </w:r>
          <w:r>
            <w:rPr>
              <w:color w:val="auto"/>
              <w:highlight w:val="none"/>
            </w:rPr>
            <w:fldChar w:fldCharType="separate"/>
          </w:r>
          <w:r>
            <w:rPr>
              <w:rStyle w:val="58"/>
              <w:rFonts w:ascii="宋体" w:hAnsi="宋体" w:eastAsia="宋体" w:cs="宋体"/>
              <w:color w:val="auto"/>
              <w:highlight w:val="none"/>
            </w:rPr>
            <w:t>2、投标分项报价表（服物类适用）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_Toc61529868 \h </w:instrText>
          </w:r>
          <w:r>
            <w:rPr>
              <w:rFonts w:ascii="宋体" w:hAnsi="宋体" w:eastAsia="宋体"/>
              <w:color w:val="auto"/>
              <w:highlight w:val="none"/>
            </w:rPr>
            <w:fldChar w:fldCharType="separate"/>
          </w:r>
          <w:r>
            <w:rPr>
              <w:rFonts w:ascii="宋体" w:hAnsi="宋体" w:eastAsia="宋体"/>
              <w:color w:val="auto"/>
              <w:highlight w:val="none"/>
            </w:rPr>
            <w:t>90</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"_Toc61529869" </w:instrText>
          </w:r>
          <w:r>
            <w:rPr>
              <w:color w:val="auto"/>
              <w:highlight w:val="none"/>
            </w:rPr>
            <w:fldChar w:fldCharType="separate"/>
          </w:r>
          <w:r>
            <w:rPr>
              <w:rStyle w:val="58"/>
              <w:rFonts w:hint="eastAsia" w:ascii="宋体" w:hAnsi="宋体" w:eastAsia="宋体"/>
              <w:color w:val="auto"/>
              <w:spacing w:val="-6"/>
              <w:highlight w:val="none"/>
            </w:rPr>
            <w:t>二、商务、技术部分文件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_Toc61529869 \h </w:instrText>
          </w:r>
          <w:r>
            <w:rPr>
              <w:rFonts w:ascii="宋体" w:hAnsi="宋体" w:eastAsia="宋体"/>
              <w:color w:val="auto"/>
              <w:highlight w:val="none"/>
            </w:rPr>
            <w:fldChar w:fldCharType="separate"/>
          </w:r>
          <w:r>
            <w:rPr>
              <w:rFonts w:ascii="宋体" w:hAnsi="宋体" w:eastAsia="宋体"/>
              <w:color w:val="auto"/>
              <w:highlight w:val="none"/>
            </w:rPr>
            <w:t>91</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"_Toc61529870" </w:instrText>
          </w:r>
          <w:r>
            <w:rPr>
              <w:color w:val="auto"/>
              <w:highlight w:val="none"/>
            </w:rPr>
            <w:fldChar w:fldCharType="separate"/>
          </w:r>
          <w:r>
            <w:rPr>
              <w:rStyle w:val="58"/>
              <w:rFonts w:ascii="宋体" w:hAnsi="宋体" w:eastAsia="宋体"/>
              <w:color w:val="auto"/>
              <w:highlight w:val="none"/>
            </w:rPr>
            <w:t>1、投标函</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_Toc61529870 \h </w:instrText>
          </w:r>
          <w:r>
            <w:rPr>
              <w:rFonts w:ascii="宋体" w:hAnsi="宋体" w:eastAsia="宋体"/>
              <w:color w:val="auto"/>
              <w:highlight w:val="none"/>
            </w:rPr>
            <w:fldChar w:fldCharType="separate"/>
          </w:r>
          <w:r>
            <w:rPr>
              <w:rFonts w:ascii="宋体" w:hAnsi="宋体" w:eastAsia="宋体"/>
              <w:color w:val="auto"/>
              <w:highlight w:val="none"/>
            </w:rPr>
            <w:t>92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"_Toc61529871" </w:instrText>
          </w:r>
          <w:r>
            <w:rPr>
              <w:color w:val="auto"/>
              <w:highlight w:val="none"/>
            </w:rPr>
            <w:fldChar w:fldCharType="separate"/>
          </w:r>
          <w:r>
            <w:rPr>
              <w:rStyle w:val="58"/>
              <w:rFonts w:ascii="宋体" w:hAnsi="宋体" w:eastAsia="宋体"/>
              <w:color w:val="auto"/>
              <w:highlight w:val="none"/>
            </w:rPr>
            <w:t>2、承诺书</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_Toc61529871 \h </w:instrText>
          </w:r>
          <w:r>
            <w:rPr>
              <w:rFonts w:ascii="宋体" w:hAnsi="宋体" w:eastAsia="宋体"/>
              <w:color w:val="auto"/>
              <w:highlight w:val="none"/>
            </w:rPr>
            <w:fldChar w:fldCharType="separate"/>
          </w:r>
          <w:r>
            <w:rPr>
              <w:rFonts w:ascii="宋体" w:hAnsi="宋体" w:eastAsia="宋体"/>
              <w:color w:val="auto"/>
              <w:highlight w:val="none"/>
            </w:rPr>
            <w:t>93</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"_Toc61529872" </w:instrText>
          </w:r>
          <w:r>
            <w:rPr>
              <w:color w:val="auto"/>
              <w:highlight w:val="none"/>
            </w:rPr>
            <w:fldChar w:fldCharType="separate"/>
          </w:r>
          <w:r>
            <w:rPr>
              <w:rStyle w:val="58"/>
              <w:rFonts w:ascii="宋体" w:hAnsi="宋体" w:eastAsia="宋体"/>
              <w:color w:val="auto"/>
              <w:highlight w:val="none"/>
            </w:rPr>
            <w:t>3、法定代表人身份证明书</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_Toc61529872 \h </w:instrText>
          </w:r>
          <w:r>
            <w:rPr>
              <w:rFonts w:ascii="宋体" w:hAnsi="宋体" w:eastAsia="宋体"/>
              <w:color w:val="auto"/>
              <w:highlight w:val="none"/>
            </w:rPr>
            <w:fldChar w:fldCharType="separate"/>
          </w:r>
          <w:r>
            <w:rPr>
              <w:rFonts w:ascii="宋体" w:hAnsi="宋体" w:eastAsia="宋体"/>
              <w:color w:val="auto"/>
              <w:highlight w:val="none"/>
            </w:rPr>
            <w:t>94</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"_Toc61529873" </w:instrText>
          </w:r>
          <w:r>
            <w:rPr>
              <w:color w:val="auto"/>
              <w:highlight w:val="none"/>
            </w:rPr>
            <w:fldChar w:fldCharType="separate"/>
          </w:r>
          <w:r>
            <w:rPr>
              <w:rStyle w:val="58"/>
              <w:rFonts w:ascii="宋体" w:hAnsi="宋体" w:eastAsia="宋体"/>
              <w:color w:val="auto"/>
              <w:highlight w:val="none"/>
            </w:rPr>
            <w:t>4</w:t>
          </w:r>
          <w:r>
            <w:rPr>
              <w:rStyle w:val="58"/>
              <w:rFonts w:hint="eastAsia" w:ascii="宋体" w:hAnsi="宋体" w:eastAsia="宋体"/>
              <w:color w:val="auto"/>
              <w:highlight w:val="none"/>
            </w:rPr>
            <w:t>、法定代表人授权委托书</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_Toc61529873 \h </w:instrText>
          </w:r>
          <w:r>
            <w:rPr>
              <w:rFonts w:ascii="宋体" w:hAnsi="宋体" w:eastAsia="宋体"/>
              <w:color w:val="auto"/>
              <w:highlight w:val="none"/>
            </w:rPr>
            <w:fldChar w:fldCharType="separate"/>
          </w:r>
          <w:r>
            <w:rPr>
              <w:rFonts w:ascii="宋体" w:hAnsi="宋体" w:eastAsia="宋体"/>
              <w:color w:val="auto"/>
              <w:highlight w:val="none"/>
            </w:rPr>
            <w:t>95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"_Toc61529874" </w:instrText>
          </w:r>
          <w:r>
            <w:rPr>
              <w:color w:val="auto"/>
              <w:highlight w:val="none"/>
            </w:rPr>
            <w:fldChar w:fldCharType="separate"/>
          </w:r>
          <w:r>
            <w:rPr>
              <w:rStyle w:val="58"/>
              <w:rFonts w:ascii="宋体" w:hAnsi="宋体" w:eastAsia="宋体"/>
              <w:color w:val="auto"/>
              <w:highlight w:val="none"/>
            </w:rPr>
            <w:t>5、资格文件声明函</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_Toc61529874 \h </w:instrText>
          </w:r>
          <w:r>
            <w:rPr>
              <w:rFonts w:ascii="宋体" w:hAnsi="宋体" w:eastAsia="宋体"/>
              <w:color w:val="auto"/>
              <w:highlight w:val="none"/>
            </w:rPr>
            <w:fldChar w:fldCharType="separate"/>
          </w:r>
          <w:r>
            <w:rPr>
              <w:rFonts w:ascii="宋体" w:hAnsi="宋体" w:eastAsia="宋体"/>
              <w:color w:val="auto"/>
              <w:highlight w:val="none"/>
            </w:rPr>
            <w:t>96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"_Toc61529875" </w:instrText>
          </w:r>
          <w:r>
            <w:rPr>
              <w:color w:val="auto"/>
              <w:highlight w:val="none"/>
            </w:rPr>
            <w:fldChar w:fldCharType="separate"/>
          </w:r>
          <w:r>
            <w:rPr>
              <w:rStyle w:val="58"/>
              <w:rFonts w:ascii="宋体" w:hAnsi="宋体" w:eastAsia="宋体"/>
              <w:color w:val="auto"/>
              <w:highlight w:val="none"/>
            </w:rPr>
            <w:t>6、投标单位基本情况、简介</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_Toc61529875 \h </w:instrText>
          </w:r>
          <w:r>
            <w:rPr>
              <w:rFonts w:ascii="宋体" w:hAnsi="宋体" w:eastAsia="宋体"/>
              <w:color w:val="auto"/>
              <w:highlight w:val="none"/>
            </w:rPr>
            <w:fldChar w:fldCharType="separate"/>
          </w:r>
          <w:r>
            <w:rPr>
              <w:rFonts w:ascii="宋体" w:hAnsi="宋体" w:eastAsia="宋体"/>
              <w:color w:val="auto"/>
              <w:highlight w:val="none"/>
            </w:rPr>
            <w:t>97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"_Toc61529876" </w:instrText>
          </w:r>
          <w:r>
            <w:rPr>
              <w:color w:val="auto"/>
              <w:highlight w:val="none"/>
            </w:rPr>
            <w:fldChar w:fldCharType="separate"/>
          </w:r>
          <w:r>
            <w:rPr>
              <w:rStyle w:val="58"/>
              <w:rFonts w:ascii="宋体" w:hAnsi="宋体" w:eastAsia="宋体"/>
              <w:color w:val="auto"/>
              <w:highlight w:val="none"/>
            </w:rPr>
            <w:t>7、投标人资格证明文件</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_Toc61529876 \h </w:instrText>
          </w:r>
          <w:r>
            <w:rPr>
              <w:rFonts w:ascii="宋体" w:hAnsi="宋体" w:eastAsia="宋体"/>
              <w:color w:val="auto"/>
              <w:highlight w:val="none"/>
            </w:rPr>
            <w:fldChar w:fldCharType="separate"/>
          </w:r>
          <w:r>
            <w:rPr>
              <w:rFonts w:ascii="宋体" w:hAnsi="宋体" w:eastAsia="宋体"/>
              <w:color w:val="auto"/>
              <w:highlight w:val="none"/>
            </w:rPr>
            <w:t>98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"_Toc61529877" </w:instrText>
          </w:r>
          <w:r>
            <w:rPr>
              <w:color w:val="auto"/>
              <w:highlight w:val="none"/>
            </w:rPr>
            <w:fldChar w:fldCharType="separate"/>
          </w:r>
          <w:r>
            <w:rPr>
              <w:rStyle w:val="58"/>
              <w:rFonts w:ascii="宋体" w:hAnsi="宋体" w:eastAsia="宋体"/>
              <w:color w:val="auto"/>
              <w:highlight w:val="none"/>
            </w:rPr>
            <w:t>8、投标人承诺</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_Toc61529877 \h </w:instrText>
          </w:r>
          <w:r>
            <w:rPr>
              <w:rFonts w:ascii="宋体" w:hAnsi="宋体" w:eastAsia="宋体"/>
              <w:color w:val="auto"/>
              <w:highlight w:val="none"/>
            </w:rPr>
            <w:fldChar w:fldCharType="separate"/>
          </w:r>
          <w:r>
            <w:rPr>
              <w:rFonts w:ascii="宋体" w:hAnsi="宋体" w:eastAsia="宋体"/>
              <w:color w:val="auto"/>
              <w:highlight w:val="none"/>
            </w:rPr>
            <w:t>99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"_Toc61529878" </w:instrText>
          </w:r>
          <w:r>
            <w:rPr>
              <w:color w:val="auto"/>
              <w:highlight w:val="none"/>
            </w:rPr>
            <w:fldChar w:fldCharType="separate"/>
          </w:r>
          <w:r>
            <w:rPr>
              <w:rStyle w:val="58"/>
              <w:rFonts w:ascii="宋体" w:hAnsi="宋体" w:eastAsia="宋体"/>
              <w:color w:val="auto"/>
              <w:highlight w:val="none"/>
            </w:rPr>
            <w:t>9、业绩情况一览表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_Toc61529878 \h </w:instrText>
          </w:r>
          <w:r>
            <w:rPr>
              <w:rFonts w:ascii="宋体" w:hAnsi="宋体" w:eastAsia="宋体"/>
              <w:color w:val="auto"/>
              <w:highlight w:val="none"/>
            </w:rPr>
            <w:fldChar w:fldCharType="separate"/>
          </w:r>
          <w:r>
            <w:rPr>
              <w:rFonts w:ascii="宋体" w:hAnsi="宋体" w:eastAsia="宋体"/>
              <w:color w:val="auto"/>
              <w:highlight w:val="none"/>
            </w:rPr>
            <w:t>102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"_Toc61529879" </w:instrText>
          </w:r>
          <w:r>
            <w:rPr>
              <w:color w:val="auto"/>
              <w:highlight w:val="none"/>
            </w:rPr>
            <w:fldChar w:fldCharType="separate"/>
          </w:r>
          <w:r>
            <w:rPr>
              <w:rStyle w:val="58"/>
              <w:rFonts w:ascii="宋体" w:hAnsi="宋体" w:eastAsia="宋体"/>
              <w:color w:val="auto"/>
              <w:highlight w:val="none"/>
            </w:rPr>
            <w:t>10、拟投入本项目的服务团队人员情况表格式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_Toc61529879 \h </w:instrText>
          </w:r>
          <w:r>
            <w:rPr>
              <w:rFonts w:ascii="宋体" w:hAnsi="宋体" w:eastAsia="宋体"/>
              <w:color w:val="auto"/>
              <w:highlight w:val="none"/>
            </w:rPr>
            <w:fldChar w:fldCharType="separate"/>
          </w:r>
          <w:r>
            <w:rPr>
              <w:rFonts w:ascii="宋体" w:hAnsi="宋体" w:eastAsia="宋体"/>
              <w:color w:val="auto"/>
              <w:highlight w:val="none"/>
            </w:rPr>
            <w:t>103</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"_Toc61529880" </w:instrText>
          </w:r>
          <w:r>
            <w:rPr>
              <w:color w:val="auto"/>
              <w:highlight w:val="none"/>
            </w:rPr>
            <w:fldChar w:fldCharType="separate"/>
          </w:r>
          <w:r>
            <w:rPr>
              <w:rStyle w:val="58"/>
              <w:rFonts w:ascii="宋体" w:hAnsi="宋体" w:eastAsia="宋体"/>
              <w:color w:val="auto"/>
              <w:highlight w:val="none"/>
            </w:rPr>
            <w:t>11</w:t>
          </w:r>
          <w:r>
            <w:rPr>
              <w:rStyle w:val="58"/>
              <w:rFonts w:hint="eastAsia" w:ascii="宋体" w:hAnsi="宋体" w:eastAsia="宋体"/>
              <w:color w:val="auto"/>
              <w:highlight w:val="none"/>
            </w:rPr>
            <w:t>、投标方案</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_Toc61529880 \h </w:instrText>
          </w:r>
          <w:r>
            <w:rPr>
              <w:rFonts w:ascii="宋体" w:hAnsi="宋体" w:eastAsia="宋体"/>
              <w:color w:val="auto"/>
              <w:highlight w:val="none"/>
            </w:rPr>
            <w:fldChar w:fldCharType="separate"/>
          </w:r>
          <w:r>
            <w:rPr>
              <w:rFonts w:ascii="宋体" w:hAnsi="宋体" w:eastAsia="宋体"/>
              <w:color w:val="auto"/>
              <w:highlight w:val="none"/>
            </w:rPr>
            <w:t>105</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"_Toc61529881" </w:instrText>
          </w:r>
          <w:r>
            <w:rPr>
              <w:color w:val="auto"/>
              <w:highlight w:val="none"/>
            </w:rPr>
            <w:fldChar w:fldCharType="separate"/>
          </w:r>
          <w:r>
            <w:rPr>
              <w:rStyle w:val="58"/>
              <w:rFonts w:ascii="宋体" w:hAnsi="宋体" w:eastAsia="宋体"/>
              <w:color w:val="auto"/>
              <w:highlight w:val="none"/>
            </w:rPr>
            <w:t>12</w:t>
          </w:r>
          <w:r>
            <w:rPr>
              <w:rStyle w:val="58"/>
              <w:rFonts w:hint="eastAsia" w:ascii="宋体" w:hAnsi="宋体" w:eastAsia="宋体"/>
              <w:color w:val="auto"/>
              <w:highlight w:val="none"/>
            </w:rPr>
            <w:t>、用户需求偏离表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_Toc61529881 \h </w:instrText>
          </w:r>
          <w:r>
            <w:rPr>
              <w:rFonts w:ascii="宋体" w:hAnsi="宋体" w:eastAsia="宋体"/>
              <w:color w:val="auto"/>
              <w:highlight w:val="none"/>
            </w:rPr>
            <w:fldChar w:fldCharType="separate"/>
          </w:r>
          <w:r>
            <w:rPr>
              <w:rFonts w:ascii="宋体" w:hAnsi="宋体" w:eastAsia="宋体"/>
              <w:color w:val="auto"/>
              <w:highlight w:val="none"/>
            </w:rPr>
            <w:t>106</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"_Toc61529882" </w:instrText>
          </w:r>
          <w:r>
            <w:rPr>
              <w:color w:val="auto"/>
              <w:highlight w:val="none"/>
            </w:rPr>
            <w:fldChar w:fldCharType="separate"/>
          </w:r>
          <w:r>
            <w:rPr>
              <w:rStyle w:val="58"/>
              <w:rFonts w:ascii="宋体" w:hAnsi="宋体" w:eastAsia="宋体"/>
              <w:color w:val="auto"/>
              <w:highlight w:val="none"/>
            </w:rPr>
            <w:t>13</w:t>
          </w:r>
          <w:r>
            <w:rPr>
              <w:rStyle w:val="58"/>
              <w:rFonts w:hint="eastAsia" w:ascii="宋体" w:hAnsi="宋体" w:eastAsia="宋体"/>
              <w:color w:val="auto"/>
              <w:highlight w:val="none"/>
            </w:rPr>
            <w:t>、</w:t>
          </w:r>
          <w:r>
            <w:rPr>
              <w:rStyle w:val="58"/>
              <w:rFonts w:ascii="宋体" w:hAnsi="宋体" w:eastAsia="宋体"/>
              <w:color w:val="auto"/>
              <w:highlight w:val="none"/>
            </w:rPr>
            <w:t>★</w:t>
          </w:r>
          <w:r>
            <w:rPr>
              <w:rStyle w:val="58"/>
              <w:rFonts w:hint="eastAsia" w:ascii="宋体" w:hAnsi="宋体" w:eastAsia="宋体"/>
              <w:color w:val="auto"/>
              <w:highlight w:val="none"/>
            </w:rPr>
            <w:t>号条款响应表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_Toc61529882 \h </w:instrText>
          </w:r>
          <w:r>
            <w:rPr>
              <w:rFonts w:ascii="宋体" w:hAnsi="宋体" w:eastAsia="宋体"/>
              <w:color w:val="auto"/>
              <w:highlight w:val="none"/>
            </w:rPr>
            <w:fldChar w:fldCharType="separate"/>
          </w:r>
          <w:r>
            <w:rPr>
              <w:rFonts w:ascii="宋体" w:hAnsi="宋体" w:eastAsia="宋体"/>
              <w:color w:val="auto"/>
              <w:highlight w:val="none"/>
            </w:rPr>
            <w:t>107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"_Toc61529883" </w:instrText>
          </w:r>
          <w:r>
            <w:rPr>
              <w:color w:val="auto"/>
              <w:highlight w:val="none"/>
            </w:rPr>
            <w:fldChar w:fldCharType="separate"/>
          </w:r>
          <w:r>
            <w:rPr>
              <w:rStyle w:val="58"/>
              <w:rFonts w:ascii="宋体" w:hAnsi="宋体" w:eastAsia="宋体"/>
              <w:color w:val="auto"/>
              <w:highlight w:val="none"/>
            </w:rPr>
            <w:t>14</w:t>
          </w:r>
          <w:r>
            <w:rPr>
              <w:rStyle w:val="58"/>
              <w:rFonts w:hint="eastAsia" w:ascii="宋体" w:hAnsi="宋体" w:eastAsia="宋体"/>
              <w:color w:val="auto"/>
              <w:highlight w:val="none"/>
            </w:rPr>
            <w:t>、合同条款偏离表</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_Toc61529883 \h </w:instrText>
          </w:r>
          <w:r>
            <w:rPr>
              <w:rFonts w:ascii="宋体" w:hAnsi="宋体" w:eastAsia="宋体"/>
              <w:color w:val="auto"/>
              <w:highlight w:val="none"/>
            </w:rPr>
            <w:fldChar w:fldCharType="separate"/>
          </w:r>
          <w:r>
            <w:rPr>
              <w:rFonts w:ascii="宋体" w:hAnsi="宋体" w:eastAsia="宋体"/>
              <w:color w:val="auto"/>
              <w:highlight w:val="none"/>
            </w:rPr>
            <w:t>108</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"_Toc61529884" </w:instrText>
          </w:r>
          <w:r>
            <w:rPr>
              <w:color w:val="auto"/>
              <w:highlight w:val="none"/>
            </w:rPr>
            <w:fldChar w:fldCharType="separate"/>
          </w:r>
          <w:r>
            <w:rPr>
              <w:rStyle w:val="58"/>
              <w:rFonts w:ascii="宋体" w:hAnsi="宋体" w:eastAsia="宋体"/>
              <w:color w:val="auto"/>
              <w:highlight w:val="none"/>
            </w:rPr>
            <w:t>15、投标保证金汇入情况说明</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_Toc61529884 \h </w:instrText>
          </w:r>
          <w:r>
            <w:rPr>
              <w:rFonts w:ascii="宋体" w:hAnsi="宋体" w:eastAsia="宋体"/>
              <w:color w:val="auto"/>
              <w:highlight w:val="none"/>
            </w:rPr>
            <w:fldChar w:fldCharType="separate"/>
          </w:r>
          <w:r>
            <w:rPr>
              <w:rFonts w:ascii="宋体" w:hAnsi="宋体" w:eastAsia="宋体"/>
              <w:color w:val="auto"/>
              <w:highlight w:val="none"/>
            </w:rPr>
            <w:t>109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"_Toc61529885" </w:instrText>
          </w:r>
          <w:r>
            <w:rPr>
              <w:color w:val="auto"/>
              <w:highlight w:val="none"/>
            </w:rPr>
            <w:fldChar w:fldCharType="separate"/>
          </w:r>
          <w:r>
            <w:rPr>
              <w:rStyle w:val="58"/>
              <w:rFonts w:ascii="宋体" w:hAnsi="宋体" w:eastAsia="宋体"/>
              <w:color w:val="auto"/>
              <w:highlight w:val="none"/>
            </w:rPr>
            <w:t>16</w:t>
          </w:r>
          <w:r>
            <w:rPr>
              <w:rStyle w:val="58"/>
              <w:rFonts w:hint="eastAsia" w:ascii="宋体" w:hAnsi="宋体" w:eastAsia="宋体"/>
              <w:color w:val="auto"/>
              <w:highlight w:val="none"/>
            </w:rPr>
            <w:t>、中标服务费承诺书</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_Toc61529885 \h </w:instrText>
          </w:r>
          <w:r>
            <w:rPr>
              <w:rFonts w:ascii="宋体" w:hAnsi="宋体" w:eastAsia="宋体"/>
              <w:color w:val="auto"/>
              <w:highlight w:val="none"/>
            </w:rPr>
            <w:fldChar w:fldCharType="separate"/>
          </w:r>
          <w:r>
            <w:rPr>
              <w:rFonts w:ascii="宋体" w:hAnsi="宋体" w:eastAsia="宋体"/>
              <w:color w:val="auto"/>
              <w:highlight w:val="none"/>
            </w:rPr>
            <w:t>110</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24"/>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"_Toc61529886" </w:instrText>
          </w:r>
          <w:r>
            <w:rPr>
              <w:color w:val="auto"/>
              <w:highlight w:val="none"/>
            </w:rPr>
            <w:fldChar w:fldCharType="separate"/>
          </w:r>
          <w:r>
            <w:rPr>
              <w:rStyle w:val="58"/>
              <w:rFonts w:ascii="宋体" w:hAnsi="宋体" w:eastAsia="宋体"/>
              <w:color w:val="auto"/>
              <w:highlight w:val="none"/>
            </w:rPr>
            <w:t>17、投标人认为需加以说明的其他内容</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_Toc61529886 \h </w:instrText>
          </w:r>
          <w:r>
            <w:rPr>
              <w:rFonts w:ascii="宋体" w:hAnsi="宋体" w:eastAsia="宋体"/>
              <w:color w:val="auto"/>
              <w:highlight w:val="none"/>
            </w:rPr>
            <w:fldChar w:fldCharType="separate"/>
          </w:r>
          <w:r>
            <w:rPr>
              <w:rFonts w:ascii="宋体" w:hAnsi="宋体" w:eastAsia="宋体"/>
              <w:color w:val="auto"/>
              <w:highlight w:val="none"/>
            </w:rPr>
            <w:t>111</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"_Toc61529887" </w:instrText>
          </w:r>
          <w:r>
            <w:rPr>
              <w:color w:val="auto"/>
              <w:highlight w:val="none"/>
            </w:rPr>
            <w:fldChar w:fldCharType="separate"/>
          </w:r>
          <w:r>
            <w:rPr>
              <w:rStyle w:val="58"/>
              <w:rFonts w:hint="eastAsia" w:ascii="宋体" w:hAnsi="宋体" w:eastAsia="宋体"/>
              <w:color w:val="auto"/>
              <w:spacing w:val="-6"/>
              <w:highlight w:val="none"/>
            </w:rPr>
            <w:t>三、唱标信封</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_Toc61529887 \h </w:instrText>
          </w:r>
          <w:r>
            <w:rPr>
              <w:rFonts w:ascii="宋体" w:hAnsi="宋体" w:eastAsia="宋体"/>
              <w:color w:val="auto"/>
              <w:highlight w:val="none"/>
            </w:rPr>
            <w:fldChar w:fldCharType="separate"/>
          </w:r>
          <w:r>
            <w:rPr>
              <w:rFonts w:ascii="宋体" w:hAnsi="宋体" w:eastAsia="宋体"/>
              <w:color w:val="auto"/>
              <w:highlight w:val="none"/>
            </w:rPr>
            <w:t>112</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42"/>
            <w:tabs>
              <w:tab w:val="right" w:leader="dot" w:pos="9288"/>
            </w:tabs>
            <w:spacing w:line="360" w:lineRule="auto"/>
            <w:rPr>
              <w:rFonts w:ascii="宋体" w:hAnsi="宋体" w:eastAsia="宋体"/>
              <w:color w:val="auto"/>
              <w:kern w:val="2"/>
              <w:highlight w:val="none"/>
            </w:rPr>
          </w:pPr>
          <w:r>
            <w:rPr>
              <w:color w:val="auto"/>
              <w:highlight w:val="none"/>
            </w:rPr>
            <w:fldChar w:fldCharType="begin"/>
          </w:r>
          <w:r>
            <w:rPr>
              <w:color w:val="auto"/>
              <w:highlight w:val="none"/>
            </w:rPr>
            <w:instrText xml:space="preserve"> HYPERLINK \l "_Toc61529888" </w:instrText>
          </w:r>
          <w:r>
            <w:rPr>
              <w:color w:val="auto"/>
              <w:highlight w:val="none"/>
            </w:rPr>
            <w:fldChar w:fldCharType="separate"/>
          </w:r>
          <w:r>
            <w:rPr>
              <w:rStyle w:val="58"/>
              <w:rFonts w:hint="eastAsia" w:ascii="宋体" w:hAnsi="宋体" w:eastAsia="宋体"/>
              <w:color w:val="auto"/>
              <w:spacing w:val="-6"/>
              <w:highlight w:val="none"/>
            </w:rPr>
            <w:t>四、无线胶装样式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_Toc61529888 \h </w:instrText>
          </w:r>
          <w:r>
            <w:rPr>
              <w:rFonts w:ascii="宋体" w:hAnsi="宋体" w:eastAsia="宋体"/>
              <w:color w:val="auto"/>
              <w:highlight w:val="none"/>
            </w:rPr>
            <w:fldChar w:fldCharType="separate"/>
          </w:r>
          <w:r>
            <w:rPr>
              <w:rFonts w:ascii="宋体" w:hAnsi="宋体" w:eastAsia="宋体"/>
              <w:color w:val="auto"/>
              <w:highlight w:val="none"/>
            </w:rPr>
            <w:t>113</w:t>
          </w:r>
          <w:r>
            <w:rPr>
              <w:rFonts w:ascii="宋体" w:hAnsi="宋体" w:eastAsia="宋体"/>
              <w:color w:val="auto"/>
              <w:highlight w:val="none"/>
            </w:rPr>
            <w:fldChar w:fldCharType="end"/>
          </w:r>
          <w:r>
            <w:rPr>
              <w:rFonts w:ascii="宋体" w:hAnsi="宋体" w:eastAsia="宋体"/>
              <w:color w:val="auto"/>
              <w:highlight w:val="none"/>
            </w:rPr>
            <w:fldChar w:fldCharType="end"/>
          </w:r>
        </w:p>
        <w:p>
          <w:pPr>
            <w:spacing w:line="360" w:lineRule="auto"/>
            <w:rPr>
              <w:rFonts w:ascii="宋体" w:hAnsi="宋体"/>
              <w:color w:val="auto"/>
              <w:sz w:val="22"/>
              <w:szCs w:val="22"/>
              <w:highlight w:val="none"/>
            </w:rPr>
          </w:pPr>
          <w:r>
            <w:rPr>
              <w:rFonts w:ascii="宋体" w:hAnsi="宋体"/>
              <w:color w:val="auto"/>
              <w:sz w:val="22"/>
              <w:szCs w:val="22"/>
              <w:highlight w:val="none"/>
            </w:rPr>
            <w:fldChar w:fldCharType="end"/>
          </w:r>
        </w:p>
      </w:sdtContent>
    </w:sdt>
    <w:p>
      <w:pPr>
        <w:widowControl/>
        <w:spacing w:line="360" w:lineRule="auto"/>
        <w:jc w:val="left"/>
        <w:rPr>
          <w:rFonts w:ascii="宋体" w:hAnsi="宋体"/>
          <w:color w:val="auto"/>
          <w:sz w:val="22"/>
          <w:szCs w:val="22"/>
          <w:highlight w:val="none"/>
        </w:rPr>
      </w:pPr>
      <w:bookmarkStart w:id="2" w:name="_Toc441844047"/>
      <w:bookmarkStart w:id="3" w:name="_Toc427232293"/>
      <w:r>
        <w:rPr>
          <w:rFonts w:ascii="宋体" w:hAnsi="宋体"/>
          <w:color w:val="auto"/>
          <w:sz w:val="22"/>
          <w:szCs w:val="22"/>
          <w:highlight w:val="none"/>
        </w:rPr>
        <w:br w:type="page"/>
      </w:r>
    </w:p>
    <w:p>
      <w:pPr>
        <w:spacing w:line="360" w:lineRule="auto"/>
        <w:rPr>
          <w:rFonts w:ascii="宋体" w:hAnsi="宋体"/>
          <w:color w:val="auto"/>
          <w:sz w:val="22"/>
          <w:szCs w:val="22"/>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pStyle w:val="4"/>
        <w:jc w:val="center"/>
        <w:rPr>
          <w:rFonts w:ascii="Times New Roman" w:hAnsi="Times New Roman" w:eastAsiaTheme="minorEastAsia"/>
          <w:color w:val="auto"/>
          <w:highlight w:val="none"/>
        </w:rPr>
      </w:pPr>
      <w:bookmarkStart w:id="4" w:name="_Toc61529804"/>
      <w:r>
        <w:rPr>
          <w:rFonts w:ascii="Times New Roman" w:hAnsi="Times New Roman" w:eastAsiaTheme="minorEastAsia"/>
          <w:color w:val="auto"/>
          <w:highlight w:val="none"/>
        </w:rPr>
        <w:t xml:space="preserve">第一章  </w:t>
      </w:r>
      <w:bookmarkEnd w:id="2"/>
      <w:bookmarkEnd w:id="3"/>
      <w:r>
        <w:rPr>
          <w:rFonts w:ascii="Times New Roman" w:hAnsi="Times New Roman" w:eastAsiaTheme="minorEastAsia"/>
          <w:color w:val="auto"/>
          <w:highlight w:val="none"/>
        </w:rPr>
        <w:t>投标邀请</w:t>
      </w:r>
      <w:bookmarkEnd w:id="4"/>
    </w:p>
    <w:p>
      <w:pPr>
        <w:widowControl/>
        <w:jc w:val="left"/>
        <w:rPr>
          <w:rFonts w:ascii="Times New Roman" w:hAnsi="Times New Roman" w:eastAsiaTheme="minorEastAsia"/>
          <w:b/>
          <w:bCs/>
          <w:color w:val="auto"/>
          <w:sz w:val="32"/>
          <w:szCs w:val="32"/>
          <w:highlight w:val="none"/>
        </w:rPr>
      </w:pPr>
      <w:bookmarkStart w:id="5" w:name="_Toc441844049"/>
      <w:r>
        <w:rPr>
          <w:rFonts w:ascii="Times New Roman" w:hAnsi="Times New Roman" w:eastAsiaTheme="minorEastAsia"/>
          <w:bCs/>
          <w:color w:val="auto"/>
          <w:szCs w:val="32"/>
          <w:highlight w:val="none"/>
        </w:rPr>
        <w:br w:type="page"/>
      </w:r>
    </w:p>
    <w:p>
      <w:pPr>
        <w:pStyle w:val="5"/>
        <w:tabs>
          <w:tab w:val="left" w:pos="0"/>
          <w:tab w:val="clear" w:pos="1440"/>
        </w:tabs>
        <w:ind w:left="0" w:firstLine="0"/>
        <w:jc w:val="center"/>
        <w:rPr>
          <w:rFonts w:ascii="Times New Roman" w:hAnsi="Times New Roman" w:eastAsiaTheme="minorEastAsia"/>
          <w:b w:val="0"/>
          <w:bCs/>
          <w:color w:val="auto"/>
          <w:szCs w:val="32"/>
          <w:highlight w:val="none"/>
        </w:rPr>
      </w:pPr>
      <w:bookmarkStart w:id="6" w:name="_Toc61529805"/>
      <w:r>
        <w:rPr>
          <w:rFonts w:ascii="Times New Roman" w:hAnsi="Times New Roman" w:eastAsiaTheme="minorEastAsia"/>
          <w:bCs/>
          <w:color w:val="auto"/>
          <w:szCs w:val="32"/>
          <w:highlight w:val="none"/>
        </w:rPr>
        <w:t>一、 投标邀请函</w:t>
      </w:r>
      <w:bookmarkEnd w:id="6"/>
    </w:p>
    <w:p>
      <w:pPr>
        <w:spacing w:line="400" w:lineRule="exact"/>
        <w:ind w:firstLine="440" w:firstLineChars="200"/>
        <w:rPr>
          <w:rFonts w:ascii="宋体" w:hAnsi="宋体"/>
          <w:bCs/>
          <w:color w:val="auto"/>
          <w:sz w:val="22"/>
          <w:szCs w:val="22"/>
          <w:highlight w:val="none"/>
        </w:rPr>
      </w:pPr>
      <w:r>
        <w:rPr>
          <w:rFonts w:hint="eastAsia" w:ascii="宋体" w:hAnsi="宋体"/>
          <w:bCs/>
          <w:color w:val="auto"/>
          <w:sz w:val="22"/>
          <w:szCs w:val="22"/>
          <w:highlight w:val="none"/>
          <w:lang w:eastAsia="zh-CN"/>
        </w:rPr>
        <w:t>广东中凯工程管理咨询有限公司</w:t>
      </w:r>
      <w:r>
        <w:rPr>
          <w:rFonts w:ascii="宋体" w:hAnsi="宋体"/>
          <w:bCs/>
          <w:color w:val="auto"/>
          <w:sz w:val="22"/>
          <w:szCs w:val="22"/>
          <w:highlight w:val="none"/>
        </w:rPr>
        <w:t>（以下简称“</w:t>
      </w:r>
      <w:r>
        <w:rPr>
          <w:rFonts w:hint="eastAsia" w:ascii="宋体" w:hAnsi="宋体"/>
          <w:bCs/>
          <w:color w:val="auto"/>
          <w:sz w:val="22"/>
          <w:szCs w:val="22"/>
          <w:highlight w:val="none"/>
        </w:rPr>
        <w:t>招标</w:t>
      </w:r>
      <w:r>
        <w:rPr>
          <w:rFonts w:ascii="宋体" w:hAnsi="宋体"/>
          <w:bCs/>
          <w:color w:val="auto"/>
          <w:sz w:val="22"/>
          <w:szCs w:val="22"/>
          <w:highlight w:val="none"/>
        </w:rPr>
        <w:t>代理机构”）受</w:t>
      </w:r>
      <w:r>
        <w:rPr>
          <w:rFonts w:hint="eastAsia" w:ascii="宋体" w:hAnsi="宋体"/>
          <w:bCs/>
          <w:color w:val="auto"/>
          <w:sz w:val="22"/>
          <w:szCs w:val="22"/>
          <w:highlight w:val="none"/>
        </w:rPr>
        <w:t>东莞市交通投资集团有限公司</w:t>
      </w:r>
      <w:r>
        <w:rPr>
          <w:rFonts w:ascii="宋体" w:hAnsi="宋体"/>
          <w:bCs/>
          <w:color w:val="auto"/>
          <w:sz w:val="22"/>
          <w:szCs w:val="22"/>
          <w:highlight w:val="none"/>
        </w:rPr>
        <w:t>（以下简称“</w:t>
      </w:r>
      <w:r>
        <w:rPr>
          <w:rFonts w:hint="eastAsia" w:ascii="宋体" w:hAnsi="宋体"/>
          <w:bCs/>
          <w:color w:val="auto"/>
          <w:sz w:val="22"/>
          <w:szCs w:val="22"/>
          <w:highlight w:val="none"/>
        </w:rPr>
        <w:t>招标</w:t>
      </w:r>
      <w:r>
        <w:rPr>
          <w:rFonts w:ascii="宋体" w:hAnsi="宋体"/>
          <w:bCs/>
          <w:color w:val="auto"/>
          <w:sz w:val="22"/>
          <w:szCs w:val="22"/>
          <w:highlight w:val="none"/>
        </w:rPr>
        <w:t>人”）委托，就以下项目进行国</w:t>
      </w:r>
      <w:bookmarkStart w:id="291" w:name="_GoBack"/>
      <w:bookmarkEnd w:id="291"/>
      <w:r>
        <w:rPr>
          <w:rFonts w:ascii="宋体" w:hAnsi="宋体"/>
          <w:bCs/>
          <w:color w:val="auto"/>
          <w:sz w:val="22"/>
          <w:szCs w:val="22"/>
          <w:highlight w:val="none"/>
        </w:rPr>
        <w:t>内公开招标采购，详情请参见招标文件。欢迎符合条件的</w:t>
      </w:r>
      <w:r>
        <w:rPr>
          <w:rFonts w:hint="eastAsia" w:ascii="宋体" w:hAnsi="宋体"/>
          <w:bCs/>
          <w:color w:val="auto"/>
          <w:sz w:val="22"/>
          <w:szCs w:val="22"/>
          <w:highlight w:val="none"/>
        </w:rPr>
        <w:t>潜在</w:t>
      </w:r>
      <w:r>
        <w:rPr>
          <w:rFonts w:ascii="宋体" w:hAnsi="宋体"/>
          <w:bCs/>
          <w:color w:val="auto"/>
          <w:sz w:val="22"/>
          <w:szCs w:val="22"/>
          <w:highlight w:val="none"/>
        </w:rPr>
        <w:t>投标人参加投标</w:t>
      </w:r>
      <w:r>
        <w:rPr>
          <w:rFonts w:hint="eastAsia" w:ascii="宋体" w:hAnsi="宋体"/>
          <w:bCs/>
          <w:color w:val="auto"/>
          <w:sz w:val="22"/>
          <w:szCs w:val="22"/>
          <w:highlight w:val="none"/>
        </w:rPr>
        <w:t>,</w:t>
      </w:r>
      <w:r>
        <w:rPr>
          <w:rFonts w:ascii="宋体" w:hAnsi="宋体"/>
          <w:bCs/>
          <w:color w:val="auto"/>
          <w:sz w:val="22"/>
          <w:szCs w:val="22"/>
          <w:highlight w:val="none"/>
        </w:rPr>
        <w:t>有关事项如下：</w:t>
      </w:r>
    </w:p>
    <w:p>
      <w:pPr>
        <w:numPr>
          <w:ilvl w:val="0"/>
          <w:numId w:val="1"/>
        </w:numPr>
        <w:spacing w:line="360" w:lineRule="auto"/>
        <w:rPr>
          <w:rFonts w:ascii="宋体" w:hAnsi="宋体"/>
          <w:bCs/>
          <w:color w:val="auto"/>
          <w:sz w:val="22"/>
          <w:szCs w:val="22"/>
          <w:highlight w:val="none"/>
        </w:rPr>
      </w:pPr>
      <w:r>
        <w:rPr>
          <w:rFonts w:hint="eastAsia" w:ascii="宋体" w:hAnsi="宋体"/>
          <w:bCs/>
          <w:color w:val="auto"/>
          <w:sz w:val="22"/>
          <w:szCs w:val="22"/>
          <w:highlight w:val="none"/>
        </w:rPr>
        <w:t>项目</w:t>
      </w:r>
      <w:r>
        <w:rPr>
          <w:rFonts w:ascii="宋体" w:hAnsi="宋体"/>
          <w:bCs/>
          <w:color w:val="auto"/>
          <w:sz w:val="22"/>
          <w:szCs w:val="22"/>
          <w:highlight w:val="none"/>
        </w:rPr>
        <w:t>编号：</w:t>
      </w:r>
      <w:r>
        <w:rPr>
          <w:rFonts w:hint="eastAsia" w:ascii="宋体" w:hAnsi="宋体"/>
          <w:bCs/>
          <w:color w:val="auto"/>
          <w:sz w:val="22"/>
          <w:szCs w:val="22"/>
          <w:highlight w:val="none"/>
          <w:lang w:eastAsia="zh-CN"/>
        </w:rPr>
        <w:t>JT-CG2021005</w:t>
      </w:r>
    </w:p>
    <w:p>
      <w:pPr>
        <w:numPr>
          <w:ilvl w:val="0"/>
          <w:numId w:val="1"/>
        </w:numPr>
        <w:spacing w:line="360" w:lineRule="auto"/>
        <w:rPr>
          <w:rFonts w:ascii="宋体" w:hAnsi="宋体"/>
          <w:bCs/>
          <w:color w:val="auto"/>
          <w:sz w:val="22"/>
          <w:szCs w:val="22"/>
          <w:highlight w:val="none"/>
        </w:rPr>
      </w:pPr>
      <w:r>
        <w:rPr>
          <w:rFonts w:ascii="宋体" w:hAnsi="宋体"/>
          <w:bCs/>
          <w:color w:val="auto"/>
          <w:sz w:val="22"/>
          <w:szCs w:val="22"/>
          <w:highlight w:val="none"/>
        </w:rPr>
        <w:t>项目名称：</w:t>
      </w:r>
      <w:r>
        <w:rPr>
          <w:rFonts w:hint="eastAsia" w:ascii="宋体" w:hAnsi="宋体"/>
          <w:bCs/>
          <w:color w:val="auto"/>
          <w:sz w:val="22"/>
          <w:szCs w:val="22"/>
          <w:highlight w:val="none"/>
          <w:lang w:eastAsia="zh-CN"/>
        </w:rPr>
        <w:t>东莞交投集团客服呼叫中心运营服务外包项目</w:t>
      </w:r>
    </w:p>
    <w:p>
      <w:pPr>
        <w:numPr>
          <w:ilvl w:val="0"/>
          <w:numId w:val="1"/>
        </w:numPr>
        <w:spacing w:line="360" w:lineRule="auto"/>
        <w:rPr>
          <w:rFonts w:ascii="宋体" w:hAnsi="宋体"/>
          <w:bCs/>
          <w:color w:val="auto"/>
          <w:sz w:val="22"/>
          <w:szCs w:val="22"/>
          <w:highlight w:val="none"/>
        </w:rPr>
      </w:pPr>
      <w:r>
        <w:rPr>
          <w:rFonts w:ascii="宋体" w:hAnsi="宋体"/>
          <w:bCs/>
          <w:color w:val="auto"/>
          <w:sz w:val="22"/>
          <w:szCs w:val="22"/>
          <w:highlight w:val="none"/>
        </w:rPr>
        <w:t>采购</w:t>
      </w:r>
      <w:r>
        <w:rPr>
          <w:rFonts w:hint="eastAsia" w:ascii="宋体" w:hAnsi="宋体"/>
          <w:bCs/>
          <w:color w:val="auto"/>
          <w:sz w:val="22"/>
          <w:szCs w:val="22"/>
          <w:highlight w:val="none"/>
        </w:rPr>
        <w:t>内容</w:t>
      </w:r>
      <w:r>
        <w:rPr>
          <w:rFonts w:ascii="宋体" w:hAnsi="宋体"/>
          <w:bCs/>
          <w:color w:val="auto"/>
          <w:sz w:val="22"/>
          <w:szCs w:val="22"/>
          <w:highlight w:val="none"/>
        </w:rPr>
        <w:t>：</w:t>
      </w:r>
    </w:p>
    <w:tbl>
      <w:tblPr>
        <w:tblStyle w:val="50"/>
        <w:tblW w:w="47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859"/>
        <w:gridCol w:w="3183"/>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05" w:type="pct"/>
            <w:vAlign w:val="center"/>
          </w:tcPr>
          <w:p>
            <w:pPr>
              <w:jc w:val="center"/>
              <w:rPr>
                <w:rFonts w:ascii="宋体" w:hAnsi="宋体"/>
                <w:b/>
                <w:color w:val="auto"/>
                <w:szCs w:val="22"/>
                <w:highlight w:val="none"/>
              </w:rPr>
            </w:pPr>
            <w:r>
              <w:rPr>
                <w:rFonts w:hint="eastAsia" w:ascii="宋体" w:hAnsi="宋体" w:cs="宋体"/>
                <w:b/>
                <w:bCs/>
                <w:color w:val="auto"/>
                <w:szCs w:val="22"/>
                <w:highlight w:val="none"/>
              </w:rPr>
              <w:t>包号</w:t>
            </w:r>
          </w:p>
        </w:tc>
        <w:tc>
          <w:tcPr>
            <w:tcW w:w="1596" w:type="pct"/>
            <w:vAlign w:val="center"/>
          </w:tcPr>
          <w:p>
            <w:pPr>
              <w:jc w:val="center"/>
              <w:rPr>
                <w:rFonts w:ascii="宋体" w:hAnsi="宋体"/>
                <w:b/>
                <w:color w:val="auto"/>
                <w:szCs w:val="22"/>
                <w:highlight w:val="none"/>
              </w:rPr>
            </w:pPr>
            <w:r>
              <w:rPr>
                <w:rFonts w:hint="eastAsia" w:ascii="宋体" w:hAnsi="宋体"/>
                <w:b/>
                <w:color w:val="auto"/>
                <w:szCs w:val="22"/>
                <w:highlight w:val="none"/>
              </w:rPr>
              <w:t>采购</w:t>
            </w:r>
            <w:r>
              <w:rPr>
                <w:rFonts w:ascii="宋体" w:hAnsi="宋体"/>
                <w:b/>
                <w:color w:val="auto"/>
                <w:szCs w:val="22"/>
                <w:highlight w:val="none"/>
              </w:rPr>
              <w:t>内容</w:t>
            </w:r>
          </w:p>
        </w:tc>
        <w:tc>
          <w:tcPr>
            <w:tcW w:w="1777" w:type="pct"/>
            <w:vAlign w:val="center"/>
          </w:tcPr>
          <w:p>
            <w:pPr>
              <w:jc w:val="center"/>
              <w:rPr>
                <w:rFonts w:ascii="宋体" w:hAnsi="宋体"/>
                <w:b/>
                <w:color w:val="auto"/>
                <w:szCs w:val="22"/>
                <w:highlight w:val="none"/>
              </w:rPr>
            </w:pPr>
            <w:r>
              <w:rPr>
                <w:rFonts w:hint="eastAsia" w:ascii="宋体" w:hAnsi="宋体"/>
                <w:b/>
                <w:color w:val="auto"/>
                <w:szCs w:val="22"/>
                <w:highlight w:val="none"/>
              </w:rPr>
              <w:t>服务期限</w:t>
            </w:r>
          </w:p>
        </w:tc>
        <w:tc>
          <w:tcPr>
            <w:tcW w:w="1220" w:type="pct"/>
            <w:vAlign w:val="center"/>
          </w:tcPr>
          <w:p>
            <w:pPr>
              <w:jc w:val="center"/>
              <w:rPr>
                <w:rFonts w:ascii="宋体" w:hAnsi="宋体"/>
                <w:b/>
                <w:color w:val="auto"/>
                <w:szCs w:val="22"/>
                <w:highlight w:val="none"/>
              </w:rPr>
            </w:pPr>
            <w:r>
              <w:rPr>
                <w:rFonts w:hint="eastAsia" w:ascii="宋体" w:hAnsi="宋体"/>
                <w:b/>
                <w:color w:val="auto"/>
                <w:szCs w:val="22"/>
                <w:highlight w:val="none"/>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4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A</w:t>
            </w:r>
          </w:p>
        </w:tc>
        <w:tc>
          <w:tcPr>
            <w:tcW w:w="15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客服呼叫中心运营服务外包</w:t>
            </w:r>
          </w:p>
        </w:tc>
        <w:tc>
          <w:tcPr>
            <w:tcW w:w="17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36个月，不含准备期（调试期）</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10,977,000.00</w:t>
            </w:r>
          </w:p>
        </w:tc>
      </w:tr>
    </w:tbl>
    <w:p>
      <w:pPr>
        <w:snapToGrid w:val="0"/>
        <w:spacing w:line="360" w:lineRule="auto"/>
        <w:rPr>
          <w:rFonts w:ascii="Times New Roman" w:hAnsi="Times New Roman" w:eastAsiaTheme="minorEastAsia"/>
          <w:b/>
          <w:bCs/>
          <w:color w:val="auto"/>
          <w:sz w:val="22"/>
          <w:szCs w:val="22"/>
          <w:highlight w:val="none"/>
        </w:rPr>
      </w:pPr>
      <w:r>
        <w:rPr>
          <w:rFonts w:hint="eastAsia" w:ascii="Times New Roman" w:hAnsi="Times New Roman" w:eastAsiaTheme="minorEastAsia"/>
          <w:b/>
          <w:bCs/>
          <w:color w:val="auto"/>
          <w:sz w:val="22"/>
          <w:szCs w:val="22"/>
          <w:highlight w:val="none"/>
        </w:rPr>
        <w:t>注：</w:t>
      </w:r>
      <w:r>
        <w:rPr>
          <w:rFonts w:ascii="Times New Roman" w:hAnsi="Times New Roman" w:eastAsiaTheme="minorEastAsia"/>
          <w:b/>
          <w:bCs/>
          <w:color w:val="auto"/>
          <w:sz w:val="22"/>
          <w:szCs w:val="22"/>
          <w:highlight w:val="none"/>
        </w:rPr>
        <w:t>项目要求详见《用户需求书》。</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项目预算金额：</w:t>
      </w:r>
      <w:r>
        <w:rPr>
          <w:rFonts w:hint="eastAsia" w:ascii="宋体" w:hAnsi="宋体"/>
          <w:color w:val="auto"/>
          <w:sz w:val="22"/>
          <w:szCs w:val="22"/>
          <w:highlight w:val="none"/>
        </w:rPr>
        <w:t>1</w:t>
      </w:r>
      <w:r>
        <w:rPr>
          <w:rFonts w:hint="eastAsia" w:ascii="宋体" w:hAnsi="宋体"/>
          <w:color w:val="auto"/>
          <w:sz w:val="22"/>
          <w:szCs w:val="22"/>
          <w:highlight w:val="none"/>
          <w:lang w:val="en-US" w:eastAsia="zh-CN"/>
        </w:rPr>
        <w:t>0,977,</w:t>
      </w:r>
      <w:r>
        <w:rPr>
          <w:rFonts w:hint="eastAsia" w:ascii="宋体" w:hAnsi="宋体"/>
          <w:color w:val="auto"/>
          <w:sz w:val="22"/>
          <w:szCs w:val="22"/>
          <w:highlight w:val="none"/>
        </w:rPr>
        <w:t>000.00</w:t>
      </w:r>
      <w:r>
        <w:rPr>
          <w:rFonts w:hint="eastAsia" w:ascii="宋体" w:hAnsi="宋体"/>
          <w:bCs/>
          <w:color w:val="auto"/>
          <w:sz w:val="22"/>
          <w:szCs w:val="22"/>
          <w:highlight w:val="none"/>
        </w:rPr>
        <w:t>元</w:t>
      </w:r>
      <w:r>
        <w:rPr>
          <w:rFonts w:ascii="宋体" w:hAnsi="宋体"/>
          <w:bCs/>
          <w:color w:val="auto"/>
          <w:sz w:val="22"/>
          <w:szCs w:val="22"/>
          <w:highlight w:val="none"/>
        </w:rPr>
        <w:t>。</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其中</w:t>
      </w:r>
      <w:r>
        <w:rPr>
          <w:rFonts w:hint="eastAsia" w:ascii="宋体" w:hAnsi="宋体" w:cs="宋体"/>
          <w:color w:val="auto"/>
          <w:sz w:val="22"/>
          <w:szCs w:val="22"/>
          <w:highlight w:val="none"/>
          <w:lang w:val="en-US" w:eastAsia="zh-CN"/>
        </w:rPr>
        <w:t>东莞市交通投资集团有限公司合同部分为：9,977,000.00元；东莞发展控股股份有限公司合同部分为：1,000,000.00元</w:t>
      </w:r>
      <w:r>
        <w:rPr>
          <w:rFonts w:hint="eastAsia" w:ascii="宋体" w:hAnsi="宋体"/>
          <w:bCs/>
          <w:color w:val="auto"/>
          <w:sz w:val="22"/>
          <w:szCs w:val="22"/>
          <w:highlight w:val="none"/>
          <w:lang w:eastAsia="zh-CN"/>
        </w:rPr>
        <w:t>）</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投标人资格要求：</w:t>
      </w:r>
    </w:p>
    <w:p>
      <w:pPr>
        <w:pStyle w:val="111"/>
        <w:numPr>
          <w:ilvl w:val="0"/>
          <w:numId w:val="2"/>
        </w:numPr>
        <w:tabs>
          <w:tab w:val="left" w:pos="425"/>
        </w:tabs>
        <w:adjustRightInd w:val="0"/>
        <w:snapToGrid w:val="0"/>
        <w:spacing w:line="360" w:lineRule="auto"/>
        <w:ind w:left="426" w:hanging="426" w:firstLineChars="0"/>
        <w:rPr>
          <w:rFonts w:ascii="宋体" w:hAnsi="宋体"/>
          <w:color w:val="auto"/>
          <w:sz w:val="22"/>
          <w:szCs w:val="22"/>
          <w:highlight w:val="none"/>
        </w:rPr>
      </w:pPr>
      <w:bookmarkStart w:id="7" w:name="_Hlk2675390"/>
      <w:r>
        <w:rPr>
          <w:rFonts w:hint="eastAsia" w:hAnsi="宋体"/>
          <w:color w:val="auto"/>
          <w:sz w:val="22"/>
          <w:szCs w:val="22"/>
          <w:highlight w:val="none"/>
          <w:lang w:val="zh-CN"/>
        </w:rPr>
        <w:t>在中华人民共和国境内登记注册的、合法存续、正常经营且具有独立承担民事责任能力的法人或其他组织</w:t>
      </w:r>
      <w:r>
        <w:rPr>
          <w:rFonts w:hint="eastAsia" w:ascii="宋体" w:hAnsi="宋体"/>
          <w:color w:val="auto"/>
          <w:sz w:val="22"/>
          <w:szCs w:val="22"/>
          <w:highlight w:val="none"/>
        </w:rPr>
        <w:t>；</w:t>
      </w:r>
    </w:p>
    <w:p>
      <w:pPr>
        <w:pStyle w:val="111"/>
        <w:numPr>
          <w:ilvl w:val="0"/>
          <w:numId w:val="2"/>
        </w:numPr>
        <w:tabs>
          <w:tab w:val="left" w:pos="425"/>
        </w:tabs>
        <w:adjustRightInd w:val="0"/>
        <w:snapToGrid w:val="0"/>
        <w:spacing w:line="360" w:lineRule="auto"/>
        <w:ind w:left="426" w:hanging="426" w:firstLineChars="0"/>
        <w:rPr>
          <w:rFonts w:ascii="宋体" w:hAnsi="宋体"/>
          <w:color w:val="auto"/>
          <w:sz w:val="22"/>
          <w:szCs w:val="22"/>
          <w:highlight w:val="none"/>
        </w:rPr>
      </w:pPr>
      <w:r>
        <w:rPr>
          <w:rFonts w:hint="eastAsia" w:hAnsi="宋体"/>
          <w:color w:val="auto"/>
          <w:sz w:val="22"/>
          <w:szCs w:val="22"/>
          <w:highlight w:val="none"/>
          <w:lang w:val="zh-CN"/>
        </w:rPr>
        <w:t>特殊资格要求</w:t>
      </w:r>
      <w:r>
        <w:rPr>
          <w:rFonts w:hint="eastAsia" w:ascii="宋体" w:hAnsi="宋体"/>
          <w:color w:val="auto"/>
          <w:sz w:val="22"/>
          <w:szCs w:val="22"/>
          <w:highlight w:val="none"/>
        </w:rPr>
        <w:t>：具备国家工业和信息化部颁发</w:t>
      </w:r>
      <w:r>
        <w:rPr>
          <w:rFonts w:hint="eastAsia" w:ascii="宋体" w:hAnsi="宋体"/>
          <w:b/>
          <w:bCs/>
          <w:color w:val="auto"/>
          <w:sz w:val="22"/>
          <w:szCs w:val="22"/>
          <w:highlight w:val="none"/>
          <w:lang w:val="en-US" w:eastAsia="zh-CN"/>
        </w:rPr>
        <w:t>且在</w:t>
      </w:r>
      <w:r>
        <w:rPr>
          <w:rFonts w:hint="eastAsia" w:ascii="宋体" w:hAnsi="宋体" w:cs="宋体"/>
          <w:b/>
          <w:bCs/>
          <w:color w:val="auto"/>
          <w:sz w:val="22"/>
          <w:szCs w:val="22"/>
          <w:highlight w:val="none"/>
          <w:lang w:val="en-US" w:eastAsia="zh-CN"/>
        </w:rPr>
        <w:t>有效期内</w:t>
      </w:r>
      <w:r>
        <w:rPr>
          <w:rFonts w:hint="eastAsia" w:ascii="宋体" w:hAnsi="宋体"/>
          <w:color w:val="auto"/>
          <w:sz w:val="22"/>
          <w:szCs w:val="22"/>
          <w:highlight w:val="none"/>
        </w:rPr>
        <w:t>的增值电信业务经营许可证</w:t>
      </w:r>
      <w:r>
        <w:rPr>
          <w:rFonts w:hint="eastAsia" w:ascii="宋体" w:hAnsi="宋体"/>
          <w:color w:val="auto"/>
          <w:sz w:val="22"/>
          <w:szCs w:val="22"/>
          <w:highlight w:val="none"/>
          <w:lang w:eastAsia="zh-CN"/>
        </w:rPr>
        <w:t>；</w:t>
      </w:r>
    </w:p>
    <w:p>
      <w:pPr>
        <w:pStyle w:val="111"/>
        <w:numPr>
          <w:ilvl w:val="0"/>
          <w:numId w:val="2"/>
        </w:numPr>
        <w:tabs>
          <w:tab w:val="left" w:pos="425"/>
        </w:tabs>
        <w:adjustRightInd w:val="0"/>
        <w:snapToGrid w:val="0"/>
        <w:spacing w:line="360" w:lineRule="auto"/>
        <w:ind w:left="426" w:hanging="426" w:firstLineChars="0"/>
        <w:rPr>
          <w:rFonts w:hAnsi="宋体"/>
          <w:color w:val="auto"/>
          <w:sz w:val="22"/>
          <w:szCs w:val="22"/>
          <w:highlight w:val="none"/>
          <w:lang w:val="zh-CN"/>
        </w:rPr>
      </w:pPr>
      <w:r>
        <w:rPr>
          <w:rFonts w:hint="eastAsia" w:hAnsi="宋体"/>
          <w:color w:val="auto"/>
          <w:sz w:val="22"/>
          <w:szCs w:val="22"/>
          <w:highlight w:val="none"/>
          <w:lang w:val="zh-CN"/>
        </w:rPr>
        <w:t>投标人未被列入</w:t>
      </w:r>
      <w:r>
        <w:rPr>
          <w:rFonts w:hint="eastAsia" w:hAnsi="宋体"/>
          <w:color w:val="auto"/>
          <w:sz w:val="22"/>
          <w:szCs w:val="22"/>
          <w:highlight w:val="none"/>
        </w:rPr>
        <w:t>“</w:t>
      </w:r>
      <w:r>
        <w:rPr>
          <w:rFonts w:hint="eastAsia" w:hAnsi="宋体"/>
          <w:color w:val="auto"/>
          <w:sz w:val="22"/>
          <w:szCs w:val="22"/>
          <w:highlight w:val="none"/>
          <w:lang w:val="zh-CN"/>
        </w:rPr>
        <w:t>信用中国</w:t>
      </w:r>
      <w:r>
        <w:rPr>
          <w:rFonts w:hint="eastAsia" w:hAnsi="宋体"/>
          <w:color w:val="auto"/>
          <w:sz w:val="22"/>
          <w:szCs w:val="22"/>
          <w:highlight w:val="none"/>
        </w:rPr>
        <w:t>”</w:t>
      </w:r>
      <w:r>
        <w:rPr>
          <w:rFonts w:hint="eastAsia" w:hAnsi="宋体"/>
          <w:color w:val="auto"/>
          <w:sz w:val="22"/>
          <w:szCs w:val="22"/>
          <w:highlight w:val="none"/>
          <w:lang w:val="zh-CN"/>
        </w:rPr>
        <w:t>网站</w:t>
      </w:r>
      <w:r>
        <w:rPr>
          <w:rFonts w:hAnsi="宋体"/>
          <w:color w:val="auto"/>
          <w:sz w:val="22"/>
          <w:szCs w:val="22"/>
          <w:highlight w:val="none"/>
        </w:rPr>
        <w:t>(www.creditchina.gov.cn)</w:t>
      </w:r>
      <w:r>
        <w:rPr>
          <w:rFonts w:hint="eastAsia" w:hAnsi="宋体"/>
          <w:color w:val="auto"/>
          <w:sz w:val="22"/>
          <w:szCs w:val="22"/>
          <w:highlight w:val="none"/>
        </w:rPr>
        <w:t>“</w:t>
      </w:r>
      <w:r>
        <w:rPr>
          <w:rFonts w:hint="eastAsia" w:hAnsi="宋体"/>
          <w:color w:val="auto"/>
          <w:sz w:val="22"/>
          <w:szCs w:val="22"/>
          <w:highlight w:val="none"/>
          <w:lang w:val="zh-CN"/>
        </w:rPr>
        <w:t>记录失信被执行人或重大税收违法案件当事人名单或政府采购严重违法失信名单</w:t>
      </w:r>
      <w:r>
        <w:rPr>
          <w:rFonts w:hint="eastAsia" w:hAnsi="宋体"/>
          <w:color w:val="auto"/>
          <w:sz w:val="22"/>
          <w:szCs w:val="22"/>
          <w:highlight w:val="none"/>
        </w:rPr>
        <w:t>”</w:t>
      </w:r>
      <w:r>
        <w:rPr>
          <w:rFonts w:hint="eastAsia" w:hAnsi="宋体"/>
          <w:color w:val="auto"/>
          <w:sz w:val="22"/>
          <w:szCs w:val="22"/>
          <w:highlight w:val="none"/>
          <w:lang w:val="zh-CN"/>
        </w:rPr>
        <w:t>记录名单</w:t>
      </w:r>
      <w:r>
        <w:rPr>
          <w:rFonts w:hint="eastAsia" w:hAnsi="宋体"/>
          <w:color w:val="auto"/>
          <w:sz w:val="22"/>
          <w:szCs w:val="22"/>
          <w:highlight w:val="none"/>
        </w:rPr>
        <w:t>；</w:t>
      </w:r>
      <w:r>
        <w:rPr>
          <w:rFonts w:hint="eastAsia" w:hAnsi="宋体"/>
          <w:color w:val="auto"/>
          <w:sz w:val="22"/>
          <w:szCs w:val="22"/>
          <w:highlight w:val="none"/>
          <w:lang w:val="zh-CN"/>
        </w:rPr>
        <w:t>不处于中国政府采购网</w:t>
      </w:r>
      <w:r>
        <w:rPr>
          <w:rFonts w:hAnsi="宋体"/>
          <w:color w:val="auto"/>
          <w:sz w:val="22"/>
          <w:szCs w:val="22"/>
          <w:highlight w:val="none"/>
        </w:rPr>
        <w:t>(www.ccgp.gov.cn)</w:t>
      </w:r>
      <w:r>
        <w:rPr>
          <w:rFonts w:hint="eastAsia" w:hAnsi="宋体"/>
          <w:color w:val="auto"/>
          <w:sz w:val="22"/>
          <w:szCs w:val="22"/>
          <w:highlight w:val="none"/>
        </w:rPr>
        <w:t>“</w:t>
      </w:r>
      <w:r>
        <w:rPr>
          <w:rFonts w:hint="eastAsia" w:hAnsi="宋体"/>
          <w:color w:val="auto"/>
          <w:sz w:val="22"/>
          <w:szCs w:val="22"/>
          <w:highlight w:val="none"/>
          <w:lang w:val="zh-CN"/>
        </w:rPr>
        <w:t>政府采购严重违法失信行为信息记录</w:t>
      </w:r>
      <w:r>
        <w:rPr>
          <w:rFonts w:hint="eastAsia" w:hAnsi="宋体"/>
          <w:color w:val="auto"/>
          <w:sz w:val="22"/>
          <w:szCs w:val="22"/>
          <w:highlight w:val="none"/>
        </w:rPr>
        <w:t>”</w:t>
      </w:r>
      <w:r>
        <w:rPr>
          <w:rFonts w:hint="eastAsia" w:hAnsi="宋体"/>
          <w:color w:val="auto"/>
          <w:sz w:val="22"/>
          <w:szCs w:val="22"/>
          <w:highlight w:val="none"/>
          <w:lang w:val="zh-CN"/>
        </w:rPr>
        <w:t>中的禁止参加政府采购活动期间</w:t>
      </w:r>
      <w:r>
        <w:rPr>
          <w:rFonts w:hint="eastAsia" w:hAnsi="宋体"/>
          <w:color w:val="auto"/>
          <w:sz w:val="22"/>
          <w:szCs w:val="22"/>
          <w:highlight w:val="none"/>
        </w:rPr>
        <w:t>（</w:t>
      </w:r>
      <w:r>
        <w:rPr>
          <w:rFonts w:hint="eastAsia" w:hAnsi="宋体"/>
          <w:color w:val="auto"/>
          <w:sz w:val="22"/>
          <w:szCs w:val="22"/>
          <w:highlight w:val="none"/>
          <w:lang w:val="zh-CN"/>
        </w:rPr>
        <w:t>处罚限届满的除外</w:t>
      </w:r>
      <w:r>
        <w:rPr>
          <w:rFonts w:hint="eastAsia" w:hAnsi="宋体"/>
          <w:color w:val="auto"/>
          <w:sz w:val="22"/>
          <w:szCs w:val="22"/>
          <w:highlight w:val="none"/>
        </w:rPr>
        <w:t>）</w:t>
      </w:r>
      <w:r>
        <w:rPr>
          <w:rFonts w:hint="eastAsia" w:hAnsi="宋体"/>
          <w:color w:val="auto"/>
          <w:sz w:val="22"/>
          <w:szCs w:val="22"/>
          <w:highlight w:val="none"/>
          <w:lang w:val="zh-CN"/>
        </w:rPr>
        <w:t>。（以招标代理机构于投标截止日当天在“信用中国”网站及中国政府采购网查询结果为准，同时对信用信息查询记录和证据进行打印存档）；</w:t>
      </w:r>
    </w:p>
    <w:p>
      <w:pPr>
        <w:pStyle w:val="111"/>
        <w:numPr>
          <w:ilvl w:val="0"/>
          <w:numId w:val="2"/>
        </w:numPr>
        <w:tabs>
          <w:tab w:val="left" w:pos="425"/>
        </w:tabs>
        <w:adjustRightInd w:val="0"/>
        <w:snapToGrid w:val="0"/>
        <w:spacing w:line="360" w:lineRule="auto"/>
        <w:ind w:left="426" w:hanging="426" w:firstLineChars="0"/>
        <w:rPr>
          <w:rFonts w:hAnsi="宋体"/>
          <w:color w:val="auto"/>
          <w:sz w:val="22"/>
          <w:szCs w:val="22"/>
          <w:highlight w:val="none"/>
          <w:lang w:val="zh-CN"/>
        </w:rPr>
      </w:pPr>
      <w:r>
        <w:rPr>
          <w:rFonts w:hint="eastAsia" w:hAnsi="宋体"/>
          <w:color w:val="auto"/>
          <w:sz w:val="22"/>
          <w:szCs w:val="22"/>
          <w:highlight w:val="none"/>
        </w:rPr>
        <w:t>本项目招标文件投标须知合格的投标人其他要求；</w:t>
      </w:r>
    </w:p>
    <w:p>
      <w:pPr>
        <w:pStyle w:val="111"/>
        <w:numPr>
          <w:ilvl w:val="0"/>
          <w:numId w:val="2"/>
        </w:numPr>
        <w:tabs>
          <w:tab w:val="left" w:pos="425"/>
        </w:tabs>
        <w:adjustRightInd w:val="0"/>
        <w:snapToGrid w:val="0"/>
        <w:spacing w:line="360" w:lineRule="auto"/>
        <w:ind w:left="426" w:hanging="426" w:firstLineChars="0"/>
        <w:rPr>
          <w:rFonts w:hAnsi="宋体"/>
          <w:color w:val="auto"/>
          <w:sz w:val="22"/>
          <w:szCs w:val="22"/>
          <w:highlight w:val="none"/>
          <w:lang w:val="zh-CN"/>
        </w:rPr>
      </w:pPr>
      <w:r>
        <w:rPr>
          <w:rFonts w:hint="eastAsia" w:hAnsi="宋体"/>
          <w:color w:val="auto"/>
          <w:sz w:val="22"/>
          <w:szCs w:val="22"/>
          <w:highlight w:val="none"/>
          <w:lang w:val="zh-CN"/>
        </w:rPr>
        <w:t>本项目</w:t>
      </w:r>
      <w:r>
        <w:rPr>
          <w:rFonts w:hAnsi="宋体"/>
          <w:color w:val="auto"/>
          <w:sz w:val="22"/>
          <w:szCs w:val="22"/>
          <w:highlight w:val="none"/>
          <w:u w:val="single"/>
          <w:lang w:val="zh-CN"/>
        </w:rPr>
        <w:t xml:space="preserve">  </w:t>
      </w:r>
      <w:r>
        <w:rPr>
          <w:rFonts w:hint="eastAsia" w:hAnsi="宋体"/>
          <w:color w:val="auto"/>
          <w:sz w:val="22"/>
          <w:szCs w:val="22"/>
          <w:highlight w:val="none"/>
          <w:u w:val="single"/>
          <w:lang w:val="zh-CN"/>
        </w:rPr>
        <w:t>不接受</w:t>
      </w:r>
      <w:r>
        <w:rPr>
          <w:rFonts w:hAnsi="宋体"/>
          <w:color w:val="auto"/>
          <w:sz w:val="22"/>
          <w:szCs w:val="22"/>
          <w:highlight w:val="none"/>
          <w:u w:val="single"/>
          <w:lang w:val="zh-CN"/>
        </w:rPr>
        <w:t xml:space="preserve">  </w:t>
      </w:r>
      <w:r>
        <w:rPr>
          <w:rFonts w:hint="eastAsia" w:hAnsi="宋体"/>
          <w:color w:val="auto"/>
          <w:sz w:val="22"/>
          <w:szCs w:val="22"/>
          <w:highlight w:val="none"/>
          <w:lang w:val="zh-CN"/>
        </w:rPr>
        <w:t>联合体投标。</w:t>
      </w:r>
      <w:bookmarkEnd w:id="7"/>
    </w:p>
    <w:p>
      <w:pPr>
        <w:numPr>
          <w:ilvl w:val="0"/>
          <w:numId w:val="1"/>
        </w:numPr>
        <w:snapToGrid w:val="0"/>
        <w:spacing w:line="360" w:lineRule="auto"/>
        <w:rPr>
          <w:rFonts w:ascii="宋体" w:hAnsi="宋体"/>
          <w:color w:val="auto"/>
          <w:sz w:val="22"/>
          <w:szCs w:val="22"/>
          <w:highlight w:val="none"/>
        </w:rPr>
      </w:pPr>
      <w:r>
        <w:rPr>
          <w:rFonts w:ascii="宋体" w:hAnsi="宋体"/>
          <w:bCs/>
          <w:color w:val="auto"/>
          <w:sz w:val="22"/>
          <w:szCs w:val="22"/>
          <w:highlight w:val="none"/>
        </w:rPr>
        <w:t>踏勘</w:t>
      </w:r>
      <w:r>
        <w:rPr>
          <w:rFonts w:ascii="宋体" w:hAnsi="宋体"/>
          <w:color w:val="auto"/>
          <w:sz w:val="22"/>
          <w:szCs w:val="22"/>
          <w:highlight w:val="none"/>
        </w:rPr>
        <w:t>现场：本项目不组织踏勘现场。如有需要，投标人自行踏勘现场。</w:t>
      </w:r>
    </w:p>
    <w:p>
      <w:pPr>
        <w:numPr>
          <w:ilvl w:val="0"/>
          <w:numId w:val="1"/>
        </w:numPr>
        <w:snapToGrid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本项目采用</w:t>
      </w:r>
      <w:bookmarkStart w:id="8" w:name="_Hlk1990883"/>
      <w:r>
        <w:rPr>
          <w:rFonts w:hint="eastAsia" w:ascii="宋体" w:hAnsi="宋体"/>
          <w:bCs/>
          <w:color w:val="auto"/>
          <w:sz w:val="22"/>
          <w:szCs w:val="22"/>
          <w:highlight w:val="none"/>
        </w:rPr>
        <w:t>“不记名网上下载”的方式发布招标文件</w:t>
      </w:r>
      <w:bookmarkEnd w:id="8"/>
      <w:r>
        <w:rPr>
          <w:rFonts w:hint="eastAsia" w:ascii="宋体" w:hAnsi="宋体"/>
          <w:bCs/>
          <w:color w:val="auto"/>
          <w:sz w:val="22"/>
          <w:szCs w:val="22"/>
          <w:highlight w:val="none"/>
        </w:rPr>
        <w:t>，有意向的投标人直接在</w:t>
      </w:r>
      <w:r>
        <w:rPr>
          <w:rFonts w:hint="eastAsia" w:ascii="宋体" w:hAnsi="宋体"/>
          <w:bCs/>
          <w:color w:val="auto"/>
          <w:sz w:val="22"/>
          <w:szCs w:val="22"/>
          <w:highlight w:val="none"/>
          <w:lang w:val="en-US" w:eastAsia="zh-CN"/>
        </w:rPr>
        <w:t>2021</w:t>
      </w:r>
      <w:r>
        <w:rPr>
          <w:rFonts w:ascii="宋体" w:hAnsi="宋体"/>
          <w:bCs/>
          <w:color w:val="auto"/>
          <w:sz w:val="22"/>
          <w:szCs w:val="22"/>
          <w:highlight w:val="none"/>
        </w:rPr>
        <w:t>年</w:t>
      </w:r>
      <w:r>
        <w:rPr>
          <w:rFonts w:hint="eastAsia" w:ascii="宋体" w:hAnsi="宋体"/>
          <w:bCs/>
          <w:color w:val="auto"/>
          <w:sz w:val="22"/>
          <w:szCs w:val="22"/>
          <w:highlight w:val="none"/>
          <w:lang w:val="en-US" w:eastAsia="zh-CN"/>
        </w:rPr>
        <w:t>02</w:t>
      </w:r>
      <w:r>
        <w:rPr>
          <w:rFonts w:ascii="宋体" w:hAnsi="宋体"/>
          <w:bCs/>
          <w:color w:val="auto"/>
          <w:sz w:val="22"/>
          <w:szCs w:val="22"/>
          <w:highlight w:val="none"/>
        </w:rPr>
        <w:t>月</w:t>
      </w:r>
      <w:r>
        <w:rPr>
          <w:rFonts w:hint="eastAsia" w:ascii="宋体" w:hAnsi="宋体"/>
          <w:bCs/>
          <w:color w:val="auto"/>
          <w:sz w:val="22"/>
          <w:szCs w:val="22"/>
          <w:highlight w:val="none"/>
          <w:lang w:val="en-US" w:eastAsia="zh-CN"/>
        </w:rPr>
        <w:t>05</w:t>
      </w:r>
      <w:r>
        <w:rPr>
          <w:rFonts w:ascii="宋体" w:hAnsi="宋体"/>
          <w:bCs/>
          <w:color w:val="auto"/>
          <w:sz w:val="22"/>
          <w:szCs w:val="22"/>
          <w:highlight w:val="none"/>
        </w:rPr>
        <w:t>日至</w:t>
      </w:r>
      <w:r>
        <w:rPr>
          <w:rFonts w:hint="eastAsia" w:ascii="宋体" w:hAnsi="宋体"/>
          <w:bCs/>
          <w:color w:val="auto"/>
          <w:sz w:val="22"/>
          <w:szCs w:val="22"/>
          <w:highlight w:val="none"/>
          <w:lang w:val="en-US" w:eastAsia="zh-CN"/>
        </w:rPr>
        <w:t>2021</w:t>
      </w:r>
      <w:r>
        <w:rPr>
          <w:rFonts w:ascii="宋体" w:hAnsi="宋体"/>
          <w:bCs/>
          <w:color w:val="auto"/>
          <w:sz w:val="22"/>
          <w:szCs w:val="22"/>
          <w:highlight w:val="none"/>
        </w:rPr>
        <w:t>年</w:t>
      </w:r>
      <w:r>
        <w:rPr>
          <w:rFonts w:hint="eastAsia" w:ascii="宋体" w:hAnsi="宋体"/>
          <w:bCs/>
          <w:color w:val="auto"/>
          <w:sz w:val="22"/>
          <w:szCs w:val="22"/>
          <w:highlight w:val="none"/>
          <w:lang w:val="en-US" w:eastAsia="zh-CN"/>
        </w:rPr>
        <w:t>02</w:t>
      </w:r>
      <w:r>
        <w:rPr>
          <w:rFonts w:ascii="宋体" w:hAnsi="宋体"/>
          <w:bCs/>
          <w:color w:val="auto"/>
          <w:sz w:val="22"/>
          <w:szCs w:val="22"/>
          <w:highlight w:val="none"/>
        </w:rPr>
        <w:t>月</w:t>
      </w:r>
      <w:r>
        <w:rPr>
          <w:rFonts w:hint="eastAsia" w:ascii="宋体" w:hAnsi="宋体"/>
          <w:bCs/>
          <w:color w:val="auto"/>
          <w:sz w:val="22"/>
          <w:szCs w:val="22"/>
          <w:highlight w:val="none"/>
          <w:lang w:val="en-US" w:eastAsia="zh-CN"/>
        </w:rPr>
        <w:t>18</w:t>
      </w:r>
      <w:r>
        <w:rPr>
          <w:rFonts w:ascii="宋体" w:hAnsi="宋体"/>
          <w:bCs/>
          <w:color w:val="auto"/>
          <w:sz w:val="22"/>
          <w:szCs w:val="22"/>
          <w:highlight w:val="none"/>
        </w:rPr>
        <w:t>日</w:t>
      </w:r>
      <w:r>
        <w:rPr>
          <w:rFonts w:hint="eastAsia" w:ascii="宋体" w:hAnsi="宋体"/>
          <w:bCs/>
          <w:color w:val="auto"/>
          <w:sz w:val="22"/>
          <w:szCs w:val="22"/>
          <w:highlight w:val="none"/>
        </w:rPr>
        <w:t>止，在东莞市公共资源交易网（</w:t>
      </w:r>
      <w:r>
        <w:rPr>
          <w:color w:val="auto"/>
          <w:sz w:val="22"/>
          <w:szCs w:val="22"/>
          <w:highlight w:val="none"/>
        </w:rPr>
        <w:fldChar w:fldCharType="begin"/>
      </w:r>
      <w:r>
        <w:rPr>
          <w:color w:val="auto"/>
          <w:sz w:val="22"/>
          <w:szCs w:val="22"/>
          <w:highlight w:val="none"/>
        </w:rPr>
        <w:instrText xml:space="preserve"> HYPERLINK "http://ggzy.dg.gov.cn" </w:instrText>
      </w:r>
      <w:r>
        <w:rPr>
          <w:color w:val="auto"/>
          <w:sz w:val="22"/>
          <w:szCs w:val="22"/>
          <w:highlight w:val="none"/>
        </w:rPr>
        <w:fldChar w:fldCharType="separate"/>
      </w:r>
      <w:r>
        <w:rPr>
          <w:rFonts w:ascii="宋体" w:hAnsi="宋体"/>
          <w:color w:val="auto"/>
          <w:sz w:val="22"/>
          <w:szCs w:val="22"/>
          <w:highlight w:val="none"/>
        </w:rPr>
        <w:t>http://ggzy.dg.gov.cn</w:t>
      </w:r>
      <w:r>
        <w:rPr>
          <w:rFonts w:ascii="宋体" w:hAnsi="宋体"/>
          <w:color w:val="auto"/>
          <w:sz w:val="22"/>
          <w:szCs w:val="22"/>
          <w:highlight w:val="none"/>
        </w:rPr>
        <w:fldChar w:fldCharType="end"/>
      </w:r>
      <w:r>
        <w:rPr>
          <w:rFonts w:hint="eastAsia" w:ascii="宋体" w:hAnsi="宋体"/>
          <w:bCs/>
          <w:color w:val="auto"/>
          <w:sz w:val="22"/>
          <w:szCs w:val="22"/>
          <w:highlight w:val="none"/>
        </w:rPr>
        <w:t>）下载招标文件。</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投标时间：</w:t>
      </w:r>
      <w:r>
        <w:rPr>
          <w:rFonts w:hint="eastAsia" w:ascii="宋体" w:hAnsi="宋体"/>
          <w:bCs/>
          <w:color w:val="auto"/>
          <w:sz w:val="22"/>
          <w:szCs w:val="22"/>
          <w:highlight w:val="none"/>
          <w:lang w:val="en-US" w:eastAsia="zh-CN"/>
        </w:rPr>
        <w:t>2021</w:t>
      </w:r>
      <w:r>
        <w:rPr>
          <w:rFonts w:ascii="宋体" w:hAnsi="宋体"/>
          <w:bCs/>
          <w:color w:val="auto"/>
          <w:sz w:val="22"/>
          <w:szCs w:val="22"/>
          <w:highlight w:val="none"/>
        </w:rPr>
        <w:t>年</w:t>
      </w:r>
      <w:r>
        <w:rPr>
          <w:rFonts w:hint="eastAsia" w:ascii="宋体" w:hAnsi="宋体"/>
          <w:bCs/>
          <w:color w:val="auto"/>
          <w:sz w:val="22"/>
          <w:szCs w:val="22"/>
          <w:highlight w:val="none"/>
          <w:lang w:val="en-US" w:eastAsia="zh-CN"/>
        </w:rPr>
        <w:t>03</w:t>
      </w:r>
      <w:r>
        <w:rPr>
          <w:rFonts w:ascii="宋体" w:hAnsi="宋体"/>
          <w:bCs/>
          <w:color w:val="auto"/>
          <w:sz w:val="22"/>
          <w:szCs w:val="22"/>
          <w:highlight w:val="none"/>
        </w:rPr>
        <w:t>月</w:t>
      </w:r>
      <w:r>
        <w:rPr>
          <w:rFonts w:hint="eastAsia" w:ascii="宋体" w:hAnsi="宋体"/>
          <w:bCs/>
          <w:color w:val="auto"/>
          <w:sz w:val="22"/>
          <w:szCs w:val="22"/>
          <w:highlight w:val="none"/>
          <w:lang w:val="en-US" w:eastAsia="zh-CN"/>
        </w:rPr>
        <w:t>02</w:t>
      </w:r>
      <w:r>
        <w:rPr>
          <w:rFonts w:ascii="宋体" w:hAnsi="宋体"/>
          <w:bCs/>
          <w:color w:val="auto"/>
          <w:sz w:val="22"/>
          <w:szCs w:val="22"/>
          <w:highlight w:val="none"/>
        </w:rPr>
        <w:t>日</w:t>
      </w:r>
      <w:r>
        <w:rPr>
          <w:rFonts w:hint="eastAsia" w:ascii="宋体" w:hAnsi="宋体"/>
          <w:bCs/>
          <w:color w:val="auto"/>
          <w:sz w:val="22"/>
          <w:szCs w:val="22"/>
          <w:highlight w:val="none"/>
          <w:lang w:val="en-US" w:eastAsia="zh-CN"/>
        </w:rPr>
        <w:t>09</w:t>
      </w:r>
      <w:r>
        <w:rPr>
          <w:rFonts w:hint="eastAsia" w:ascii="宋体" w:hAnsi="宋体"/>
          <w:bCs/>
          <w:color w:val="auto"/>
          <w:sz w:val="22"/>
          <w:szCs w:val="22"/>
          <w:highlight w:val="none"/>
        </w:rPr>
        <w:t>时</w:t>
      </w:r>
      <w:r>
        <w:rPr>
          <w:rFonts w:hint="eastAsia" w:ascii="宋体" w:hAnsi="宋体"/>
          <w:bCs/>
          <w:color w:val="auto"/>
          <w:sz w:val="22"/>
          <w:szCs w:val="22"/>
          <w:highlight w:val="none"/>
          <w:lang w:val="en-US" w:eastAsia="zh-CN"/>
        </w:rPr>
        <w:t>00</w:t>
      </w:r>
      <w:r>
        <w:rPr>
          <w:rFonts w:hint="eastAsia" w:ascii="宋体" w:hAnsi="宋体"/>
          <w:bCs/>
          <w:color w:val="auto"/>
          <w:sz w:val="22"/>
          <w:szCs w:val="22"/>
          <w:highlight w:val="none"/>
        </w:rPr>
        <w:t>分</w:t>
      </w:r>
      <w:r>
        <w:rPr>
          <w:rFonts w:hint="eastAsia" w:ascii="宋体" w:hAnsi="宋体"/>
          <w:bCs/>
          <w:color w:val="auto"/>
          <w:sz w:val="22"/>
          <w:szCs w:val="22"/>
          <w:highlight w:val="none"/>
          <w:lang w:val="en-US" w:eastAsia="zh-CN"/>
        </w:rPr>
        <w:t>至09</w:t>
      </w:r>
      <w:r>
        <w:rPr>
          <w:rFonts w:hint="eastAsia" w:ascii="宋体" w:hAnsi="宋体"/>
          <w:bCs/>
          <w:color w:val="auto"/>
          <w:sz w:val="22"/>
          <w:szCs w:val="22"/>
          <w:highlight w:val="none"/>
        </w:rPr>
        <w:t>时</w:t>
      </w:r>
      <w:r>
        <w:rPr>
          <w:rFonts w:hint="eastAsia" w:ascii="宋体" w:hAnsi="宋体"/>
          <w:bCs/>
          <w:color w:val="auto"/>
          <w:sz w:val="22"/>
          <w:szCs w:val="22"/>
          <w:highlight w:val="none"/>
          <w:lang w:val="en-US" w:eastAsia="zh-CN"/>
        </w:rPr>
        <w:t>30</w:t>
      </w:r>
      <w:r>
        <w:rPr>
          <w:rFonts w:hint="eastAsia" w:ascii="宋体" w:hAnsi="宋体"/>
          <w:bCs/>
          <w:color w:val="auto"/>
          <w:sz w:val="22"/>
          <w:szCs w:val="22"/>
          <w:highlight w:val="none"/>
        </w:rPr>
        <w:t>分</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投标截止及开标时间：</w:t>
      </w:r>
      <w:r>
        <w:rPr>
          <w:rFonts w:hint="eastAsia" w:ascii="宋体" w:hAnsi="宋体"/>
          <w:bCs/>
          <w:color w:val="auto"/>
          <w:sz w:val="22"/>
          <w:szCs w:val="22"/>
          <w:highlight w:val="none"/>
          <w:lang w:val="en-US" w:eastAsia="zh-CN"/>
        </w:rPr>
        <w:t>2021</w:t>
      </w:r>
      <w:r>
        <w:rPr>
          <w:rFonts w:ascii="宋体" w:hAnsi="宋体"/>
          <w:bCs/>
          <w:color w:val="auto"/>
          <w:sz w:val="22"/>
          <w:szCs w:val="22"/>
          <w:highlight w:val="none"/>
        </w:rPr>
        <w:t>年</w:t>
      </w:r>
      <w:r>
        <w:rPr>
          <w:rFonts w:hint="eastAsia" w:ascii="宋体" w:hAnsi="宋体"/>
          <w:bCs/>
          <w:color w:val="auto"/>
          <w:sz w:val="22"/>
          <w:szCs w:val="22"/>
          <w:highlight w:val="none"/>
          <w:lang w:val="en-US" w:eastAsia="zh-CN"/>
        </w:rPr>
        <w:t>03</w:t>
      </w:r>
      <w:r>
        <w:rPr>
          <w:rFonts w:ascii="宋体" w:hAnsi="宋体"/>
          <w:bCs/>
          <w:color w:val="auto"/>
          <w:sz w:val="22"/>
          <w:szCs w:val="22"/>
          <w:highlight w:val="none"/>
        </w:rPr>
        <w:t>月</w:t>
      </w:r>
      <w:r>
        <w:rPr>
          <w:rFonts w:hint="eastAsia" w:ascii="宋体" w:hAnsi="宋体"/>
          <w:bCs/>
          <w:color w:val="auto"/>
          <w:sz w:val="22"/>
          <w:szCs w:val="22"/>
          <w:highlight w:val="none"/>
          <w:lang w:val="en-US" w:eastAsia="zh-CN"/>
        </w:rPr>
        <w:t>02</w:t>
      </w:r>
      <w:r>
        <w:rPr>
          <w:rFonts w:ascii="宋体" w:hAnsi="宋体"/>
          <w:bCs/>
          <w:color w:val="auto"/>
          <w:sz w:val="22"/>
          <w:szCs w:val="22"/>
          <w:highlight w:val="none"/>
        </w:rPr>
        <w:t>日</w:t>
      </w:r>
      <w:r>
        <w:rPr>
          <w:rFonts w:hint="eastAsia" w:ascii="宋体" w:hAnsi="宋体"/>
          <w:bCs/>
          <w:color w:val="auto"/>
          <w:sz w:val="22"/>
          <w:szCs w:val="22"/>
          <w:highlight w:val="none"/>
          <w:lang w:val="en-US" w:eastAsia="zh-CN"/>
        </w:rPr>
        <w:t>09</w:t>
      </w:r>
      <w:r>
        <w:rPr>
          <w:rFonts w:hint="eastAsia" w:ascii="宋体" w:hAnsi="宋体"/>
          <w:bCs/>
          <w:color w:val="auto"/>
          <w:sz w:val="22"/>
          <w:szCs w:val="22"/>
          <w:highlight w:val="none"/>
        </w:rPr>
        <w:t>时</w:t>
      </w:r>
      <w:r>
        <w:rPr>
          <w:rFonts w:hint="eastAsia" w:ascii="宋体" w:hAnsi="宋体"/>
          <w:bCs/>
          <w:color w:val="auto"/>
          <w:sz w:val="22"/>
          <w:szCs w:val="22"/>
          <w:highlight w:val="none"/>
          <w:lang w:val="en-US" w:eastAsia="zh-CN"/>
        </w:rPr>
        <w:t>30</w:t>
      </w:r>
      <w:r>
        <w:rPr>
          <w:rFonts w:hint="eastAsia" w:ascii="宋体" w:hAnsi="宋体"/>
          <w:bCs/>
          <w:color w:val="auto"/>
          <w:sz w:val="22"/>
          <w:szCs w:val="22"/>
          <w:highlight w:val="none"/>
        </w:rPr>
        <w:t xml:space="preserve">分 </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投标及开标地点：</w:t>
      </w:r>
      <w:bookmarkStart w:id="9" w:name="_Hlk36110264"/>
      <w:r>
        <w:rPr>
          <w:rFonts w:hint="eastAsia" w:ascii="宋体" w:eastAsia="宋体"/>
          <w:color w:val="auto"/>
          <w:sz w:val="22"/>
          <w:szCs w:val="22"/>
          <w:highlight w:val="none"/>
        </w:rPr>
        <w:t>广东省东莞市东城街道东城路561号东城街道办事处2号楼2楼（公共资源交易大厅）开标</w:t>
      </w:r>
      <w:r>
        <w:rPr>
          <w:rFonts w:hint="eastAsia" w:ascii="宋体" w:eastAsia="宋体"/>
          <w:color w:val="auto"/>
          <w:sz w:val="22"/>
          <w:szCs w:val="22"/>
          <w:highlight w:val="none"/>
          <w:u w:val="single"/>
          <w:lang w:val="en-US" w:eastAsia="zh-CN"/>
        </w:rPr>
        <w:t xml:space="preserve"> </w:t>
      </w:r>
      <w:r>
        <w:rPr>
          <w:rFonts w:hint="eastAsia" w:ascii="宋体"/>
          <w:color w:val="auto"/>
          <w:sz w:val="22"/>
          <w:szCs w:val="22"/>
          <w:highlight w:val="none"/>
          <w:u w:val="single"/>
          <w:lang w:val="en-US" w:eastAsia="zh-CN"/>
        </w:rPr>
        <w:t>2</w:t>
      </w:r>
      <w:r>
        <w:rPr>
          <w:rFonts w:hint="eastAsia" w:ascii="宋体" w:eastAsia="宋体"/>
          <w:color w:val="auto"/>
          <w:sz w:val="22"/>
          <w:szCs w:val="22"/>
          <w:highlight w:val="none"/>
          <w:u w:val="single"/>
          <w:lang w:val="en-US" w:eastAsia="zh-CN"/>
        </w:rPr>
        <w:t xml:space="preserve"> </w:t>
      </w:r>
      <w:r>
        <w:rPr>
          <w:rFonts w:hint="eastAsia" w:ascii="宋体" w:eastAsia="宋体"/>
          <w:color w:val="auto"/>
          <w:sz w:val="22"/>
          <w:szCs w:val="22"/>
          <w:highlight w:val="none"/>
        </w:rPr>
        <w:t>室</w:t>
      </w:r>
      <w:bookmarkEnd w:id="9"/>
      <w:r>
        <w:rPr>
          <w:rFonts w:ascii="宋体" w:hAnsi="宋体"/>
          <w:bCs/>
          <w:color w:val="auto"/>
          <w:sz w:val="22"/>
          <w:szCs w:val="22"/>
          <w:highlight w:val="none"/>
        </w:rPr>
        <w:t>。</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本采购项目不举行集中答疑会，如有任何疑问以书面形式</w:t>
      </w:r>
      <w:r>
        <w:rPr>
          <w:rFonts w:hint="eastAsia" w:ascii="宋体" w:hAnsi="宋体"/>
          <w:bCs/>
          <w:color w:val="auto"/>
          <w:sz w:val="22"/>
          <w:szCs w:val="22"/>
          <w:highlight w:val="none"/>
        </w:rPr>
        <w:t>，</w:t>
      </w:r>
      <w:r>
        <w:rPr>
          <w:rFonts w:ascii="宋体" w:hAnsi="宋体"/>
          <w:bCs/>
          <w:color w:val="auto"/>
          <w:sz w:val="22"/>
          <w:szCs w:val="22"/>
          <w:highlight w:val="none"/>
        </w:rPr>
        <w:t>将疑问函原件</w:t>
      </w:r>
      <w:r>
        <w:rPr>
          <w:rFonts w:hint="eastAsia" w:ascii="宋体" w:hAnsi="宋体"/>
          <w:bCs/>
          <w:color w:val="auto"/>
          <w:sz w:val="22"/>
          <w:szCs w:val="22"/>
          <w:highlight w:val="none"/>
        </w:rPr>
        <w:t>加盖公章</w:t>
      </w:r>
      <w:r>
        <w:rPr>
          <w:rFonts w:ascii="宋体" w:hAnsi="宋体"/>
          <w:bCs/>
          <w:color w:val="auto"/>
          <w:sz w:val="22"/>
          <w:szCs w:val="22"/>
          <w:highlight w:val="none"/>
        </w:rPr>
        <w:t>送至采购代理机构。</w:t>
      </w:r>
    </w:p>
    <w:p>
      <w:pPr>
        <w:numPr>
          <w:ilvl w:val="0"/>
          <w:numId w:val="1"/>
        </w:numPr>
        <w:snapToGrid w:val="0"/>
        <w:spacing w:line="360" w:lineRule="auto"/>
        <w:rPr>
          <w:rFonts w:ascii="宋体" w:hAnsi="宋体"/>
          <w:bCs/>
          <w:color w:val="auto"/>
          <w:sz w:val="22"/>
          <w:szCs w:val="22"/>
          <w:highlight w:val="none"/>
        </w:rPr>
      </w:pPr>
      <w:r>
        <w:rPr>
          <w:rFonts w:ascii="宋体" w:hAnsi="宋体"/>
          <w:bCs/>
          <w:color w:val="auto"/>
          <w:sz w:val="22"/>
          <w:szCs w:val="22"/>
          <w:highlight w:val="none"/>
        </w:rPr>
        <w:t>投标人必须向</w:t>
      </w:r>
      <w:r>
        <w:rPr>
          <w:rFonts w:hint="eastAsia" w:ascii="宋体" w:hAnsi="宋体"/>
          <w:bCs/>
          <w:color w:val="auto"/>
          <w:sz w:val="22"/>
          <w:szCs w:val="22"/>
          <w:highlight w:val="none"/>
        </w:rPr>
        <w:t>东莞市交通投资集团有限公司</w:t>
      </w:r>
      <w:r>
        <w:rPr>
          <w:rFonts w:ascii="宋体" w:hAnsi="宋体"/>
          <w:bCs/>
          <w:color w:val="auto"/>
          <w:sz w:val="22"/>
          <w:szCs w:val="22"/>
          <w:highlight w:val="none"/>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招标</w:t>
      </w:r>
      <w:r>
        <w:rPr>
          <w:rFonts w:ascii="宋体" w:hAnsi="宋体"/>
          <w:bCs/>
          <w:color w:val="auto"/>
          <w:sz w:val="22"/>
          <w:szCs w:val="22"/>
          <w:highlight w:val="none"/>
        </w:rPr>
        <w:t>代理机构和</w:t>
      </w:r>
      <w:r>
        <w:rPr>
          <w:rFonts w:hint="eastAsia" w:ascii="宋体" w:hAnsi="宋体"/>
          <w:bCs/>
          <w:color w:val="auto"/>
          <w:sz w:val="22"/>
          <w:szCs w:val="22"/>
          <w:highlight w:val="none"/>
        </w:rPr>
        <w:t>招标</w:t>
      </w:r>
      <w:r>
        <w:rPr>
          <w:rFonts w:ascii="宋体" w:hAnsi="宋体"/>
          <w:bCs/>
          <w:color w:val="auto"/>
          <w:sz w:val="22"/>
          <w:szCs w:val="22"/>
          <w:highlight w:val="none"/>
        </w:rPr>
        <w:t xml:space="preserve">人将不负责投标人准备投标文件所发生的任何成本费用。 </w:t>
      </w:r>
    </w:p>
    <w:p>
      <w:pPr>
        <w:numPr>
          <w:ilvl w:val="0"/>
          <w:numId w:val="1"/>
        </w:numPr>
        <w:wordWrap w:val="0"/>
        <w:snapToGrid w:val="0"/>
        <w:spacing w:line="360" w:lineRule="auto"/>
        <w:ind w:left="482" w:hanging="482"/>
        <w:rPr>
          <w:rFonts w:ascii="宋体" w:hAnsi="宋体"/>
          <w:bCs/>
          <w:color w:val="auto"/>
          <w:sz w:val="22"/>
          <w:szCs w:val="22"/>
          <w:highlight w:val="none"/>
        </w:rPr>
      </w:pPr>
      <w:r>
        <w:rPr>
          <w:rFonts w:ascii="宋体" w:hAnsi="宋体"/>
          <w:bCs/>
          <w:color w:val="auto"/>
          <w:sz w:val="22"/>
          <w:szCs w:val="22"/>
          <w:highlight w:val="none"/>
        </w:rPr>
        <w:t>本次采购项目公告在</w:t>
      </w:r>
      <w:r>
        <w:rPr>
          <w:rFonts w:hint="eastAsia" w:ascii="宋体" w:hAnsi="宋体"/>
          <w:bCs/>
          <w:color w:val="auto"/>
          <w:sz w:val="22"/>
          <w:szCs w:val="22"/>
          <w:highlight w:val="none"/>
        </w:rPr>
        <w:t>东莞市公共资源交易网（</w:t>
      </w:r>
      <w:r>
        <w:rPr>
          <w:rFonts w:ascii="宋体" w:hAnsi="宋体"/>
          <w:bCs/>
          <w:color w:val="auto"/>
          <w:sz w:val="22"/>
          <w:szCs w:val="22"/>
          <w:highlight w:val="none"/>
        </w:rPr>
        <w:t>http://ggzy.dg.gov.cn/</w:t>
      </w:r>
      <w:r>
        <w:rPr>
          <w:rFonts w:hint="eastAsia" w:ascii="宋体" w:hAnsi="宋体"/>
          <w:bCs/>
          <w:color w:val="auto"/>
          <w:sz w:val="22"/>
          <w:szCs w:val="22"/>
          <w:highlight w:val="none"/>
        </w:rPr>
        <w:t>）</w:t>
      </w:r>
      <w:r>
        <w:rPr>
          <w:rFonts w:hint="eastAsia" w:ascii="宋体" w:hAnsi="宋体"/>
          <w:bCs/>
          <w:color w:val="auto"/>
          <w:sz w:val="22"/>
          <w:szCs w:val="22"/>
          <w:highlight w:val="none"/>
          <w:lang w:eastAsia="zh-CN"/>
        </w:rPr>
        <w:t>、</w:t>
      </w:r>
      <w:r>
        <w:rPr>
          <w:rFonts w:ascii="宋体" w:hAnsi="宋体"/>
          <w:bCs/>
          <w:color w:val="auto"/>
          <w:sz w:val="22"/>
          <w:szCs w:val="22"/>
          <w:highlight w:val="none"/>
        </w:rPr>
        <w:t>东莞市交通投资集团有限公司官方网站（http://www.dgjtjt.com.cn）</w:t>
      </w:r>
      <w:r>
        <w:rPr>
          <w:rFonts w:hint="eastAsia" w:ascii="宋体" w:hAnsi="宋体"/>
          <w:bCs/>
          <w:color w:val="auto"/>
          <w:sz w:val="22"/>
          <w:szCs w:val="22"/>
          <w:highlight w:val="none"/>
          <w:lang w:eastAsia="zh-CN"/>
        </w:rPr>
        <w:t>、广东中凯工程管理咨询有限公司</w:t>
      </w:r>
      <w:r>
        <w:rPr>
          <w:rFonts w:hint="eastAsia" w:ascii="宋体" w:hAnsi="宋体"/>
          <w:bCs/>
          <w:color w:val="auto"/>
          <w:sz w:val="22"/>
          <w:szCs w:val="22"/>
          <w:highlight w:val="none"/>
          <w:lang w:val="en-US" w:eastAsia="zh-CN"/>
        </w:rPr>
        <w:t>门户网站（http://www.gdzkgc.com/）</w:t>
      </w:r>
      <w:r>
        <w:rPr>
          <w:rFonts w:ascii="宋体" w:hAnsi="宋体"/>
          <w:bCs/>
          <w:color w:val="auto"/>
          <w:sz w:val="22"/>
          <w:szCs w:val="22"/>
          <w:highlight w:val="none"/>
        </w:rPr>
        <w:t>媒体上公布，并视为有效送达，不再另行通知。有关此次采购事宜，也可按下列地址以书面或电话形式向采购代理机构查询：</w:t>
      </w:r>
    </w:p>
    <w:p>
      <w:pPr>
        <w:snapToGrid w:val="0"/>
        <w:spacing w:line="360" w:lineRule="auto"/>
        <w:ind w:firstLine="503" w:firstLineChars="229"/>
        <w:rPr>
          <w:rFonts w:hint="eastAsia" w:ascii="宋体" w:hAnsi="宋体" w:eastAsia="宋体"/>
          <w:bCs/>
          <w:color w:val="auto"/>
          <w:sz w:val="22"/>
          <w:szCs w:val="22"/>
          <w:highlight w:val="none"/>
          <w:u w:val="single"/>
          <w:lang w:eastAsia="zh-CN"/>
        </w:rPr>
      </w:pPr>
      <w:r>
        <w:rPr>
          <w:rFonts w:hint="eastAsia" w:ascii="宋体" w:hAnsi="宋体"/>
          <w:bCs/>
          <w:color w:val="auto"/>
          <w:sz w:val="22"/>
          <w:szCs w:val="22"/>
          <w:highlight w:val="none"/>
        </w:rPr>
        <w:t>招标</w:t>
      </w:r>
      <w:r>
        <w:rPr>
          <w:rFonts w:ascii="宋体" w:hAnsi="宋体"/>
          <w:bCs/>
          <w:color w:val="auto"/>
          <w:sz w:val="22"/>
          <w:szCs w:val="22"/>
          <w:highlight w:val="none"/>
        </w:rPr>
        <w:t>代理机构名称：</w:t>
      </w:r>
      <w:r>
        <w:rPr>
          <w:rFonts w:hint="eastAsia" w:ascii="宋体" w:hAnsi="宋体" w:cs="宋体"/>
          <w:bCs/>
          <w:color w:val="auto"/>
          <w:sz w:val="22"/>
          <w:szCs w:val="22"/>
          <w:highlight w:val="none"/>
          <w:u w:val="single"/>
          <w:lang w:eastAsia="zh-CN"/>
        </w:rPr>
        <w:t>广东中凯工程管理咨询有限公司</w:t>
      </w:r>
    </w:p>
    <w:p>
      <w:pPr>
        <w:snapToGrid w:val="0"/>
        <w:spacing w:line="360" w:lineRule="auto"/>
        <w:ind w:left="551" w:leftChars="229" w:hanging="70" w:hangingChars="32"/>
        <w:rPr>
          <w:rFonts w:ascii="宋体" w:hAnsi="宋体"/>
          <w:bCs/>
          <w:color w:val="auto"/>
          <w:sz w:val="22"/>
          <w:szCs w:val="22"/>
          <w:highlight w:val="none"/>
          <w:u w:val="single"/>
        </w:rPr>
      </w:pPr>
      <w:r>
        <w:rPr>
          <w:rFonts w:ascii="宋体" w:hAnsi="宋体"/>
          <w:bCs/>
          <w:color w:val="auto"/>
          <w:sz w:val="22"/>
          <w:szCs w:val="22"/>
          <w:highlight w:val="none"/>
        </w:rPr>
        <w:t>详细地址：</w:t>
      </w:r>
      <w:r>
        <w:rPr>
          <w:rFonts w:hint="eastAsia" w:ascii="宋体" w:hAnsi="宋体"/>
          <w:bCs/>
          <w:color w:val="auto"/>
          <w:sz w:val="22"/>
          <w:szCs w:val="22"/>
          <w:highlight w:val="none"/>
          <w:u w:val="single"/>
          <w:lang w:eastAsia="zh-CN"/>
        </w:rPr>
        <w:t>广东省东莞市南城街道体育路2号鸿禧中心五层A501</w:t>
      </w:r>
      <w:r>
        <w:rPr>
          <w:rFonts w:hint="eastAsia" w:ascii="宋体" w:hAnsi="宋体"/>
          <w:bCs/>
          <w:color w:val="auto"/>
          <w:sz w:val="22"/>
          <w:szCs w:val="22"/>
          <w:highlight w:val="none"/>
          <w:u w:val="single"/>
        </w:rPr>
        <w:t>室</w:t>
      </w:r>
    </w:p>
    <w:p>
      <w:pPr>
        <w:snapToGrid w:val="0"/>
        <w:spacing w:line="360" w:lineRule="auto"/>
        <w:ind w:left="549" w:leftChars="229" w:hanging="68" w:hangingChars="31"/>
        <w:rPr>
          <w:rFonts w:ascii="宋体" w:hAnsi="宋体"/>
          <w:bCs/>
          <w:color w:val="auto"/>
          <w:sz w:val="22"/>
          <w:szCs w:val="22"/>
          <w:highlight w:val="none"/>
        </w:rPr>
      </w:pPr>
      <w:r>
        <w:rPr>
          <w:rFonts w:ascii="宋体" w:hAnsi="宋体"/>
          <w:bCs/>
          <w:color w:val="auto"/>
          <w:sz w:val="22"/>
          <w:szCs w:val="22"/>
          <w:highlight w:val="none"/>
        </w:rPr>
        <w:t>邮    编：</w:t>
      </w:r>
      <w:r>
        <w:rPr>
          <w:rFonts w:ascii="宋体" w:hAnsi="宋体"/>
          <w:bCs/>
          <w:color w:val="auto"/>
          <w:sz w:val="22"/>
          <w:szCs w:val="22"/>
          <w:highlight w:val="none"/>
          <w:u w:val="single"/>
        </w:rPr>
        <w:t>523000</w:t>
      </w:r>
      <w:r>
        <w:rPr>
          <w:rFonts w:ascii="宋体" w:hAnsi="宋体"/>
          <w:bCs/>
          <w:color w:val="auto"/>
          <w:sz w:val="22"/>
          <w:szCs w:val="22"/>
          <w:highlight w:val="none"/>
        </w:rPr>
        <w:t xml:space="preserve">         </w:t>
      </w:r>
    </w:p>
    <w:p>
      <w:pPr>
        <w:snapToGrid w:val="0"/>
        <w:spacing w:line="360" w:lineRule="auto"/>
        <w:ind w:left="549" w:leftChars="229" w:hanging="68" w:hangingChars="31"/>
        <w:rPr>
          <w:rFonts w:ascii="宋体" w:hAnsi="宋体"/>
          <w:bCs/>
          <w:color w:val="auto"/>
          <w:sz w:val="22"/>
          <w:szCs w:val="22"/>
          <w:highlight w:val="none"/>
          <w:u w:val="single"/>
        </w:rPr>
      </w:pPr>
      <w:r>
        <w:rPr>
          <w:rFonts w:ascii="宋体" w:hAnsi="宋体"/>
          <w:bCs/>
          <w:color w:val="auto"/>
          <w:sz w:val="22"/>
          <w:szCs w:val="22"/>
          <w:highlight w:val="none"/>
        </w:rPr>
        <w:t>联 系 人：</w:t>
      </w:r>
      <w:r>
        <w:rPr>
          <w:rFonts w:hint="eastAsia" w:ascii="宋体" w:hAnsi="宋体" w:cs="宋体"/>
          <w:bCs/>
          <w:color w:val="auto"/>
          <w:sz w:val="22"/>
          <w:szCs w:val="22"/>
          <w:highlight w:val="none"/>
          <w:u w:val="single"/>
          <w:lang w:val="en-US" w:eastAsia="zh-CN"/>
        </w:rPr>
        <w:t>王小姐</w:t>
      </w:r>
      <w:r>
        <w:rPr>
          <w:rFonts w:hint="eastAsia" w:ascii="宋体" w:hAnsi="宋体"/>
          <w:bCs/>
          <w:color w:val="auto"/>
          <w:sz w:val="22"/>
          <w:szCs w:val="22"/>
          <w:highlight w:val="none"/>
        </w:rPr>
        <w:t xml:space="preserve"> </w:t>
      </w:r>
      <w:r>
        <w:rPr>
          <w:rFonts w:ascii="宋体" w:hAnsi="宋体"/>
          <w:bCs/>
          <w:color w:val="auto"/>
          <w:sz w:val="22"/>
          <w:szCs w:val="22"/>
          <w:highlight w:val="none"/>
        </w:rPr>
        <w:t xml:space="preserve"> </w:t>
      </w:r>
    </w:p>
    <w:p>
      <w:pPr>
        <w:snapToGrid w:val="0"/>
        <w:spacing w:line="360" w:lineRule="auto"/>
        <w:ind w:left="549" w:leftChars="229" w:hanging="68" w:hangingChars="31"/>
        <w:rPr>
          <w:rFonts w:ascii="宋体" w:hAnsi="宋体"/>
          <w:bCs/>
          <w:color w:val="auto"/>
          <w:sz w:val="22"/>
          <w:szCs w:val="22"/>
          <w:highlight w:val="none"/>
        </w:rPr>
      </w:pPr>
      <w:r>
        <w:rPr>
          <w:rFonts w:ascii="宋体" w:hAnsi="宋体"/>
          <w:bCs/>
          <w:color w:val="auto"/>
          <w:sz w:val="22"/>
          <w:szCs w:val="22"/>
          <w:highlight w:val="none"/>
        </w:rPr>
        <w:t>电    话：</w:t>
      </w:r>
      <w:r>
        <w:rPr>
          <w:rFonts w:hint="eastAsia" w:ascii="宋体" w:hAnsi="宋体" w:cs="宋体"/>
          <w:bCs/>
          <w:color w:val="auto"/>
          <w:sz w:val="22"/>
          <w:szCs w:val="22"/>
          <w:highlight w:val="none"/>
          <w:u w:val="single"/>
          <w:lang w:val="en-US" w:eastAsia="zh-CN"/>
        </w:rPr>
        <w:t>0769-22331910</w:t>
      </w:r>
      <w:r>
        <w:rPr>
          <w:rFonts w:ascii="宋体" w:hAnsi="宋体"/>
          <w:bCs/>
          <w:color w:val="auto"/>
          <w:sz w:val="22"/>
          <w:szCs w:val="22"/>
          <w:highlight w:val="none"/>
        </w:rPr>
        <w:t xml:space="preserve"> </w:t>
      </w:r>
    </w:p>
    <w:p>
      <w:pPr>
        <w:snapToGrid w:val="0"/>
        <w:spacing w:line="360" w:lineRule="auto"/>
        <w:ind w:left="549" w:leftChars="229" w:hanging="68" w:hangingChars="31"/>
        <w:rPr>
          <w:rFonts w:hint="eastAsia" w:ascii="宋体" w:hAnsi="宋体" w:eastAsia="宋体" w:cs="宋体"/>
          <w:bCs/>
          <w:color w:val="auto"/>
          <w:sz w:val="22"/>
          <w:szCs w:val="22"/>
          <w:highlight w:val="none"/>
          <w:u w:val="single"/>
          <w:lang w:eastAsia="zh-CN"/>
        </w:rPr>
      </w:pPr>
      <w:r>
        <w:rPr>
          <w:rFonts w:hint="eastAsia" w:ascii="宋体" w:hAnsi="宋体" w:cs="宋体"/>
          <w:bCs/>
          <w:color w:val="auto"/>
          <w:sz w:val="22"/>
          <w:szCs w:val="22"/>
          <w:highlight w:val="none"/>
        </w:rPr>
        <w:t xml:space="preserve">邮 </w:t>
      </w:r>
      <w:r>
        <w:rPr>
          <w:rFonts w:ascii="宋体" w:hAnsi="宋体" w:cs="宋体"/>
          <w:bCs/>
          <w:color w:val="auto"/>
          <w:sz w:val="22"/>
          <w:szCs w:val="22"/>
          <w:highlight w:val="none"/>
        </w:rPr>
        <w:t xml:space="preserve">   </w:t>
      </w:r>
      <w:r>
        <w:rPr>
          <w:rFonts w:hint="eastAsia" w:ascii="宋体" w:hAnsi="宋体" w:cs="宋体"/>
          <w:bCs/>
          <w:color w:val="auto"/>
          <w:sz w:val="22"/>
          <w:szCs w:val="22"/>
          <w:highlight w:val="none"/>
        </w:rPr>
        <w:t>箱：</w:t>
      </w:r>
      <w:r>
        <w:rPr>
          <w:rFonts w:hint="eastAsia" w:ascii="宋体" w:hAnsi="宋体" w:cs="宋体"/>
          <w:bCs/>
          <w:color w:val="auto"/>
          <w:sz w:val="22"/>
          <w:szCs w:val="22"/>
          <w:highlight w:val="none"/>
          <w:u w:val="single"/>
          <w:lang w:val="en-US" w:eastAsia="zh-CN"/>
        </w:rPr>
        <w:t>GDZK66@163.com</w:t>
      </w:r>
    </w:p>
    <w:p>
      <w:pPr>
        <w:snapToGrid w:val="0"/>
        <w:spacing w:line="360" w:lineRule="auto"/>
        <w:ind w:left="549" w:leftChars="229" w:hanging="68" w:hangingChars="31"/>
        <w:rPr>
          <w:rFonts w:ascii="宋体" w:hAnsi="宋体"/>
          <w:bCs/>
          <w:color w:val="auto"/>
          <w:sz w:val="22"/>
          <w:szCs w:val="22"/>
          <w:highlight w:val="none"/>
        </w:rPr>
      </w:pPr>
    </w:p>
    <w:p>
      <w:pPr>
        <w:snapToGrid w:val="0"/>
        <w:spacing w:line="360" w:lineRule="auto"/>
        <w:ind w:left="549" w:leftChars="229" w:hanging="68" w:hangingChars="31"/>
        <w:rPr>
          <w:rFonts w:ascii="宋体" w:hAnsi="宋体"/>
          <w:bCs/>
          <w:color w:val="auto"/>
          <w:sz w:val="22"/>
          <w:szCs w:val="22"/>
          <w:highlight w:val="none"/>
        </w:rPr>
      </w:pPr>
      <w:r>
        <w:rPr>
          <w:rFonts w:hint="eastAsia" w:ascii="宋体" w:hAnsi="宋体"/>
          <w:bCs/>
          <w:color w:val="auto"/>
          <w:sz w:val="22"/>
          <w:szCs w:val="22"/>
          <w:highlight w:val="none"/>
        </w:rPr>
        <w:t>招标单位名称：</w:t>
      </w:r>
      <w:r>
        <w:rPr>
          <w:rFonts w:hint="eastAsia" w:ascii="宋体" w:hAnsi="宋体"/>
          <w:bCs/>
          <w:color w:val="auto"/>
          <w:sz w:val="22"/>
          <w:szCs w:val="22"/>
          <w:highlight w:val="none"/>
          <w:u w:val="single"/>
        </w:rPr>
        <w:t>东莞市交通投资集团有限公司</w:t>
      </w:r>
    </w:p>
    <w:p>
      <w:pPr>
        <w:snapToGrid w:val="0"/>
        <w:spacing w:line="360" w:lineRule="auto"/>
        <w:ind w:left="551" w:leftChars="229" w:hanging="70" w:hangingChars="32"/>
        <w:rPr>
          <w:rFonts w:ascii="宋体" w:hAnsi="宋体" w:cs="宋体"/>
          <w:bCs/>
          <w:color w:val="auto"/>
          <w:sz w:val="22"/>
          <w:szCs w:val="22"/>
          <w:highlight w:val="none"/>
          <w:u w:val="single"/>
        </w:rPr>
      </w:pPr>
      <w:r>
        <w:rPr>
          <w:rFonts w:ascii="宋体" w:hAnsi="宋体"/>
          <w:bCs/>
          <w:color w:val="auto"/>
          <w:sz w:val="22"/>
          <w:szCs w:val="22"/>
          <w:highlight w:val="none"/>
        </w:rPr>
        <w:t>详细地址：</w:t>
      </w:r>
      <w:r>
        <w:rPr>
          <w:rFonts w:hint="eastAsia" w:ascii="宋体" w:hAnsi="宋体" w:cs="宋体"/>
          <w:bCs/>
          <w:color w:val="auto"/>
          <w:sz w:val="22"/>
          <w:szCs w:val="22"/>
          <w:highlight w:val="none"/>
          <w:u w:val="single"/>
        </w:rPr>
        <w:t>东莞市东城区莞樟路东城段199号</w:t>
      </w:r>
    </w:p>
    <w:p>
      <w:pPr>
        <w:snapToGrid w:val="0"/>
        <w:spacing w:line="360" w:lineRule="auto"/>
        <w:ind w:firstLine="479" w:firstLineChars="218"/>
        <w:rPr>
          <w:rFonts w:ascii="宋体" w:hAnsi="宋体"/>
          <w:bCs/>
          <w:color w:val="auto"/>
          <w:sz w:val="22"/>
          <w:szCs w:val="22"/>
          <w:highlight w:val="none"/>
        </w:rPr>
      </w:pPr>
      <w:r>
        <w:rPr>
          <w:rFonts w:ascii="宋体" w:hAnsi="宋体"/>
          <w:bCs/>
          <w:color w:val="auto"/>
          <w:sz w:val="22"/>
          <w:szCs w:val="22"/>
          <w:highlight w:val="none"/>
        </w:rPr>
        <w:t>邮    编：</w:t>
      </w:r>
      <w:r>
        <w:rPr>
          <w:rFonts w:ascii="宋体" w:hAnsi="宋体"/>
          <w:bCs/>
          <w:color w:val="auto"/>
          <w:sz w:val="22"/>
          <w:szCs w:val="22"/>
          <w:highlight w:val="none"/>
          <w:u w:val="single"/>
        </w:rPr>
        <w:t>523000</w:t>
      </w:r>
      <w:r>
        <w:rPr>
          <w:rFonts w:ascii="宋体" w:hAnsi="宋体"/>
          <w:bCs/>
          <w:color w:val="auto"/>
          <w:sz w:val="22"/>
          <w:szCs w:val="22"/>
          <w:highlight w:val="none"/>
        </w:rPr>
        <w:t xml:space="preserve">        </w:t>
      </w:r>
    </w:p>
    <w:p>
      <w:pPr>
        <w:snapToGrid w:val="0"/>
        <w:spacing w:line="360" w:lineRule="auto"/>
        <w:ind w:firstLine="479" w:firstLineChars="218"/>
        <w:rPr>
          <w:rFonts w:ascii="宋体" w:hAnsi="宋体"/>
          <w:bCs/>
          <w:color w:val="auto"/>
          <w:sz w:val="22"/>
          <w:szCs w:val="22"/>
          <w:highlight w:val="none"/>
          <w:u w:val="single"/>
        </w:rPr>
      </w:pPr>
      <w:r>
        <w:rPr>
          <w:rFonts w:ascii="宋体" w:hAnsi="宋体"/>
          <w:bCs/>
          <w:color w:val="auto"/>
          <w:sz w:val="22"/>
          <w:szCs w:val="22"/>
          <w:highlight w:val="none"/>
        </w:rPr>
        <w:t>联 系 人：</w:t>
      </w:r>
      <w:r>
        <w:rPr>
          <w:rFonts w:hint="eastAsia" w:ascii="宋体" w:hAnsi="宋体"/>
          <w:bCs/>
          <w:color w:val="auto"/>
          <w:sz w:val="22"/>
          <w:szCs w:val="22"/>
          <w:highlight w:val="none"/>
          <w:u w:val="single"/>
          <w:lang w:val="en-US" w:eastAsia="zh-CN"/>
        </w:rPr>
        <w:t>陈小姐</w:t>
      </w:r>
    </w:p>
    <w:p>
      <w:pPr>
        <w:snapToGrid w:val="0"/>
        <w:spacing w:line="360" w:lineRule="auto"/>
        <w:ind w:left="549" w:leftChars="229" w:hanging="68" w:hangingChars="31"/>
        <w:rPr>
          <w:rFonts w:ascii="宋体" w:hAnsi="宋体"/>
          <w:bCs/>
          <w:color w:val="auto"/>
          <w:sz w:val="22"/>
          <w:szCs w:val="22"/>
          <w:highlight w:val="none"/>
        </w:rPr>
      </w:pPr>
      <w:r>
        <w:rPr>
          <w:rFonts w:ascii="宋体" w:hAnsi="宋体"/>
          <w:bCs/>
          <w:color w:val="auto"/>
          <w:sz w:val="22"/>
          <w:szCs w:val="22"/>
          <w:highlight w:val="none"/>
        </w:rPr>
        <w:t>电    话：</w:t>
      </w:r>
      <w:r>
        <w:rPr>
          <w:rFonts w:hint="eastAsia" w:ascii="宋体" w:hAnsi="宋体" w:cs="宋体"/>
          <w:bCs/>
          <w:color w:val="auto"/>
          <w:sz w:val="22"/>
          <w:szCs w:val="22"/>
          <w:highlight w:val="none"/>
          <w:u w:val="single"/>
          <w:lang w:val="en-US" w:eastAsia="zh-CN"/>
        </w:rPr>
        <w:t>0769-22083396</w:t>
      </w:r>
      <w:r>
        <w:rPr>
          <w:rFonts w:ascii="宋体" w:hAnsi="宋体"/>
          <w:bCs/>
          <w:color w:val="auto"/>
          <w:sz w:val="22"/>
          <w:szCs w:val="22"/>
          <w:highlight w:val="none"/>
        </w:rPr>
        <w:t xml:space="preserve"> </w:t>
      </w:r>
    </w:p>
    <w:p>
      <w:pPr>
        <w:tabs>
          <w:tab w:val="left" w:pos="480"/>
        </w:tabs>
        <w:snapToGrid w:val="0"/>
        <w:spacing w:line="360" w:lineRule="auto"/>
        <w:ind w:left="480"/>
        <w:rPr>
          <w:rFonts w:hint="eastAsia" w:ascii="宋体" w:hAnsi="宋体"/>
          <w:bCs/>
          <w:color w:val="auto"/>
          <w:sz w:val="22"/>
          <w:szCs w:val="22"/>
          <w:highlight w:val="none"/>
          <w:lang w:val="en-US" w:eastAsia="zh-CN"/>
        </w:rPr>
      </w:pPr>
    </w:p>
    <w:p>
      <w:pPr>
        <w:tabs>
          <w:tab w:val="left" w:pos="480"/>
        </w:tabs>
        <w:snapToGrid w:val="0"/>
        <w:spacing w:line="360" w:lineRule="auto"/>
        <w:ind w:left="480"/>
        <w:rPr>
          <w:rFonts w:hint="eastAsia" w:ascii="宋体" w:hAnsi="宋体"/>
          <w:bCs/>
          <w:color w:val="auto"/>
          <w:sz w:val="22"/>
          <w:szCs w:val="22"/>
          <w:highlight w:val="none"/>
          <w:u w:val="single"/>
        </w:rPr>
      </w:pPr>
      <w:r>
        <w:rPr>
          <w:rFonts w:hint="eastAsia" w:ascii="宋体" w:hAnsi="宋体"/>
          <w:bCs/>
          <w:color w:val="auto"/>
          <w:sz w:val="22"/>
          <w:szCs w:val="22"/>
          <w:highlight w:val="none"/>
          <w:lang w:val="en-US" w:eastAsia="zh-CN"/>
        </w:rPr>
        <w:t>监督部门：</w:t>
      </w:r>
      <w:r>
        <w:rPr>
          <w:rFonts w:hint="eastAsia" w:ascii="宋体" w:hAnsi="宋体"/>
          <w:bCs/>
          <w:color w:val="auto"/>
          <w:sz w:val="22"/>
          <w:szCs w:val="22"/>
          <w:highlight w:val="none"/>
          <w:u w:val="single"/>
        </w:rPr>
        <w:t>东莞市交通投资集团有限公司纪检监察部</w:t>
      </w:r>
    </w:p>
    <w:p>
      <w:pPr>
        <w:tabs>
          <w:tab w:val="left" w:pos="480"/>
        </w:tabs>
        <w:snapToGrid w:val="0"/>
        <w:spacing w:line="360" w:lineRule="auto"/>
        <w:ind w:left="480"/>
        <w:rPr>
          <w:rFonts w:hint="eastAsia" w:ascii="宋体" w:hAnsi="宋体"/>
          <w:bCs/>
          <w:color w:val="auto"/>
          <w:sz w:val="22"/>
          <w:szCs w:val="22"/>
          <w:highlight w:val="none"/>
          <w:u w:val="single"/>
          <w:lang w:val="zh-CN"/>
        </w:rPr>
      </w:pPr>
      <w:r>
        <w:rPr>
          <w:rFonts w:hint="eastAsia" w:ascii="宋体" w:hAnsi="宋体"/>
          <w:bCs/>
          <w:color w:val="auto"/>
          <w:sz w:val="22"/>
          <w:szCs w:val="22"/>
          <w:highlight w:val="none"/>
          <w:u w:val="none"/>
          <w:lang w:val="zh-CN"/>
        </w:rPr>
        <w:t>联</w:t>
      </w:r>
      <w:r>
        <w:rPr>
          <w:rFonts w:hint="eastAsia" w:ascii="宋体" w:hAnsi="宋体"/>
          <w:bCs/>
          <w:color w:val="auto"/>
          <w:sz w:val="22"/>
          <w:szCs w:val="22"/>
          <w:highlight w:val="none"/>
          <w:u w:val="none"/>
          <w:lang w:val="en-US" w:eastAsia="zh-CN"/>
        </w:rPr>
        <w:t xml:space="preserve"> </w:t>
      </w:r>
      <w:r>
        <w:rPr>
          <w:rFonts w:hint="eastAsia" w:ascii="宋体" w:hAnsi="宋体"/>
          <w:bCs/>
          <w:color w:val="auto"/>
          <w:sz w:val="22"/>
          <w:szCs w:val="22"/>
          <w:highlight w:val="none"/>
          <w:u w:val="none"/>
          <w:lang w:val="zh-CN"/>
        </w:rPr>
        <w:t>系</w:t>
      </w:r>
      <w:r>
        <w:rPr>
          <w:rFonts w:hint="eastAsia" w:ascii="宋体" w:hAnsi="宋体"/>
          <w:bCs/>
          <w:color w:val="auto"/>
          <w:sz w:val="22"/>
          <w:szCs w:val="22"/>
          <w:highlight w:val="none"/>
          <w:u w:val="none"/>
          <w:lang w:val="en-US" w:eastAsia="zh-CN"/>
        </w:rPr>
        <w:t xml:space="preserve"> </w:t>
      </w:r>
      <w:r>
        <w:rPr>
          <w:rFonts w:hint="eastAsia" w:ascii="宋体" w:hAnsi="宋体"/>
          <w:bCs/>
          <w:color w:val="auto"/>
          <w:sz w:val="22"/>
          <w:szCs w:val="22"/>
          <w:highlight w:val="none"/>
          <w:u w:val="none"/>
          <w:lang w:val="zh-CN"/>
        </w:rPr>
        <w:t>人：</w:t>
      </w:r>
      <w:r>
        <w:rPr>
          <w:rFonts w:hint="eastAsia" w:ascii="宋体" w:hAnsi="宋体"/>
          <w:bCs/>
          <w:color w:val="auto"/>
          <w:sz w:val="22"/>
          <w:szCs w:val="22"/>
          <w:highlight w:val="none"/>
          <w:u w:val="single"/>
          <w:lang w:val="zh-CN"/>
        </w:rPr>
        <w:t>罗先生</w:t>
      </w:r>
    </w:p>
    <w:p>
      <w:pPr>
        <w:tabs>
          <w:tab w:val="left" w:pos="480"/>
        </w:tabs>
        <w:snapToGrid w:val="0"/>
        <w:spacing w:line="360" w:lineRule="auto"/>
        <w:ind w:left="480"/>
        <w:rPr>
          <w:rFonts w:ascii="宋体" w:hAnsi="宋体"/>
          <w:bCs/>
          <w:color w:val="auto"/>
          <w:sz w:val="22"/>
          <w:szCs w:val="22"/>
          <w:highlight w:val="none"/>
        </w:rPr>
      </w:pPr>
      <w:r>
        <w:rPr>
          <w:rFonts w:hint="eastAsia" w:ascii="宋体" w:hAnsi="宋体"/>
          <w:bCs/>
          <w:color w:val="auto"/>
          <w:sz w:val="22"/>
          <w:szCs w:val="22"/>
          <w:highlight w:val="none"/>
          <w:u w:val="none"/>
          <w:lang w:val="zh-CN"/>
        </w:rPr>
        <w:t>联系电话：</w:t>
      </w:r>
      <w:r>
        <w:rPr>
          <w:rFonts w:hint="eastAsia" w:ascii="宋体" w:hAnsi="宋体"/>
          <w:bCs/>
          <w:color w:val="auto"/>
          <w:sz w:val="22"/>
          <w:szCs w:val="22"/>
          <w:highlight w:val="none"/>
          <w:u w:val="single"/>
          <w:lang w:val="zh-CN"/>
        </w:rPr>
        <w:t>0769-22083256</w:t>
      </w:r>
    </w:p>
    <w:p>
      <w:pPr>
        <w:tabs>
          <w:tab w:val="left" w:pos="480"/>
        </w:tabs>
        <w:snapToGrid w:val="0"/>
        <w:spacing w:line="360" w:lineRule="auto"/>
        <w:jc w:val="right"/>
        <w:rPr>
          <w:rFonts w:hint="eastAsia" w:ascii="宋体" w:hAnsi="宋体"/>
          <w:bCs/>
          <w:color w:val="auto"/>
          <w:sz w:val="22"/>
          <w:szCs w:val="22"/>
          <w:highlight w:val="none"/>
        </w:rPr>
      </w:pPr>
    </w:p>
    <w:p>
      <w:pPr>
        <w:tabs>
          <w:tab w:val="left" w:pos="480"/>
        </w:tabs>
        <w:snapToGrid w:val="0"/>
        <w:spacing w:line="360" w:lineRule="auto"/>
        <w:jc w:val="right"/>
        <w:rPr>
          <w:rFonts w:hint="eastAsia" w:ascii="宋体" w:hAnsi="宋体"/>
          <w:bCs/>
          <w:color w:val="auto"/>
          <w:sz w:val="22"/>
          <w:szCs w:val="22"/>
          <w:highlight w:val="none"/>
        </w:rPr>
      </w:pPr>
    </w:p>
    <w:p>
      <w:pPr>
        <w:tabs>
          <w:tab w:val="left" w:pos="480"/>
        </w:tabs>
        <w:snapToGrid w:val="0"/>
        <w:spacing w:line="360" w:lineRule="auto"/>
        <w:jc w:val="right"/>
        <w:rPr>
          <w:rFonts w:ascii="宋体" w:hAnsi="宋体"/>
          <w:bCs/>
          <w:color w:val="auto"/>
          <w:sz w:val="22"/>
          <w:szCs w:val="22"/>
          <w:highlight w:val="none"/>
          <w:u w:val="single"/>
        </w:rPr>
      </w:pPr>
      <w:r>
        <w:rPr>
          <w:rFonts w:hint="eastAsia" w:ascii="宋体" w:hAnsi="宋体"/>
          <w:bCs/>
          <w:color w:val="auto"/>
          <w:sz w:val="22"/>
          <w:szCs w:val="22"/>
          <w:highlight w:val="none"/>
        </w:rPr>
        <w:t>招标</w:t>
      </w:r>
      <w:r>
        <w:rPr>
          <w:rFonts w:ascii="宋体" w:hAnsi="宋体"/>
          <w:bCs/>
          <w:color w:val="auto"/>
          <w:sz w:val="22"/>
          <w:szCs w:val="22"/>
          <w:highlight w:val="none"/>
        </w:rPr>
        <w:t>代理</w:t>
      </w:r>
      <w:r>
        <w:rPr>
          <w:rFonts w:hint="eastAsia" w:ascii="宋体" w:hAnsi="宋体"/>
          <w:bCs/>
          <w:color w:val="auto"/>
          <w:sz w:val="22"/>
          <w:szCs w:val="22"/>
          <w:highlight w:val="none"/>
        </w:rPr>
        <w:t>机构</w:t>
      </w:r>
      <w:r>
        <w:rPr>
          <w:rFonts w:ascii="宋体" w:hAnsi="宋体"/>
          <w:bCs/>
          <w:color w:val="auto"/>
          <w:sz w:val="22"/>
          <w:szCs w:val="22"/>
          <w:highlight w:val="none"/>
        </w:rPr>
        <w:t>：</w:t>
      </w:r>
      <w:r>
        <w:rPr>
          <w:rFonts w:hint="eastAsia" w:ascii="宋体" w:hAnsi="宋体" w:cs="宋体"/>
          <w:bCs/>
          <w:color w:val="auto"/>
          <w:sz w:val="22"/>
          <w:szCs w:val="22"/>
          <w:highlight w:val="none"/>
          <w:u w:val="single"/>
          <w:lang w:eastAsia="zh-CN"/>
        </w:rPr>
        <w:t>广东中凯工程管理咨询有限公司</w:t>
      </w:r>
      <w:r>
        <w:rPr>
          <w:rFonts w:hint="eastAsia" w:ascii="宋体" w:hAnsi="宋体"/>
          <w:bCs/>
          <w:color w:val="auto"/>
          <w:sz w:val="22"/>
          <w:szCs w:val="22"/>
          <w:highlight w:val="none"/>
        </w:rPr>
        <w:t xml:space="preserve"> </w:t>
      </w:r>
    </w:p>
    <w:p>
      <w:pPr>
        <w:tabs>
          <w:tab w:val="left" w:pos="480"/>
        </w:tabs>
        <w:snapToGrid w:val="0"/>
        <w:spacing w:line="360" w:lineRule="auto"/>
        <w:jc w:val="right"/>
        <w:rPr>
          <w:rFonts w:ascii="宋体" w:hAnsi="宋体"/>
          <w:bCs/>
          <w:color w:val="auto"/>
          <w:sz w:val="22"/>
          <w:szCs w:val="22"/>
          <w:highlight w:val="none"/>
        </w:rPr>
      </w:pPr>
      <w:r>
        <w:rPr>
          <w:rFonts w:hint="eastAsia" w:ascii="宋体" w:hAnsi="宋体"/>
          <w:bCs/>
          <w:color w:val="auto"/>
          <w:sz w:val="22"/>
          <w:szCs w:val="22"/>
          <w:highlight w:val="none"/>
          <w:lang w:val="en-US" w:eastAsia="zh-CN"/>
        </w:rPr>
        <w:t>2021</w:t>
      </w:r>
      <w:r>
        <w:rPr>
          <w:rFonts w:ascii="宋体" w:hAnsi="宋体"/>
          <w:bCs/>
          <w:color w:val="auto"/>
          <w:sz w:val="22"/>
          <w:szCs w:val="22"/>
          <w:highlight w:val="none"/>
        </w:rPr>
        <w:t>年</w:t>
      </w:r>
      <w:r>
        <w:rPr>
          <w:rFonts w:hint="eastAsia" w:ascii="宋体" w:hAnsi="宋体"/>
          <w:bCs/>
          <w:color w:val="auto"/>
          <w:sz w:val="22"/>
          <w:szCs w:val="22"/>
          <w:highlight w:val="none"/>
          <w:lang w:val="en-US" w:eastAsia="zh-CN"/>
        </w:rPr>
        <w:t>02</w:t>
      </w:r>
      <w:r>
        <w:rPr>
          <w:rFonts w:ascii="宋体" w:hAnsi="宋体"/>
          <w:bCs/>
          <w:color w:val="auto"/>
          <w:sz w:val="22"/>
          <w:szCs w:val="22"/>
          <w:highlight w:val="none"/>
        </w:rPr>
        <w:t>月</w:t>
      </w:r>
      <w:r>
        <w:rPr>
          <w:rFonts w:hint="eastAsia" w:ascii="宋体" w:hAnsi="宋体"/>
          <w:bCs/>
          <w:color w:val="auto"/>
          <w:sz w:val="22"/>
          <w:szCs w:val="22"/>
          <w:highlight w:val="none"/>
          <w:lang w:val="en-US" w:eastAsia="zh-CN"/>
        </w:rPr>
        <w:t>05</w:t>
      </w:r>
      <w:r>
        <w:rPr>
          <w:rFonts w:ascii="宋体" w:hAnsi="宋体"/>
          <w:bCs/>
          <w:color w:val="auto"/>
          <w:sz w:val="22"/>
          <w:szCs w:val="22"/>
          <w:highlight w:val="none"/>
        </w:rPr>
        <w:t>日</w:t>
      </w:r>
    </w:p>
    <w:p>
      <w:pPr>
        <w:widowControl/>
        <w:jc w:val="left"/>
        <w:rPr>
          <w:rFonts w:ascii="Times New Roman" w:hAnsi="Times New Roman" w:eastAsiaTheme="minorEastAsia"/>
          <w:color w:val="auto"/>
          <w:highlight w:val="none"/>
        </w:rPr>
      </w:pPr>
      <w:r>
        <w:rPr>
          <w:rFonts w:ascii="Times New Roman" w:hAnsi="Times New Roman" w:eastAsiaTheme="minorEastAsia"/>
          <w:color w:val="auto"/>
          <w:highlight w:val="none"/>
        </w:rPr>
        <w:br w:type="page"/>
      </w: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pStyle w:val="4"/>
        <w:numPr>
          <w:ilvl w:val="0"/>
          <w:numId w:val="3"/>
        </w:numPr>
        <w:jc w:val="center"/>
        <w:rPr>
          <w:rFonts w:ascii="Times New Roman" w:hAnsi="Times New Roman" w:eastAsiaTheme="minorEastAsia"/>
          <w:color w:val="auto"/>
          <w:highlight w:val="none"/>
        </w:rPr>
      </w:pPr>
      <w:bookmarkStart w:id="10" w:name="_Toc61529806"/>
      <w:r>
        <w:rPr>
          <w:rFonts w:ascii="Times New Roman" w:hAnsi="Times New Roman" w:eastAsiaTheme="minorEastAsia"/>
          <w:color w:val="auto"/>
          <w:highlight w:val="none"/>
        </w:rPr>
        <w:t>投标人须知</w:t>
      </w:r>
      <w:bookmarkEnd w:id="5"/>
      <w:bookmarkEnd w:id="10"/>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rPr>
          <w:rFonts w:ascii="Times New Roman" w:hAnsi="Times New Roman" w:eastAsiaTheme="minorEastAsia"/>
          <w:color w:val="auto"/>
          <w:highlight w:val="none"/>
        </w:rPr>
      </w:pPr>
    </w:p>
    <w:p>
      <w:pPr>
        <w:widowControl/>
        <w:jc w:val="left"/>
        <w:rPr>
          <w:rFonts w:ascii="Times New Roman" w:hAnsi="Times New Roman" w:eastAsiaTheme="minorEastAsia"/>
          <w:color w:val="auto"/>
          <w:highlight w:val="none"/>
        </w:rPr>
      </w:pPr>
      <w:bookmarkStart w:id="11" w:name="_Toc396137231"/>
      <w:bookmarkStart w:id="12" w:name="_Toc425348132"/>
      <w:bookmarkStart w:id="13" w:name="_Toc441844050"/>
      <w:r>
        <w:rPr>
          <w:rFonts w:ascii="Times New Roman" w:hAnsi="Times New Roman" w:eastAsiaTheme="minorEastAsia"/>
          <w:color w:val="auto"/>
          <w:highlight w:val="none"/>
        </w:rPr>
        <w:br w:type="page"/>
      </w:r>
    </w:p>
    <w:p>
      <w:pPr>
        <w:pStyle w:val="5"/>
        <w:spacing w:line="360" w:lineRule="auto"/>
        <w:ind w:left="0" w:firstLine="0"/>
        <w:jc w:val="center"/>
        <w:rPr>
          <w:rFonts w:ascii="Times New Roman" w:hAnsi="Times New Roman" w:eastAsiaTheme="minorEastAsia"/>
          <w:bCs/>
          <w:color w:val="auto"/>
          <w:kern w:val="44"/>
          <w:highlight w:val="none"/>
          <w:lang w:val="zh-CN"/>
        </w:rPr>
      </w:pPr>
      <w:bookmarkStart w:id="14" w:name="_Toc61529807"/>
      <w:r>
        <w:rPr>
          <w:rFonts w:ascii="Times New Roman" w:hAnsi="Times New Roman" w:eastAsiaTheme="minorEastAsia"/>
          <w:bCs/>
          <w:color w:val="auto"/>
          <w:kern w:val="44"/>
          <w:highlight w:val="none"/>
          <w:lang w:val="zh-CN"/>
        </w:rPr>
        <w:t>一、投标人须知前附表</w:t>
      </w:r>
      <w:bookmarkEnd w:id="11"/>
      <w:bookmarkEnd w:id="12"/>
      <w:bookmarkEnd w:id="13"/>
      <w:bookmarkEnd w:id="14"/>
    </w:p>
    <w:tbl>
      <w:tblPr>
        <w:tblStyle w:val="50"/>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w:t>
            </w:r>
          </w:p>
        </w:tc>
        <w:tc>
          <w:tcPr>
            <w:tcW w:w="1559"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内容</w:t>
            </w:r>
          </w:p>
        </w:tc>
        <w:tc>
          <w:tcPr>
            <w:tcW w:w="6749"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674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自筹资金，资金已落实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项目预算金额</w:t>
            </w:r>
          </w:p>
        </w:tc>
        <w:tc>
          <w:tcPr>
            <w:tcW w:w="6749" w:type="dxa"/>
            <w:vAlign w:val="center"/>
          </w:tcPr>
          <w:p>
            <w:pP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lang w:val="en-US" w:eastAsia="zh-CN"/>
              </w:rPr>
              <w:t>10,977,000.00</w:t>
            </w:r>
            <w:r>
              <w:rPr>
                <w:rFonts w:hint="eastAsia" w:ascii="宋体" w:hAnsi="宋体" w:eastAsia="宋体" w:cs="宋体"/>
                <w:bCs/>
                <w:color w:val="auto"/>
                <w:sz w:val="22"/>
                <w:szCs w:val="22"/>
                <w:highlight w:val="none"/>
              </w:rPr>
              <w:t>元</w:t>
            </w:r>
            <w:r>
              <w:rPr>
                <w:rFonts w:hint="eastAsia" w:ascii="宋体" w:hAnsi="宋体" w:cs="宋体"/>
                <w:bCs/>
                <w:color w:val="auto"/>
                <w:sz w:val="22"/>
                <w:szCs w:val="22"/>
                <w:highlight w:val="none"/>
                <w:lang w:eastAsia="zh-CN"/>
              </w:rPr>
              <w:t>（</w:t>
            </w:r>
            <w:r>
              <w:rPr>
                <w:rFonts w:hint="eastAsia" w:ascii="宋体" w:hAnsi="宋体"/>
                <w:bCs/>
                <w:color w:val="auto"/>
                <w:sz w:val="22"/>
                <w:szCs w:val="22"/>
                <w:highlight w:val="none"/>
                <w:lang w:val="en-US" w:eastAsia="zh-CN"/>
              </w:rPr>
              <w:t>其中</w:t>
            </w:r>
            <w:r>
              <w:rPr>
                <w:rFonts w:hint="eastAsia" w:ascii="宋体" w:hAnsi="宋体" w:cs="宋体"/>
                <w:color w:val="auto"/>
                <w:sz w:val="22"/>
                <w:szCs w:val="22"/>
                <w:highlight w:val="none"/>
                <w:lang w:val="en-US" w:eastAsia="zh-CN"/>
              </w:rPr>
              <w:t>东莞市交通投资集团有限公司合同部分为：9,977,000.00元；东莞发展控股股份有限公司合同部分为：1,000,000.00元</w:t>
            </w:r>
            <w:r>
              <w:rPr>
                <w:rFonts w:hint="eastAsia" w:ascii="宋体" w:hAnsi="宋体" w:cs="宋体"/>
                <w:bCs/>
                <w:color w:val="auto"/>
                <w:sz w:val="22"/>
                <w:szCs w:val="22"/>
                <w:highlight w:val="none"/>
                <w:lang w:eastAsia="zh-CN"/>
              </w:rPr>
              <w:t>）</w:t>
            </w:r>
            <w:r>
              <w:rPr>
                <w:rFonts w:hint="eastAsia" w:ascii="宋体" w:hAnsi="宋体" w:eastAsia="宋体" w:cs="宋体"/>
                <w:bCs/>
                <w:color w:val="auto"/>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招标人</w:t>
            </w:r>
          </w:p>
        </w:tc>
        <w:tc>
          <w:tcPr>
            <w:tcW w:w="6749" w:type="dxa"/>
            <w:vAlign w:val="center"/>
          </w:tcPr>
          <w:p>
            <w:pPr>
              <w:spacing w:line="360" w:lineRule="auto"/>
              <w:rPr>
                <w:rFonts w:hint="eastAsia" w:ascii="宋体" w:hAnsi="宋体" w:eastAsia="宋体" w:cs="宋体"/>
                <w:i/>
                <w:color w:val="auto"/>
                <w:sz w:val="22"/>
                <w:szCs w:val="22"/>
                <w:highlight w:val="none"/>
              </w:rPr>
            </w:pPr>
            <w:r>
              <w:rPr>
                <w:rFonts w:hint="eastAsia" w:ascii="宋体" w:hAnsi="宋体" w:eastAsia="宋体" w:cs="宋体"/>
                <w:color w:val="auto"/>
                <w:sz w:val="22"/>
                <w:szCs w:val="22"/>
                <w:highlight w:val="none"/>
                <w:lang w:val="zh-CN"/>
              </w:rPr>
              <w:t>东莞市交通投资集团有限公司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招标代理机构</w:t>
            </w:r>
          </w:p>
        </w:tc>
        <w:tc>
          <w:tcPr>
            <w:tcW w:w="6749" w:type="dxa"/>
            <w:vAlign w:val="center"/>
          </w:tcPr>
          <w:p>
            <w:pPr>
              <w:spacing w:line="360" w:lineRule="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广东中凯工程管理咨询有限公司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合格的投标人</w:t>
            </w:r>
          </w:p>
        </w:tc>
        <w:tc>
          <w:tcPr>
            <w:tcW w:w="6749" w:type="dxa"/>
            <w:vAlign w:val="center"/>
          </w:tcPr>
          <w:p>
            <w:pPr>
              <w:spacing w:line="360" w:lineRule="auto"/>
              <w:rPr>
                <w:rFonts w:hint="eastAsia" w:ascii="宋体" w:hAnsi="宋体" w:eastAsia="宋体" w:cs="宋体"/>
                <w:color w:val="auto"/>
                <w:sz w:val="22"/>
                <w:szCs w:val="22"/>
                <w:highlight w:val="none"/>
                <w:u w:val="single"/>
                <w:lang w:val="zh-CN"/>
              </w:rPr>
            </w:pPr>
            <w:r>
              <w:rPr>
                <w:rFonts w:hint="eastAsia" w:ascii="宋体" w:hAnsi="宋体" w:eastAsia="宋体" w:cs="宋体"/>
                <w:bCs/>
                <w:color w:val="auto"/>
                <w:sz w:val="22"/>
                <w:szCs w:val="22"/>
                <w:highlight w:val="none"/>
              </w:rPr>
              <w:t>见第一章《投标邀请》中第5款的</w:t>
            </w:r>
            <w:r>
              <w:rPr>
                <w:rFonts w:hint="eastAsia" w:ascii="宋体" w:hAnsi="宋体" w:eastAsia="宋体" w:cs="宋体"/>
                <w:b/>
                <w:bCs/>
                <w:color w:val="auto"/>
                <w:sz w:val="22"/>
                <w:szCs w:val="22"/>
                <w:highlight w:val="none"/>
                <w:u w:val="single"/>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3.6</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关于联合体投标</w:t>
            </w:r>
          </w:p>
        </w:tc>
        <w:tc>
          <w:tcPr>
            <w:tcW w:w="6749" w:type="dxa"/>
            <w:vAlign w:val="center"/>
          </w:tcPr>
          <w:p>
            <w:pPr>
              <w:spacing w:line="360" w:lineRule="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本项目</w:t>
            </w:r>
            <w:r>
              <w:rPr>
                <w:rFonts w:hint="eastAsia" w:ascii="宋体" w:hAnsi="宋体" w:eastAsia="宋体" w:cs="宋体"/>
                <w:b/>
                <w:color w:val="auto"/>
                <w:sz w:val="22"/>
                <w:szCs w:val="22"/>
                <w:highlight w:val="none"/>
                <w:u w:val="single"/>
                <w:lang w:val="zh-CN"/>
              </w:rPr>
              <w:t>不允许</w:t>
            </w:r>
            <w:r>
              <w:rPr>
                <w:rFonts w:hint="eastAsia" w:ascii="宋体" w:hAnsi="宋体" w:eastAsia="宋体" w:cs="宋体"/>
                <w:color w:val="auto"/>
                <w:sz w:val="22"/>
                <w:szCs w:val="22"/>
                <w:highlight w:val="none"/>
                <w:lang w:val="zh-CN"/>
              </w:rPr>
              <w:t>联合体投标，招标文件中与允许联合体投标有关的条款、文字表述或格式不适用于本次招标。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踏勘现场</w:t>
            </w:r>
          </w:p>
        </w:tc>
        <w:tc>
          <w:tcPr>
            <w:tcW w:w="6749"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招标人不集中组织，由投标人自行踏勘现场。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招标文件的异议</w:t>
            </w:r>
          </w:p>
        </w:tc>
        <w:tc>
          <w:tcPr>
            <w:tcW w:w="6749"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见第二章《投标须知》中第8款的</w:t>
            </w:r>
            <w:r>
              <w:rPr>
                <w:rFonts w:hint="eastAsia" w:ascii="宋体" w:hAnsi="宋体" w:eastAsia="宋体" w:cs="宋体"/>
                <w:b/>
                <w:color w:val="auto"/>
                <w:sz w:val="22"/>
                <w:szCs w:val="22"/>
                <w:highlight w:val="none"/>
                <w:u w:val="single"/>
              </w:rPr>
              <w:t>招标文件的异议</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w:t>
            </w:r>
            <w:r>
              <w:rPr>
                <w:rFonts w:hint="eastAsia" w:ascii="宋体" w:hAnsi="宋体" w:eastAsia="宋体" w:cs="宋体"/>
                <w:color w:val="auto"/>
                <w:sz w:val="22"/>
                <w:szCs w:val="22"/>
                <w:highlight w:val="none"/>
              </w:rPr>
              <w:t>14</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报价要求</w:t>
            </w:r>
          </w:p>
        </w:tc>
        <w:tc>
          <w:tcPr>
            <w:tcW w:w="6749"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报价应包含完成全部用户需求书内容的含税人民币价格。包括但不限于：本项目招标范围内所有服务及人员的采购、人工费、仪器仪具使用费、交通费、租赁费、运营费、通信费、线路架设费、调试费、系统开发费、智慧客服平台费、工单机器人开发使用费、项目验收费、税金、保险、利润等其他一切相关费用。</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2.投标报价应包括国家规定的所有税费及与项目相关的所有费用。</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3.投标人应以人民币为结算单位。</w:t>
            </w:r>
          </w:p>
          <w:p>
            <w:pPr>
              <w:spacing w:line="360" w:lineRule="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备注：由于本项目服务合同由东莞市交通投资集团有限公司、东莞发展控股股份有限公司分别与中标人签订，故本项目预算金额涵盖此两份合同的全部服务内容。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16.1</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投标保证金</w:t>
            </w:r>
          </w:p>
        </w:tc>
        <w:tc>
          <w:tcPr>
            <w:tcW w:w="6749" w:type="dxa"/>
            <w:vAlign w:val="center"/>
          </w:tcPr>
          <w:p>
            <w:pPr>
              <w:pStyle w:val="75"/>
              <w:spacing w:line="360" w:lineRule="auto"/>
              <w:jc w:val="both"/>
              <w:rPr>
                <w:rFonts w:hint="eastAsia" w:ascii="宋体" w:hAnsi="宋体" w:eastAsia="宋体" w:cs="宋体"/>
                <w:color w:val="auto"/>
                <w:kern w:val="2"/>
                <w:sz w:val="22"/>
                <w:szCs w:val="22"/>
                <w:highlight w:val="none"/>
                <w:shd w:val="clear" w:color="auto" w:fill="FFFFFF"/>
              </w:rPr>
            </w:pPr>
            <w:r>
              <w:rPr>
                <w:rFonts w:hint="eastAsia" w:ascii="宋体" w:hAnsi="宋体" w:eastAsia="宋体" w:cs="宋体"/>
                <w:color w:val="auto"/>
                <w:kern w:val="2"/>
                <w:sz w:val="22"/>
                <w:szCs w:val="22"/>
                <w:highlight w:val="none"/>
                <w:shd w:val="clear" w:color="auto" w:fill="FFFFFF"/>
              </w:rPr>
              <w:t>投标保证金的形式：</w:t>
            </w:r>
          </w:p>
          <w:p>
            <w:pPr>
              <w:pStyle w:val="75"/>
              <w:spacing w:line="360" w:lineRule="auto"/>
              <w:jc w:val="both"/>
              <w:rPr>
                <w:rFonts w:hint="eastAsia" w:ascii="宋体" w:hAnsi="宋体" w:eastAsia="宋体" w:cs="宋体"/>
                <w:color w:val="auto"/>
                <w:kern w:val="2"/>
                <w:sz w:val="22"/>
                <w:szCs w:val="22"/>
                <w:highlight w:val="none"/>
                <w:shd w:val="clear" w:color="auto" w:fill="FFFFFF"/>
              </w:rPr>
            </w:pPr>
            <w:r>
              <w:rPr>
                <w:rFonts w:hint="eastAsia" w:ascii="宋体" w:hAnsi="宋体" w:cs="宋体"/>
                <w:color w:val="auto"/>
                <w:kern w:val="2"/>
                <w:sz w:val="22"/>
                <w:szCs w:val="22"/>
                <w:highlight w:val="none"/>
                <w:shd w:val="clear" w:color="auto" w:fill="FFFFFF"/>
                <w:lang w:eastAsia="zh-CN"/>
              </w:rPr>
              <w:t>☑</w:t>
            </w:r>
            <w:r>
              <w:rPr>
                <w:rFonts w:hint="eastAsia" w:ascii="宋体" w:hAnsi="宋体" w:eastAsia="宋体" w:cs="宋体"/>
                <w:color w:val="auto"/>
                <w:kern w:val="2"/>
                <w:sz w:val="22"/>
                <w:szCs w:val="22"/>
                <w:highlight w:val="none"/>
                <w:shd w:val="clear" w:color="auto" w:fill="FFFFFF"/>
              </w:rPr>
              <w:t>1、单项投标保证金；</w:t>
            </w:r>
          </w:p>
          <w:p>
            <w:pPr>
              <w:pStyle w:val="75"/>
              <w:spacing w:line="360" w:lineRule="auto"/>
              <w:jc w:val="both"/>
              <w:rPr>
                <w:rFonts w:hint="eastAsia" w:ascii="宋体" w:hAnsi="宋体" w:eastAsia="宋体" w:cs="宋体"/>
                <w:color w:val="auto"/>
                <w:kern w:val="2"/>
                <w:sz w:val="22"/>
                <w:szCs w:val="22"/>
                <w:highlight w:val="none"/>
                <w:shd w:val="clear" w:color="auto" w:fill="FFFFFF"/>
              </w:rPr>
            </w:pPr>
            <w:r>
              <w:rPr>
                <w:rFonts w:hint="eastAsia" w:ascii="宋体" w:hAnsi="宋体" w:cs="宋体"/>
                <w:color w:val="auto"/>
                <w:kern w:val="2"/>
                <w:sz w:val="22"/>
                <w:szCs w:val="22"/>
                <w:highlight w:val="none"/>
                <w:shd w:val="clear" w:color="auto" w:fill="FFFFFF"/>
                <w:lang w:eastAsia="zh-CN"/>
              </w:rPr>
              <w:t>☑</w:t>
            </w:r>
            <w:r>
              <w:rPr>
                <w:rFonts w:hint="eastAsia" w:ascii="宋体" w:hAnsi="宋体" w:eastAsia="宋体" w:cs="宋体"/>
                <w:color w:val="auto"/>
                <w:kern w:val="2"/>
                <w:sz w:val="22"/>
                <w:szCs w:val="22"/>
                <w:highlight w:val="none"/>
                <w:shd w:val="clear" w:color="auto" w:fill="FFFFFF"/>
              </w:rPr>
              <w:t>2、投标担保函；</w:t>
            </w:r>
          </w:p>
          <w:p>
            <w:pPr>
              <w:spacing w:line="360" w:lineRule="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投标保证金金额：</w:t>
            </w:r>
            <w:r>
              <w:rPr>
                <w:rFonts w:hint="eastAsia" w:ascii="宋体" w:hAnsi="宋体" w:eastAsia="宋体" w:cs="宋体"/>
                <w:b/>
                <w:bCs/>
                <w:color w:val="auto"/>
                <w:sz w:val="22"/>
                <w:szCs w:val="22"/>
                <w:highlight w:val="none"/>
                <w:lang w:val="en-US" w:eastAsia="zh-CN"/>
              </w:rPr>
              <w:t>200,000.00</w:t>
            </w:r>
            <w:r>
              <w:rPr>
                <w:rFonts w:hint="eastAsia" w:ascii="宋体" w:hAnsi="宋体" w:eastAsia="宋体" w:cs="宋体"/>
                <w:b/>
                <w:color w:val="auto"/>
                <w:sz w:val="22"/>
                <w:szCs w:val="22"/>
                <w:highlight w:val="none"/>
              </w:rPr>
              <w:t>元；</w:t>
            </w:r>
          </w:p>
          <w:p>
            <w:pPr>
              <w:spacing w:line="360" w:lineRule="auto"/>
              <w:rPr>
                <w:rFonts w:hint="eastAsia" w:ascii="宋体" w:hAnsi="宋体" w:eastAsia="宋体" w:cs="宋体"/>
                <w:color w:val="auto"/>
                <w:sz w:val="22"/>
                <w:szCs w:val="22"/>
                <w:highlight w:val="none"/>
                <w:u w:val="single"/>
              </w:rPr>
            </w:pPr>
            <w:bookmarkStart w:id="15" w:name="_Hlk1990421"/>
            <w:r>
              <w:rPr>
                <w:rFonts w:hint="eastAsia" w:ascii="宋体" w:hAnsi="宋体" w:eastAsia="宋体" w:cs="宋体"/>
                <w:color w:val="auto"/>
                <w:sz w:val="22"/>
                <w:szCs w:val="22"/>
                <w:highlight w:val="none"/>
              </w:rPr>
              <w:t>投标保证金账户</w:t>
            </w:r>
            <w:bookmarkEnd w:id="15"/>
            <w:r>
              <w:rPr>
                <w:rFonts w:hint="eastAsia" w:ascii="宋体" w:hAnsi="宋体" w:eastAsia="宋体" w:cs="宋体"/>
                <w:color w:val="auto"/>
                <w:sz w:val="22"/>
                <w:szCs w:val="22"/>
                <w:highlight w:val="none"/>
              </w:rPr>
              <w:t>：</w:t>
            </w:r>
          </w:p>
          <w:p>
            <w:pPr>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开户名称：</w:t>
            </w:r>
            <w:r>
              <w:rPr>
                <w:rFonts w:hint="eastAsia" w:ascii="宋体" w:hAnsi="宋体" w:eastAsia="宋体" w:cs="宋体"/>
                <w:bCs/>
                <w:color w:val="auto"/>
                <w:sz w:val="22"/>
                <w:szCs w:val="22"/>
                <w:highlight w:val="none"/>
                <w:u w:val="single"/>
              </w:rPr>
              <w:t>东莞市交通投资集团有限公司</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r>
              <w:rPr>
                <w:rFonts w:hint="eastAsia" w:ascii="宋体" w:hAnsi="宋体" w:eastAsia="宋体" w:cs="宋体"/>
                <w:color w:val="auto"/>
                <w:sz w:val="22"/>
                <w:szCs w:val="22"/>
                <w:highlight w:val="none"/>
                <w:u w:val="single"/>
              </w:rPr>
              <w:t xml:space="preserve">  平安银行股份有限公司东莞分行    </w:t>
            </w:r>
            <w:r>
              <w:rPr>
                <w:rFonts w:hint="eastAsia" w:ascii="宋体" w:hAnsi="宋体" w:eastAsia="宋体" w:cs="宋体"/>
                <w:color w:val="auto"/>
                <w:sz w:val="22"/>
                <w:szCs w:val="22"/>
                <w:highlight w:val="none"/>
              </w:rPr>
              <w:t xml:space="preserve"> </w:t>
            </w:r>
          </w:p>
          <w:p>
            <w:pPr>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账号：</w:t>
            </w:r>
            <w:r>
              <w:rPr>
                <w:rFonts w:hint="eastAsia" w:ascii="宋体" w:hAnsi="宋体" w:eastAsia="宋体" w:cs="宋体"/>
                <w:color w:val="auto"/>
                <w:sz w:val="22"/>
                <w:szCs w:val="22"/>
                <w:highlight w:val="none"/>
                <w:u w:val="single"/>
              </w:rPr>
              <w:t xml:space="preserve">  30204959000354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保证金退还时采用“网上一键原路退还”的方式处理，其余的法律责任由投标人自行承担。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w:t>
            </w:r>
            <w:r>
              <w:rPr>
                <w:rFonts w:hint="eastAsia" w:ascii="宋体" w:hAnsi="宋体" w:eastAsia="宋体" w:cs="宋体"/>
                <w:color w:val="auto"/>
                <w:sz w:val="22"/>
                <w:szCs w:val="22"/>
                <w:highlight w:val="none"/>
              </w:rPr>
              <w:t>17.1</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投标有效期</w:t>
            </w:r>
          </w:p>
        </w:tc>
        <w:tc>
          <w:tcPr>
            <w:tcW w:w="6749" w:type="dxa"/>
            <w:vAlign w:val="center"/>
          </w:tcPr>
          <w:p>
            <w:pPr>
              <w:spacing w:line="36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zh-CN"/>
              </w:rPr>
              <w:t>递交投标文件截止日后120日内有效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19</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投标截止时间</w:t>
            </w:r>
          </w:p>
        </w:tc>
        <w:tc>
          <w:tcPr>
            <w:tcW w:w="6749"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本项目投标截止时间为</w:t>
            </w:r>
            <w:r>
              <w:rPr>
                <w:rFonts w:hint="eastAsia" w:ascii="宋体" w:hAnsi="宋体"/>
                <w:bCs/>
                <w:color w:val="auto"/>
                <w:sz w:val="22"/>
                <w:szCs w:val="22"/>
                <w:highlight w:val="none"/>
                <w:lang w:val="en-US" w:eastAsia="zh-CN"/>
              </w:rPr>
              <w:t>2021</w:t>
            </w:r>
            <w:r>
              <w:rPr>
                <w:rFonts w:ascii="宋体" w:hAnsi="宋体"/>
                <w:bCs/>
                <w:color w:val="auto"/>
                <w:sz w:val="22"/>
                <w:szCs w:val="22"/>
                <w:highlight w:val="none"/>
              </w:rPr>
              <w:t>年</w:t>
            </w:r>
            <w:r>
              <w:rPr>
                <w:rFonts w:hint="eastAsia" w:ascii="宋体" w:hAnsi="宋体"/>
                <w:bCs/>
                <w:color w:val="auto"/>
                <w:sz w:val="22"/>
                <w:szCs w:val="22"/>
                <w:highlight w:val="none"/>
                <w:lang w:val="en-US" w:eastAsia="zh-CN"/>
              </w:rPr>
              <w:t>03</w:t>
            </w:r>
            <w:r>
              <w:rPr>
                <w:rFonts w:ascii="宋体" w:hAnsi="宋体"/>
                <w:bCs/>
                <w:color w:val="auto"/>
                <w:sz w:val="22"/>
                <w:szCs w:val="22"/>
                <w:highlight w:val="none"/>
              </w:rPr>
              <w:t>月</w:t>
            </w:r>
            <w:r>
              <w:rPr>
                <w:rFonts w:hint="eastAsia" w:ascii="宋体" w:hAnsi="宋体"/>
                <w:bCs/>
                <w:color w:val="auto"/>
                <w:sz w:val="22"/>
                <w:szCs w:val="22"/>
                <w:highlight w:val="none"/>
                <w:lang w:val="en-US" w:eastAsia="zh-CN"/>
              </w:rPr>
              <w:t>02</w:t>
            </w:r>
            <w:r>
              <w:rPr>
                <w:rFonts w:ascii="宋体" w:hAnsi="宋体"/>
                <w:bCs/>
                <w:color w:val="auto"/>
                <w:sz w:val="22"/>
                <w:szCs w:val="22"/>
                <w:highlight w:val="none"/>
              </w:rPr>
              <w:t>日</w:t>
            </w:r>
            <w:r>
              <w:rPr>
                <w:rFonts w:hint="eastAsia" w:ascii="宋体" w:hAnsi="宋体"/>
                <w:bCs/>
                <w:color w:val="auto"/>
                <w:sz w:val="22"/>
                <w:szCs w:val="22"/>
                <w:highlight w:val="none"/>
                <w:lang w:val="en-US" w:eastAsia="zh-CN"/>
              </w:rPr>
              <w:t>09</w:t>
            </w:r>
            <w:r>
              <w:rPr>
                <w:rFonts w:hint="eastAsia" w:ascii="宋体" w:hAnsi="宋体"/>
                <w:bCs/>
                <w:color w:val="auto"/>
                <w:sz w:val="22"/>
                <w:szCs w:val="22"/>
                <w:highlight w:val="none"/>
              </w:rPr>
              <w:t>时</w:t>
            </w:r>
            <w:r>
              <w:rPr>
                <w:rFonts w:hint="eastAsia" w:ascii="宋体" w:hAnsi="宋体"/>
                <w:bCs/>
                <w:color w:val="auto"/>
                <w:sz w:val="22"/>
                <w:szCs w:val="22"/>
                <w:highlight w:val="none"/>
                <w:lang w:val="en-US" w:eastAsia="zh-CN"/>
              </w:rPr>
              <w:t>30</w:t>
            </w:r>
            <w:r>
              <w:rPr>
                <w:rFonts w:hint="eastAsia" w:ascii="宋体" w:hAnsi="宋体"/>
                <w:bCs/>
                <w:color w:val="auto"/>
                <w:sz w:val="22"/>
                <w:szCs w:val="22"/>
                <w:highlight w:val="none"/>
              </w:rPr>
              <w:t xml:space="preserve">分 </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23.1</w:t>
            </w:r>
          </w:p>
        </w:tc>
        <w:tc>
          <w:tcPr>
            <w:tcW w:w="1559" w:type="dxa"/>
            <w:vAlign w:val="center"/>
          </w:tcPr>
          <w:p>
            <w:pP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评标委员会</w:t>
            </w:r>
          </w:p>
        </w:tc>
        <w:tc>
          <w:tcPr>
            <w:tcW w:w="6749"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评标委员会成员共</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cs="宋体"/>
                <w:bCs/>
                <w:color w:val="auto"/>
                <w:sz w:val="22"/>
                <w:szCs w:val="22"/>
                <w:highlight w:val="none"/>
                <w:u w:val="single"/>
                <w:lang w:val="en-US" w:eastAsia="zh-CN"/>
              </w:rPr>
              <w:t>5</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人：</w:t>
            </w:r>
            <w:r>
              <w:rPr>
                <w:rFonts w:hint="eastAsia" w:ascii="宋体" w:hAnsi="宋体" w:eastAsia="宋体" w:cs="宋体"/>
                <w:color w:val="auto"/>
                <w:sz w:val="22"/>
                <w:szCs w:val="22"/>
                <w:highlight w:val="none"/>
                <w:lang w:val="zh-CN"/>
              </w:rPr>
              <w:t>其中招标人代表</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cs="宋体"/>
                <w:bCs/>
                <w:color w:val="auto"/>
                <w:sz w:val="22"/>
                <w:szCs w:val="22"/>
                <w:highlight w:val="none"/>
                <w:u w:val="single"/>
                <w:lang w:val="en-US" w:eastAsia="zh-CN"/>
              </w:rPr>
              <w:t>1</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zh-CN"/>
              </w:rPr>
              <w:t>名；技术、经济等方面的专家</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cs="宋体"/>
                <w:bCs/>
                <w:color w:val="auto"/>
                <w:sz w:val="22"/>
                <w:szCs w:val="22"/>
                <w:highlight w:val="none"/>
                <w:u w:val="single"/>
                <w:lang w:val="en-US" w:eastAsia="zh-CN"/>
              </w:rPr>
              <w:t>4</w:t>
            </w:r>
            <w:r>
              <w:rPr>
                <w:rFonts w:hint="eastAsia" w:ascii="宋体" w:hAnsi="宋体" w:eastAsia="宋体" w:cs="宋体"/>
                <w:bCs/>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人</w:t>
            </w:r>
            <w:r>
              <w:rPr>
                <w:rFonts w:hint="eastAsia" w:ascii="宋体" w:hAnsi="宋体" w:eastAsia="宋体" w:cs="宋体"/>
                <w:color w:val="auto"/>
                <w:sz w:val="22"/>
                <w:szCs w:val="22"/>
                <w:highlight w:val="none"/>
                <w:lang w:val="zh-CN"/>
              </w:rPr>
              <w:t>由</w:t>
            </w:r>
            <w:r>
              <w:rPr>
                <w:rFonts w:hint="eastAsia" w:ascii="宋体" w:hAnsi="宋体" w:eastAsia="宋体" w:cs="宋体"/>
                <w:color w:val="auto"/>
                <w:sz w:val="22"/>
                <w:szCs w:val="22"/>
                <w:highlight w:val="none"/>
                <w:u w:val="single"/>
              </w:rPr>
              <w:t>广东省综合评标专家库</w:t>
            </w:r>
            <w:r>
              <w:rPr>
                <w:rFonts w:hint="eastAsia" w:ascii="宋体" w:hAnsi="宋体" w:eastAsia="宋体" w:cs="宋体"/>
                <w:color w:val="auto"/>
                <w:sz w:val="22"/>
                <w:szCs w:val="22"/>
                <w:highlight w:val="none"/>
              </w:rPr>
              <w:t>中随机抽取确定。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1559" w:type="dxa"/>
            <w:vAlign w:val="center"/>
          </w:tcPr>
          <w:p>
            <w:pP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评标方法</w:t>
            </w:r>
          </w:p>
        </w:tc>
        <w:tc>
          <w:tcPr>
            <w:tcW w:w="6749"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9.4</w:t>
            </w:r>
          </w:p>
        </w:tc>
        <w:tc>
          <w:tcPr>
            <w:tcW w:w="1559" w:type="dxa"/>
            <w:vAlign w:val="center"/>
          </w:tcPr>
          <w:p>
            <w:pP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招标信息公告媒体</w:t>
            </w:r>
          </w:p>
        </w:tc>
        <w:tc>
          <w:tcPr>
            <w:tcW w:w="6749" w:type="dxa"/>
            <w:vAlign w:val="center"/>
          </w:tcPr>
          <w:p>
            <w:pPr>
              <w:wordWrap w:val="0"/>
              <w:spacing w:line="360" w:lineRule="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所有有关本次招标的招标公告会在东莞市公共资源交易网（http://ggzy.dg.gov.cn/）</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东莞市交通投资集团有限公司官方网站（http://www.dgjtjt.com.cn）</w:t>
            </w:r>
            <w:r>
              <w:rPr>
                <w:rFonts w:hint="eastAsia" w:ascii="宋体" w:hAnsi="宋体" w:eastAsia="宋体" w:cs="宋体"/>
                <w:bCs/>
                <w:color w:val="auto"/>
                <w:sz w:val="22"/>
                <w:szCs w:val="22"/>
                <w:highlight w:val="none"/>
                <w:lang w:eastAsia="zh-CN"/>
              </w:rPr>
              <w:t>、广东中凯工程管理咨询有限公司</w:t>
            </w:r>
            <w:r>
              <w:rPr>
                <w:rFonts w:hint="eastAsia" w:ascii="宋体" w:hAnsi="宋体" w:eastAsia="宋体" w:cs="宋体"/>
                <w:bCs/>
                <w:color w:val="auto"/>
                <w:sz w:val="22"/>
                <w:szCs w:val="22"/>
                <w:highlight w:val="none"/>
                <w:lang w:val="en-US" w:eastAsia="zh-CN"/>
              </w:rPr>
              <w:t>门户网站（http://www.gdzkgc.com/）</w:t>
            </w:r>
            <w:r>
              <w:rPr>
                <w:rFonts w:hint="eastAsia" w:ascii="宋体" w:hAnsi="宋体" w:eastAsia="宋体" w:cs="宋体"/>
                <w:bCs/>
                <w:color w:val="auto"/>
                <w:sz w:val="22"/>
                <w:szCs w:val="22"/>
                <w:highlight w:val="none"/>
              </w:rPr>
              <w:t>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29.1</w:t>
            </w:r>
          </w:p>
        </w:tc>
        <w:tc>
          <w:tcPr>
            <w:tcW w:w="1559" w:type="dxa"/>
            <w:vAlign w:val="center"/>
          </w:tcPr>
          <w:p>
            <w:pP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招标结果公示媒体</w:t>
            </w:r>
          </w:p>
        </w:tc>
        <w:tc>
          <w:tcPr>
            <w:tcW w:w="6749" w:type="dxa"/>
            <w:vAlign w:val="center"/>
          </w:tcPr>
          <w:p>
            <w:pPr>
              <w:wordWrap w:val="0"/>
              <w:spacing w:line="36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所有本次招标的结果公示会在东莞市公共资源交易网（http://ggzy.dg.gov.cn/）</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东莞市交通投资集团有限公司官方网站（http://www.dgjtjt.com.cn）</w:t>
            </w:r>
            <w:r>
              <w:rPr>
                <w:rFonts w:hint="eastAsia" w:ascii="宋体" w:hAnsi="宋体" w:eastAsia="宋体" w:cs="宋体"/>
                <w:bCs/>
                <w:color w:val="auto"/>
                <w:sz w:val="22"/>
                <w:szCs w:val="22"/>
                <w:highlight w:val="none"/>
                <w:lang w:eastAsia="zh-CN"/>
              </w:rPr>
              <w:t>、广东中凯工程管理咨询有限公司</w:t>
            </w:r>
            <w:r>
              <w:rPr>
                <w:rFonts w:hint="eastAsia" w:ascii="宋体" w:hAnsi="宋体" w:eastAsia="宋体" w:cs="宋体"/>
                <w:bCs/>
                <w:color w:val="auto"/>
                <w:sz w:val="22"/>
                <w:szCs w:val="22"/>
                <w:highlight w:val="none"/>
                <w:lang w:val="en-US" w:eastAsia="zh-CN"/>
              </w:rPr>
              <w:t>门户网站（http://www.gdzkgc.com/）</w:t>
            </w:r>
            <w:r>
              <w:rPr>
                <w:rFonts w:hint="eastAsia" w:ascii="宋体" w:hAnsi="宋体" w:eastAsia="宋体" w:cs="宋体"/>
                <w:bCs/>
                <w:color w:val="auto"/>
                <w:sz w:val="22"/>
                <w:szCs w:val="22"/>
                <w:highlight w:val="none"/>
              </w:rPr>
              <w:t>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35</w:t>
            </w:r>
          </w:p>
        </w:tc>
        <w:tc>
          <w:tcPr>
            <w:tcW w:w="1559"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履约担保</w:t>
            </w:r>
          </w:p>
        </w:tc>
        <w:tc>
          <w:tcPr>
            <w:tcW w:w="6749" w:type="dxa"/>
            <w:vAlign w:val="center"/>
          </w:tcPr>
          <w:p>
            <w:pPr>
              <w:spacing w:line="360" w:lineRule="auto"/>
              <w:rPr>
                <w:rFonts w:hint="default" w:ascii="宋体" w:hAnsi="宋体" w:eastAsia="宋体" w:cs="宋体"/>
                <w:color w:val="auto"/>
                <w:sz w:val="22"/>
                <w:szCs w:val="22"/>
                <w:highlight w:val="none"/>
                <w:u w:val="single"/>
                <w:lang w:val="en-US" w:eastAsia="zh-CN"/>
              </w:rPr>
            </w:pPr>
            <w:r>
              <w:rPr>
                <w:rFonts w:hint="eastAsia" w:ascii="宋体" w:hAnsi="宋体" w:cs="宋体"/>
                <w:b/>
                <w:color w:val="auto"/>
                <w:sz w:val="22"/>
                <w:szCs w:val="22"/>
                <w:highlight w:val="none"/>
                <w:lang w:val="en-US" w:eastAsia="zh-CN"/>
              </w:rPr>
              <w:t>本项目不收取</w:t>
            </w:r>
          </w:p>
        </w:tc>
      </w:tr>
    </w:tbl>
    <w:p>
      <w:pPr>
        <w:rPr>
          <w:color w:val="auto"/>
          <w:highlight w:val="none"/>
        </w:rPr>
      </w:pPr>
      <w:r>
        <w:rPr>
          <w:color w:val="auto"/>
          <w:highlight w:val="none"/>
        </w:rPr>
        <w:br w:type="page"/>
      </w:r>
    </w:p>
    <w:p>
      <w:pPr>
        <w:pStyle w:val="5"/>
        <w:spacing w:line="360" w:lineRule="auto"/>
        <w:ind w:left="0" w:firstLine="0"/>
        <w:jc w:val="center"/>
        <w:rPr>
          <w:rFonts w:ascii="Times New Roman" w:hAnsi="Times New Roman" w:eastAsiaTheme="minorEastAsia"/>
          <w:bCs/>
          <w:color w:val="auto"/>
          <w:kern w:val="44"/>
          <w:highlight w:val="none"/>
          <w:lang w:val="zh-CN"/>
        </w:rPr>
      </w:pPr>
      <w:bookmarkStart w:id="16" w:name="_Toc441844051"/>
      <w:bookmarkStart w:id="17" w:name="_Toc61529808"/>
      <w:r>
        <w:rPr>
          <w:rFonts w:ascii="Times New Roman" w:hAnsi="Times New Roman" w:eastAsiaTheme="minorEastAsia"/>
          <w:bCs/>
          <w:color w:val="auto"/>
          <w:kern w:val="44"/>
          <w:highlight w:val="none"/>
          <w:lang w:val="zh-CN"/>
        </w:rPr>
        <w:t>二、投标人须知</w:t>
      </w:r>
      <w:bookmarkEnd w:id="16"/>
      <w:bookmarkEnd w:id="17"/>
    </w:p>
    <w:p>
      <w:pPr>
        <w:pStyle w:val="5"/>
        <w:tabs>
          <w:tab w:val="left" w:pos="142"/>
          <w:tab w:val="clear" w:pos="1440"/>
        </w:tabs>
        <w:ind w:left="0" w:firstLine="0"/>
        <w:rPr>
          <w:rFonts w:hint="eastAsia" w:ascii="宋体" w:hAnsi="宋体" w:eastAsia="宋体" w:cs="宋体"/>
          <w:color w:val="auto"/>
          <w:sz w:val="22"/>
          <w:szCs w:val="22"/>
          <w:highlight w:val="none"/>
          <w:lang w:val="zh-CN"/>
        </w:rPr>
      </w:pPr>
      <w:bookmarkStart w:id="18" w:name="_Toc61529809"/>
      <w:bookmarkStart w:id="19" w:name="_Toc441844052"/>
      <w:r>
        <w:rPr>
          <w:rFonts w:hint="eastAsia" w:ascii="宋体" w:hAnsi="宋体" w:eastAsia="宋体" w:cs="宋体"/>
          <w:color w:val="auto"/>
          <w:sz w:val="22"/>
          <w:szCs w:val="22"/>
          <w:highlight w:val="none"/>
          <w:lang w:val="zh-CN"/>
        </w:rPr>
        <w:t>（一）总则</w:t>
      </w:r>
      <w:bookmarkEnd w:id="18"/>
      <w:bookmarkEnd w:id="19"/>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20" w:name="_Toc61529810"/>
      <w:bookmarkStart w:id="21" w:name="_Toc382907620"/>
      <w:bookmarkStart w:id="22" w:name="_Toc314064451"/>
      <w:bookmarkStart w:id="23" w:name="_Toc439256278"/>
      <w:bookmarkStart w:id="24" w:name="_Toc441844053"/>
      <w:r>
        <w:rPr>
          <w:rFonts w:hint="eastAsia" w:ascii="宋体" w:hAnsi="宋体" w:eastAsia="宋体" w:cs="宋体"/>
          <w:b/>
          <w:bCs/>
          <w:color w:val="auto"/>
          <w:sz w:val="22"/>
          <w:szCs w:val="22"/>
          <w:highlight w:val="none"/>
        </w:rPr>
        <w:t>招标范围及资金来源</w:t>
      </w:r>
      <w:bookmarkEnd w:id="20"/>
      <w:bookmarkEnd w:id="21"/>
      <w:bookmarkEnd w:id="22"/>
      <w:bookmarkEnd w:id="23"/>
      <w:bookmarkEnd w:id="24"/>
    </w:p>
    <w:p>
      <w:pPr>
        <w:pStyle w:val="111"/>
        <w:numPr>
          <w:ilvl w:val="0"/>
          <w:numId w:val="5"/>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招标范围：详细要求见本招标文件中《用户需求书》。本次招标，投标人必须对全部内容进行报价，不得缺漏。</w:t>
      </w:r>
    </w:p>
    <w:p>
      <w:pPr>
        <w:pStyle w:val="111"/>
        <w:numPr>
          <w:ilvl w:val="0"/>
          <w:numId w:val="5"/>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资金来源：</w:t>
      </w:r>
      <w:r>
        <w:rPr>
          <w:rFonts w:hint="eastAsia" w:ascii="宋体" w:hAnsi="宋体" w:eastAsia="宋体" w:cs="宋体"/>
          <w:b/>
          <w:bCs/>
          <w:color w:val="auto"/>
          <w:sz w:val="22"/>
          <w:szCs w:val="22"/>
          <w:highlight w:val="none"/>
          <w:u w:val="single"/>
        </w:rPr>
        <w:t>详见投标人须知前附表</w:t>
      </w:r>
      <w:r>
        <w:rPr>
          <w:rFonts w:hint="eastAsia" w:ascii="宋体" w:hAnsi="宋体" w:eastAsia="宋体" w:cs="宋体"/>
          <w:bCs/>
          <w:color w:val="auto"/>
          <w:sz w:val="22"/>
          <w:szCs w:val="22"/>
          <w:highlight w:val="none"/>
        </w:rPr>
        <w:t>。</w:t>
      </w:r>
    </w:p>
    <w:p>
      <w:pPr>
        <w:pStyle w:val="111"/>
        <w:numPr>
          <w:ilvl w:val="0"/>
          <w:numId w:val="5"/>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项目预算金额：</w:t>
      </w:r>
      <w:r>
        <w:rPr>
          <w:rFonts w:hint="eastAsia" w:ascii="宋体" w:hAnsi="宋体" w:eastAsia="宋体" w:cs="宋体"/>
          <w:b/>
          <w:bCs/>
          <w:color w:val="auto"/>
          <w:sz w:val="22"/>
          <w:szCs w:val="22"/>
          <w:highlight w:val="none"/>
          <w:u w:val="single"/>
        </w:rPr>
        <w:t>详见投标人须知前附表。</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25" w:name="_Toc439256279"/>
      <w:bookmarkStart w:id="26" w:name="_Toc382907621"/>
      <w:bookmarkStart w:id="27" w:name="_Toc441844054"/>
      <w:bookmarkStart w:id="28" w:name="_Toc317604605"/>
      <w:bookmarkStart w:id="29" w:name="_Toc61529811"/>
      <w:r>
        <w:rPr>
          <w:rFonts w:hint="eastAsia" w:ascii="宋体" w:hAnsi="宋体" w:eastAsia="宋体" w:cs="宋体"/>
          <w:b/>
          <w:bCs/>
          <w:color w:val="auto"/>
          <w:sz w:val="22"/>
          <w:szCs w:val="22"/>
          <w:highlight w:val="none"/>
        </w:rPr>
        <w:t>定义</w:t>
      </w:r>
      <w:bookmarkEnd w:id="25"/>
      <w:bookmarkEnd w:id="26"/>
      <w:bookmarkEnd w:id="27"/>
      <w:bookmarkEnd w:id="28"/>
      <w:bookmarkEnd w:id="29"/>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招标人：</w:t>
      </w:r>
      <w:r>
        <w:rPr>
          <w:rFonts w:hint="eastAsia" w:ascii="宋体" w:hAnsi="宋体" w:eastAsia="宋体" w:cs="宋体"/>
          <w:b/>
          <w:bCs/>
          <w:color w:val="auto"/>
          <w:sz w:val="22"/>
          <w:szCs w:val="22"/>
          <w:highlight w:val="none"/>
          <w:u w:val="single"/>
        </w:rPr>
        <w:t>详见投标人须知前附表。</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招标代理机构：</w:t>
      </w:r>
      <w:r>
        <w:rPr>
          <w:rFonts w:hint="eastAsia" w:ascii="宋体" w:hAnsi="宋体" w:eastAsia="宋体" w:cs="宋体"/>
          <w:b/>
          <w:bCs/>
          <w:color w:val="auto"/>
          <w:sz w:val="22"/>
          <w:szCs w:val="22"/>
          <w:highlight w:val="none"/>
          <w:u w:val="single"/>
        </w:rPr>
        <w:t>详见投标人须知前附表。</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评标委员会：评标委员会是依据有关规定组建的专门负责本次招标其评标工作的临时性机构。</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日期：指日历日。评审时，对投标中出现的“工作日”按五个工作日折合七个日历日计算，且评标委员会可能会就有关日期作出对该投标人不利的折算或量化。</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 时间：指北京时间。</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合同：指由本次招标所产生的合同或合约文件。</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招标文件中所规定“书面形式”，是指任何手写的、打印的或印刷的方式，通讯方式包括专人递交或传真发送。</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服务：指投标人须向招标人提供的符合招标文件要求的服务。</w:t>
      </w:r>
    </w:p>
    <w:p>
      <w:pPr>
        <w:pStyle w:val="111"/>
        <w:numPr>
          <w:ilvl w:val="0"/>
          <w:numId w:val="6"/>
        </w:numPr>
        <w:spacing w:line="360" w:lineRule="auto"/>
        <w:ind w:left="426" w:hanging="426"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货物：指投标人须向招标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30" w:name="_Toc61529812"/>
      <w:bookmarkStart w:id="31" w:name="_Toc441844055"/>
      <w:r>
        <w:rPr>
          <w:rFonts w:hint="eastAsia" w:ascii="宋体" w:hAnsi="宋体" w:eastAsia="宋体" w:cs="宋体"/>
          <w:b/>
          <w:bCs/>
          <w:color w:val="auto"/>
          <w:sz w:val="22"/>
          <w:szCs w:val="22"/>
          <w:highlight w:val="none"/>
        </w:rPr>
        <w:t>合格的投标人</w:t>
      </w:r>
      <w:bookmarkEnd w:id="30"/>
      <w:bookmarkEnd w:id="31"/>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合格的投标人条件见第一章《投标邀请》中第5款的“</w:t>
      </w:r>
      <w:r>
        <w:rPr>
          <w:rFonts w:hint="eastAsia" w:ascii="宋体" w:hAnsi="宋体" w:eastAsia="宋体" w:cs="宋体"/>
          <w:b/>
          <w:bCs/>
          <w:color w:val="auto"/>
          <w:sz w:val="22"/>
          <w:szCs w:val="22"/>
          <w:highlight w:val="none"/>
          <w:u w:val="single"/>
        </w:rPr>
        <w:t>投标人资格要求”及本条以下3.2款至3.10款的通用要求</w:t>
      </w:r>
      <w:r>
        <w:rPr>
          <w:rFonts w:hint="eastAsia" w:ascii="宋体" w:hAnsi="宋体" w:eastAsia="宋体" w:cs="宋体"/>
          <w:bCs/>
          <w:color w:val="auto"/>
          <w:sz w:val="22"/>
          <w:szCs w:val="22"/>
          <w:highlight w:val="none"/>
        </w:rPr>
        <w:t>。</w:t>
      </w:r>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未被列入“国家企业信用信息公示系统”网站（http://www.gsxt.gov.cn）严重违法失信企业名单；未被列入“中国执行信息公开网”失信执行人。</w:t>
      </w:r>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不存在大额诉讼或多宗诉讼或其他违法、违约等影响本次招标项目正常履约的情形。</w:t>
      </w:r>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不存在投标人或其关联公司曾与东莞市交通投资集团有限公司及其下属企业签订合，且正在履约过程中因投标人或其关联公司严重违约而导致合同变更、中止、解除的情形。</w:t>
      </w:r>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投标人或其关联公司未与东莞市交通投资集团有公司及其下属企业发生诉讼的。</w:t>
      </w:r>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不存在院判决或仲裁裁决认定投标人或其关联公司在与东莞市交通投资集团有限公司及其下属企业履约过程中存在违约或过失责任的情形的。</w:t>
      </w:r>
    </w:p>
    <w:p>
      <w:pPr>
        <w:pStyle w:val="111"/>
        <w:numPr>
          <w:ilvl w:val="0"/>
          <w:numId w:val="7"/>
        </w:numPr>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lang w:val="zh-CN"/>
        </w:rPr>
        <w:t>联合体投标的投标人应当满足下列条件：</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0" w:hanging="660" w:hangingChars="3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3.8.1</w:t>
      </w:r>
      <w:r>
        <w:rPr>
          <w:rFonts w:hint="eastAsia" w:ascii="宋体" w:hAnsi="宋体" w:eastAsia="宋体" w:cs="宋体"/>
          <w:bCs/>
          <w:color w:val="auto"/>
          <w:sz w:val="22"/>
          <w:szCs w:val="22"/>
          <w:highlight w:val="none"/>
        </w:rPr>
        <w:t>以联合体形式进行投标的，联合体各方之间应当签订联合体协议，明确约定联合体各方承担的工作和义务，并将共同联合体协议连同投标文件一并提交。</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0" w:hanging="660" w:hangingChars="3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3.8.2</w:t>
      </w:r>
      <w:r>
        <w:rPr>
          <w:rFonts w:hint="eastAsia" w:ascii="宋体" w:hAnsi="宋体" w:eastAsia="宋体" w:cs="宋体"/>
          <w:bCs/>
          <w:color w:val="auto"/>
          <w:sz w:val="22"/>
          <w:szCs w:val="22"/>
          <w:highlight w:val="none"/>
        </w:rPr>
        <w:t>以联合体形式参加采购活动的，联合体各方不得再单独参加或者与其他投标人另外组成联合体参加同一合同项下的采购活动。</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0" w:hanging="660" w:hangingChars="3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3.8.3</w:t>
      </w:r>
      <w:r>
        <w:rPr>
          <w:rFonts w:hint="eastAsia" w:ascii="宋体" w:hAnsi="宋体" w:eastAsia="宋体" w:cs="宋体"/>
          <w:bCs/>
          <w:color w:val="auto"/>
          <w:sz w:val="22"/>
          <w:szCs w:val="22"/>
          <w:highlight w:val="none"/>
        </w:rPr>
        <w:t>以联合体进行投标的，可以由联合体中的一方或者共同提交投标保证金，以一方名义提交的投标保证金的，对联合体各方均具有约束力。</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0" w:hanging="660" w:hangingChars="3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3.8.4</w:t>
      </w:r>
      <w:r>
        <w:rPr>
          <w:rFonts w:hint="eastAsia" w:ascii="宋体" w:hAnsi="宋体" w:eastAsia="宋体" w:cs="宋体"/>
          <w:bCs/>
          <w:color w:val="auto"/>
          <w:sz w:val="22"/>
          <w:szCs w:val="22"/>
          <w:highlight w:val="none"/>
        </w:rPr>
        <w:t>联合体中有同类资质的投标人按照联合体分工承担相同工作的，按照资质等级较低的投标人确定资质等级。</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0" w:hanging="660" w:hangingChars="300"/>
        <w:textAlignment w:val="auto"/>
        <w:rPr>
          <w:rFonts w:hint="eastAsia" w:ascii="宋体" w:hAnsi="宋体" w:eastAsia="宋体" w:cs="宋体"/>
          <w:bCs/>
          <w:color w:val="auto"/>
          <w:sz w:val="22"/>
          <w:szCs w:val="22"/>
          <w:highlight w:val="none"/>
        </w:rPr>
      </w:pPr>
      <w:r>
        <w:rPr>
          <w:rFonts w:hint="eastAsia" w:ascii="宋体" w:hAnsi="宋体" w:cs="宋体"/>
          <w:bCs/>
          <w:color w:val="auto"/>
          <w:sz w:val="22"/>
          <w:szCs w:val="22"/>
          <w:highlight w:val="none"/>
          <w:lang w:val="en-US" w:eastAsia="zh-CN"/>
        </w:rPr>
        <w:t>3.8.5</w:t>
      </w:r>
      <w:r>
        <w:rPr>
          <w:rFonts w:hint="eastAsia" w:ascii="宋体" w:hAnsi="宋体" w:eastAsia="宋体" w:cs="宋体"/>
          <w:bCs/>
          <w:color w:val="auto"/>
          <w:sz w:val="22"/>
          <w:szCs w:val="22"/>
          <w:highlight w:val="none"/>
        </w:rPr>
        <w:t>联合体各方应当共同与招标人签订采购合同，就采购合同约定的事项对招标人承担连带责任。</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32" w:name="_Toc441844056"/>
      <w:bookmarkStart w:id="33" w:name="_Toc61529813"/>
      <w:r>
        <w:rPr>
          <w:rFonts w:hint="eastAsia" w:ascii="宋体" w:hAnsi="宋体" w:eastAsia="宋体" w:cs="宋体"/>
          <w:b/>
          <w:bCs/>
          <w:color w:val="auto"/>
          <w:sz w:val="22"/>
          <w:szCs w:val="22"/>
          <w:highlight w:val="none"/>
        </w:rPr>
        <w:t>合格的货物和服务及验收</w:t>
      </w:r>
      <w:bookmarkEnd w:id="32"/>
      <w:bookmarkEnd w:id="33"/>
    </w:p>
    <w:p>
      <w:pPr>
        <w:pStyle w:val="111"/>
        <w:numPr>
          <w:ilvl w:val="0"/>
          <w:numId w:val="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1"/>
        <w:numPr>
          <w:ilvl w:val="0"/>
          <w:numId w:val="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服务是指除货物和工程以外的其他采购对象，其中包括投标人须承担的运输、安装、技术支持、培训及招标文件规定的其它服务。</w:t>
      </w:r>
    </w:p>
    <w:p>
      <w:pPr>
        <w:pStyle w:val="111"/>
        <w:numPr>
          <w:ilvl w:val="0"/>
          <w:numId w:val="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投标人应保证,招标人在中华人民共和国使用货物或服务的任何一部分时,招标人免受第三方提出侵犯其专利权、商标权或其它知识产权的起诉。</w:t>
      </w:r>
    </w:p>
    <w:p>
      <w:pPr>
        <w:pStyle w:val="111"/>
        <w:numPr>
          <w:ilvl w:val="0"/>
          <w:numId w:val="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货物验收。</w:t>
      </w:r>
    </w:p>
    <w:p>
      <w:pPr>
        <w:pStyle w:val="111"/>
        <w:numPr>
          <w:ilvl w:val="0"/>
          <w:numId w:val="9"/>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验收工作由招标人（或招标人指定的单位）和中标人共同进行。</w:t>
      </w:r>
    </w:p>
    <w:p>
      <w:pPr>
        <w:pStyle w:val="111"/>
        <w:numPr>
          <w:ilvl w:val="0"/>
          <w:numId w:val="9"/>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在验收时，中标人应向招标人提供货物的相关资料，按招标人提出的方式验收。</w:t>
      </w:r>
    </w:p>
    <w:p>
      <w:pPr>
        <w:pStyle w:val="111"/>
        <w:numPr>
          <w:ilvl w:val="0"/>
          <w:numId w:val="9"/>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由招标人对货物的质量、规格和数量其他进行检验。如发现质量、规格和数量等任何一项与招标要求规定不符，招标人有权拒绝接受。</w:t>
      </w:r>
    </w:p>
    <w:p>
      <w:pPr>
        <w:pStyle w:val="111"/>
        <w:numPr>
          <w:ilvl w:val="0"/>
          <w:numId w:val="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投标人提供相关的服务必须符合中华人民共和国的行业标准。</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34" w:name="_Toc61529814"/>
      <w:bookmarkStart w:id="35" w:name="_Toc441844057"/>
      <w:r>
        <w:rPr>
          <w:rFonts w:hint="eastAsia" w:ascii="宋体" w:hAnsi="宋体" w:eastAsia="宋体" w:cs="宋体"/>
          <w:b/>
          <w:bCs/>
          <w:color w:val="auto"/>
          <w:sz w:val="22"/>
          <w:szCs w:val="22"/>
          <w:highlight w:val="none"/>
        </w:rPr>
        <w:t>投标费用</w:t>
      </w:r>
      <w:bookmarkEnd w:id="34"/>
      <w:bookmarkEnd w:id="35"/>
    </w:p>
    <w:p>
      <w:pPr>
        <w:pStyle w:val="111"/>
        <w:numPr>
          <w:ilvl w:val="0"/>
          <w:numId w:val="10"/>
        </w:numPr>
        <w:tabs>
          <w:tab w:val="left" w:pos="567"/>
        </w:tabs>
        <w:spacing w:line="360" w:lineRule="auto"/>
        <w:ind w:left="426" w:hanging="426" w:firstLineChars="0"/>
        <w:rPr>
          <w:rFonts w:hint="eastAsia" w:ascii="宋体" w:hAnsi="宋体" w:eastAsia="宋体" w:cs="宋体"/>
          <w:color w:val="auto"/>
          <w:sz w:val="22"/>
          <w:szCs w:val="22"/>
          <w:highlight w:val="none"/>
          <w:lang w:val="zh-CN"/>
        </w:rPr>
      </w:pPr>
      <w:r>
        <w:rPr>
          <w:rFonts w:hint="eastAsia" w:ascii="宋体" w:hAnsi="宋体" w:eastAsia="宋体" w:cs="宋体"/>
          <w:b/>
          <w:color w:val="auto"/>
          <w:sz w:val="22"/>
          <w:szCs w:val="22"/>
          <w:highlight w:val="none"/>
          <w:lang w:val="zh-CN"/>
        </w:rPr>
        <w:t>不论投标结果如何，投标人应承担自身因投标文件编制、递交及其他参加本采购活动所涉及的一切费用，招标代理机构、招标人对上述费用不负任何责任</w:t>
      </w:r>
      <w:r>
        <w:rPr>
          <w:rFonts w:hint="eastAsia" w:ascii="宋体" w:hAnsi="宋体" w:eastAsia="宋体" w:cs="宋体"/>
          <w:color w:val="auto"/>
          <w:sz w:val="22"/>
          <w:szCs w:val="22"/>
          <w:highlight w:val="none"/>
          <w:lang w:val="zh-CN"/>
        </w:rPr>
        <w:t>。</w:t>
      </w:r>
    </w:p>
    <w:p>
      <w:pPr>
        <w:pStyle w:val="111"/>
        <w:numPr>
          <w:ilvl w:val="0"/>
          <w:numId w:val="10"/>
        </w:numPr>
        <w:tabs>
          <w:tab w:val="left" w:pos="567"/>
        </w:tabs>
        <w:spacing w:line="360" w:lineRule="auto"/>
        <w:ind w:left="426" w:hanging="426"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中标服务费。</w:t>
      </w:r>
    </w:p>
    <w:p>
      <w:pPr>
        <w:pStyle w:val="111"/>
        <w:numPr>
          <w:ilvl w:val="0"/>
          <w:numId w:val="1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中标人在领取《中标通知书》时应向招标代理机构交纳中标服务费</w:t>
      </w:r>
      <w:r>
        <w:rPr>
          <w:rFonts w:hint="eastAsia" w:ascii="宋体" w:hAnsi="宋体" w:eastAsia="宋体" w:cs="宋体"/>
          <w:bCs/>
          <w:color w:val="auto"/>
          <w:sz w:val="22"/>
          <w:szCs w:val="22"/>
          <w:highlight w:val="none"/>
        </w:rPr>
        <w:t>，</w:t>
      </w:r>
      <w:bookmarkStart w:id="36" w:name="_Hlk46406125"/>
      <w:r>
        <w:rPr>
          <w:rFonts w:hint="eastAsia" w:ascii="宋体" w:hAnsi="宋体" w:eastAsia="宋体" w:cs="宋体"/>
          <w:color w:val="auto"/>
          <w:sz w:val="22"/>
          <w:szCs w:val="22"/>
          <w:highlight w:val="none"/>
        </w:rPr>
        <w:t>中标服务</w:t>
      </w:r>
      <w:r>
        <w:rPr>
          <w:rFonts w:hint="eastAsia" w:ascii="宋体" w:hAnsi="宋体" w:eastAsia="宋体" w:cs="宋体"/>
          <w:bCs/>
          <w:color w:val="auto"/>
          <w:sz w:val="22"/>
          <w:szCs w:val="22"/>
          <w:highlight w:val="none"/>
        </w:rPr>
        <w:t>费</w:t>
      </w:r>
      <w:r>
        <w:rPr>
          <w:rFonts w:hint="eastAsia" w:ascii="宋体" w:hAnsi="宋体" w:eastAsia="宋体" w:cs="宋体"/>
          <w:color w:val="auto"/>
          <w:sz w:val="22"/>
          <w:szCs w:val="22"/>
          <w:highlight w:val="none"/>
          <w:lang w:val="zh-CN"/>
        </w:rPr>
        <w:t>按包号中标价做为计费基数分包组计算服务费，累计单个项目服务费最高限额为30万元，</w:t>
      </w:r>
      <w:r>
        <w:rPr>
          <w:rFonts w:hint="eastAsia" w:ascii="宋体" w:hAnsi="宋体" w:eastAsia="宋体" w:cs="宋体"/>
          <w:bCs/>
          <w:color w:val="auto"/>
          <w:sz w:val="22"/>
          <w:szCs w:val="22"/>
          <w:highlight w:val="none"/>
        </w:rPr>
        <w:t>中标人按各包号中标价比例支付</w:t>
      </w:r>
      <w:r>
        <w:rPr>
          <w:rFonts w:hint="eastAsia" w:ascii="宋体" w:hAnsi="宋体" w:eastAsia="宋体" w:cs="宋体"/>
          <w:color w:val="auto"/>
          <w:sz w:val="22"/>
          <w:szCs w:val="22"/>
          <w:highlight w:val="none"/>
          <w:lang w:val="zh-CN"/>
        </w:rPr>
        <w:t>招标代理服务费，</w:t>
      </w:r>
      <w:bookmarkEnd w:id="36"/>
      <w:r>
        <w:rPr>
          <w:rFonts w:hint="eastAsia" w:ascii="宋体" w:hAnsi="宋体" w:eastAsia="宋体" w:cs="宋体"/>
          <w:color w:val="auto"/>
          <w:sz w:val="22"/>
          <w:szCs w:val="22"/>
          <w:highlight w:val="none"/>
          <w:lang w:val="zh-CN"/>
        </w:rPr>
        <w:t>详细</w:t>
      </w:r>
      <w:r>
        <w:rPr>
          <w:rFonts w:hint="eastAsia" w:ascii="宋体" w:hAnsi="宋体" w:eastAsia="宋体" w:cs="宋体"/>
          <w:color w:val="auto"/>
          <w:sz w:val="22"/>
          <w:szCs w:val="22"/>
          <w:highlight w:val="none"/>
        </w:rPr>
        <w:t>收费标准参见5.2.5。</w:t>
      </w:r>
    </w:p>
    <w:p>
      <w:pPr>
        <w:pStyle w:val="111"/>
        <w:numPr>
          <w:ilvl w:val="0"/>
          <w:numId w:val="1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中标服务费以人民币支付。</w:t>
      </w:r>
    </w:p>
    <w:p>
      <w:pPr>
        <w:pStyle w:val="111"/>
        <w:numPr>
          <w:ilvl w:val="0"/>
          <w:numId w:val="1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中标服务费支付方式：一次性以电汇、支票或现金等形式支付。</w:t>
      </w:r>
    </w:p>
    <w:p>
      <w:pPr>
        <w:pStyle w:val="111"/>
        <w:numPr>
          <w:ilvl w:val="0"/>
          <w:numId w:val="1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中标服务费不在投标报价中单列</w:t>
      </w:r>
      <w:r>
        <w:rPr>
          <w:rFonts w:hint="eastAsia" w:ascii="宋体" w:hAnsi="宋体" w:eastAsia="宋体" w:cs="宋体"/>
          <w:color w:val="auto"/>
          <w:sz w:val="22"/>
          <w:szCs w:val="22"/>
          <w:highlight w:val="none"/>
        </w:rPr>
        <w:t>。</w:t>
      </w:r>
    </w:p>
    <w:p>
      <w:pPr>
        <w:pStyle w:val="111"/>
        <w:numPr>
          <w:ilvl w:val="0"/>
          <w:numId w:val="1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收费标准按采购人与招标代理机构签订委托协议及原国家计委《关于印发〈招标代理服务收费管理暂行办法〉的通知》（计价格［2002］1980号）和国家发展改革委《关于降低部分建设项目收费标准规范收费行为等有关问题的通知》（发改价格［2011］534号）文件规定的80%执行，单项中标服务费最高限额30万元，具体收费标准如下表所列：</w:t>
      </w:r>
    </w:p>
    <w:p>
      <w:pPr>
        <w:spacing w:before="100" w:after="100" w:line="360" w:lineRule="auto"/>
        <w:jc w:val="center"/>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lang w:val="zh-CN"/>
        </w:rPr>
        <w:t>招标代理服务收费标准</w:t>
      </w:r>
    </w:p>
    <w:tbl>
      <w:tblPr>
        <w:tblStyle w:val="50"/>
        <w:tblW w:w="90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1"/>
        <w:gridCol w:w="2153"/>
        <w:gridCol w:w="2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2540</wp:posOffset>
                      </wp:positionV>
                      <wp:extent cx="1466850" cy="1133475"/>
                      <wp:effectExtent l="0" t="0" r="19050" b="28575"/>
                      <wp:wrapNone/>
                      <wp:docPr id="28" name="直接连接符 1"/>
                      <wp:cNvGraphicFramePr/>
                      <a:graphic xmlns:a="http://schemas.openxmlformats.org/drawingml/2006/main">
                        <a:graphicData uri="http://schemas.microsoft.com/office/word/2010/wordprocessingShape">
                          <wps:wsp>
                            <wps:cNvCnPr/>
                            <wps:spPr>
                              <a:xfrm>
                                <a:off x="0" y="0"/>
                                <a:ext cx="1466850" cy="11334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0.95pt;margin-top:0.2pt;height:89.25pt;width:115.5pt;z-index:251657216;mso-width-relative:page;mso-height-relative:page;" filled="f" stroked="t" coordsize="21600,21600" o:gfxdata="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rHM0XVAAAABwEAAA8AAAAAAAAAAQAgAAAAIgAAAGRycy9kb3ducmV2LnhtbFBLAQIUABQA&#10;AAAIAIdO4kCbXYRW8wEAAN8DAAAOAAAAAAAAAAEAIAAAACQBAABkcnMvZTJvRG9jLnhtbFBLBQYA&#10;AAAABgAGAFkBAACJBQAAAAA=&#10;">
                      <v:fill on="f" focussize="0,0"/>
                      <v:stroke color="#000000" joinstyle="round"/>
                      <v:imagedata o:title=""/>
                      <o:lock v:ext="edit" aspectratio="f"/>
                    </v:line>
                  </w:pict>
                </mc:Fallback>
              </mc:AlternateContent>
            </w:r>
            <w:r>
              <w:rPr>
                <w:rFonts w:hint="eastAsia" w:ascii="宋体" w:hAnsi="宋体" w:eastAsia="宋体" w:cs="宋体"/>
                <w:color w:val="auto"/>
                <w:sz w:val="22"/>
                <w:szCs w:val="22"/>
                <w:highlight w:val="none"/>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-2540</wp:posOffset>
                      </wp:positionV>
                      <wp:extent cx="1728470" cy="701040"/>
                      <wp:effectExtent l="1905" t="4445" r="3175" b="18415"/>
                      <wp:wrapNone/>
                      <wp:docPr id="29" name="直接连接符 2"/>
                      <wp:cNvGraphicFramePr/>
                      <a:graphic xmlns:a="http://schemas.openxmlformats.org/drawingml/2006/main">
                        <a:graphicData uri="http://schemas.microsoft.com/office/word/2010/wordprocessingShape">
                          <wps:wsp>
                            <wps:cNvCnPr/>
                            <wps:spPr>
                              <a:xfrm>
                                <a:off x="0" y="0"/>
                                <a:ext cx="1728470" cy="7010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95pt;margin-top:-0.2pt;height:55.2pt;width:136.1pt;z-index:251658240;mso-width-relative:page;mso-height-relative:page;" filled="f" stroked="t" coordsize="21600,21600" o:gfxdata="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A3k4TWAAAACAEAAA8AAAAAAAAAAQAgAAAAIgAAAGRycy9kb3ducmV2LnhtbFBLAQIUABQA&#10;AAAIAIdO4kCvqzbj8gEAAN4DAAAOAAAAAAAAAAEAIAAAACUBAABkcnMvZTJvRG9jLnhtbFBLBQYA&#10;AAAABgAGAFkBAACJBQAAAAA=&#10;">
                      <v:fill on="f" focussize="0,0"/>
                      <v:stroke color="#000000" joinstyle="round"/>
                      <v:imagedata o:title=""/>
                      <o:lock v:ext="edit" aspectratio="f"/>
                    </v:line>
                  </w:pict>
                </mc:Fallback>
              </mc:AlternateContent>
            </w:r>
            <w:r>
              <w:rPr>
                <w:rFonts w:hint="eastAsia" w:ascii="宋体" w:hAnsi="宋体" w:eastAsia="宋体" w:cs="宋体"/>
                <w:color w:val="auto"/>
                <w:sz w:val="22"/>
                <w:szCs w:val="22"/>
                <w:highlight w:val="none"/>
                <w:lang w:val="zh-CN"/>
              </w:rPr>
              <w:t xml:space="preserve">    服务类型</w:t>
            </w:r>
          </w:p>
          <w:p>
            <w:pPr>
              <w:spacing w:before="100" w:after="100" w:line="360" w:lineRule="auto"/>
              <w:ind w:firstLine="1430" w:firstLineChars="6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费率</w:t>
            </w:r>
          </w:p>
          <w:p>
            <w:pPr>
              <w:spacing w:before="100" w:after="100" w:line="360" w:lineRule="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0.8%</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0.45%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r>
    </w:tbl>
    <w:p>
      <w:pPr>
        <w:spacing w:line="360" w:lineRule="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注：1、招标代理服务收费按差额定率累进法计算；</w:t>
      </w:r>
    </w:p>
    <w:p>
      <w:pPr>
        <w:spacing w:line="360" w:lineRule="auto"/>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2、本次招标为服务采购，招标代理服务收费按服务类计费标准收费，以中标金额作为计费基数。</w:t>
      </w:r>
    </w:p>
    <w:p>
      <w:pPr>
        <w:spacing w:line="360" w:lineRule="auto"/>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例：某服务招标代理业务的招标代理服务费计费基数为1000万元，计算招标代理服务收费额如下：</w:t>
      </w:r>
    </w:p>
    <w:p>
      <w:pPr>
        <w:spacing w:line="360" w:lineRule="auto"/>
        <w:ind w:firstLine="550" w:firstLineChars="2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100万元×1.5%＝1.5万元</w:t>
      </w:r>
    </w:p>
    <w:p>
      <w:pPr>
        <w:spacing w:line="360" w:lineRule="auto"/>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（500－100）万元×0.8%＝3.2万元</w:t>
      </w:r>
    </w:p>
    <w:p>
      <w:pPr>
        <w:spacing w:line="360" w:lineRule="auto"/>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（1000－500）万元×</w:t>
      </w:r>
      <w:r>
        <w:rPr>
          <w:rFonts w:hint="eastAsia" w:ascii="宋体" w:hAnsi="宋体" w:eastAsia="宋体" w:cs="宋体"/>
          <w:color w:val="auto"/>
          <w:sz w:val="22"/>
          <w:szCs w:val="22"/>
          <w:highlight w:val="none"/>
        </w:rPr>
        <w:t>0.45%</w:t>
      </w:r>
      <w:r>
        <w:rPr>
          <w:rFonts w:hint="eastAsia" w:ascii="宋体" w:hAnsi="宋体" w:eastAsia="宋体" w:cs="宋体"/>
          <w:color w:val="auto"/>
          <w:sz w:val="22"/>
          <w:szCs w:val="22"/>
          <w:highlight w:val="none"/>
          <w:lang w:val="zh-CN"/>
        </w:rPr>
        <w:t>＝2.25万元</w:t>
      </w:r>
    </w:p>
    <w:p>
      <w:pPr>
        <w:spacing w:line="360" w:lineRule="auto"/>
        <w:ind w:left="574" w:leftChars="200" w:hanging="154" w:hangingChars="7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合计收费=（1.5＋3.2＋2.25）×80%＝5.56万元</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37" w:name="_Toc441844058"/>
      <w:bookmarkStart w:id="38" w:name="_Toc61529815"/>
      <w:r>
        <w:rPr>
          <w:rFonts w:hint="eastAsia" w:ascii="宋体" w:hAnsi="宋体" w:eastAsia="宋体" w:cs="宋体"/>
          <w:b/>
          <w:bCs/>
          <w:color w:val="auto"/>
          <w:sz w:val="22"/>
          <w:szCs w:val="22"/>
          <w:highlight w:val="none"/>
        </w:rPr>
        <w:t>踏勘现场</w:t>
      </w:r>
      <w:bookmarkEnd w:id="37"/>
      <w:bookmarkEnd w:id="38"/>
    </w:p>
    <w:p>
      <w:pPr>
        <w:pStyle w:val="111"/>
        <w:numPr>
          <w:ilvl w:val="0"/>
          <w:numId w:val="12"/>
        </w:numPr>
        <w:tabs>
          <w:tab w:val="left" w:pos="0"/>
        </w:tabs>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1"/>
        <w:numPr>
          <w:ilvl w:val="0"/>
          <w:numId w:val="12"/>
        </w:numPr>
        <w:tabs>
          <w:tab w:val="left" w:pos="0"/>
        </w:tabs>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招标人向投标人提供的有关现场的数据和资料，是招标人现有的能被投标人利用的资料，采购人对投标人做出的任何推论、理解和结论均不负责任。</w:t>
      </w:r>
    </w:p>
    <w:p>
      <w:pPr>
        <w:pStyle w:val="111"/>
        <w:numPr>
          <w:ilvl w:val="0"/>
          <w:numId w:val="12"/>
        </w:numPr>
        <w:tabs>
          <w:tab w:val="left" w:pos="0"/>
        </w:tabs>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经招标人允许，投标人可为踏勘目的进入招标人的项目现场。在考察过程中，投标人及其代表必须承担那些进入现场后，由于他们的行为所造成的人身伤害（不管是否致命）、财产损失或损坏，以及其他任何原因造成的损失、损坏或费用，投标人不得因此使招标人承担有关的责任和蒙受损失。</w:t>
      </w:r>
    </w:p>
    <w:p>
      <w:pPr>
        <w:pStyle w:val="5"/>
        <w:tabs>
          <w:tab w:val="left" w:pos="142"/>
          <w:tab w:val="clear" w:pos="1440"/>
        </w:tabs>
        <w:ind w:left="0" w:firstLine="0"/>
        <w:rPr>
          <w:rFonts w:hint="eastAsia" w:ascii="宋体" w:hAnsi="宋体" w:eastAsia="宋体" w:cs="宋体"/>
          <w:color w:val="auto"/>
          <w:sz w:val="22"/>
          <w:szCs w:val="22"/>
          <w:highlight w:val="none"/>
          <w:lang w:val="zh-CN"/>
        </w:rPr>
      </w:pPr>
      <w:bookmarkStart w:id="39" w:name="_Toc441844059"/>
      <w:bookmarkStart w:id="40" w:name="_Toc61529816"/>
      <w:r>
        <w:rPr>
          <w:rFonts w:hint="eastAsia" w:ascii="宋体" w:hAnsi="宋体" w:eastAsia="宋体" w:cs="宋体"/>
          <w:color w:val="auto"/>
          <w:sz w:val="22"/>
          <w:szCs w:val="22"/>
          <w:highlight w:val="none"/>
          <w:lang w:val="zh-CN"/>
        </w:rPr>
        <w:t>（二）招标文件</w:t>
      </w:r>
      <w:bookmarkEnd w:id="39"/>
      <w:bookmarkEnd w:id="40"/>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41" w:name="_Toc441844060"/>
      <w:bookmarkStart w:id="42" w:name="_Toc61529817"/>
      <w:r>
        <w:rPr>
          <w:rFonts w:hint="eastAsia" w:ascii="宋体" w:hAnsi="宋体" w:eastAsia="宋体" w:cs="宋体"/>
          <w:b/>
          <w:bCs/>
          <w:color w:val="auto"/>
          <w:sz w:val="22"/>
          <w:szCs w:val="22"/>
          <w:highlight w:val="none"/>
        </w:rPr>
        <w:t>招标文件的组成</w:t>
      </w:r>
      <w:bookmarkEnd w:id="41"/>
      <w:bookmarkEnd w:id="42"/>
    </w:p>
    <w:p>
      <w:pPr>
        <w:pStyle w:val="111"/>
        <w:numPr>
          <w:ilvl w:val="0"/>
          <w:numId w:val="13"/>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招标文件包括：</w:t>
      </w:r>
    </w:p>
    <w:p>
      <w:pPr>
        <w:spacing w:line="360" w:lineRule="auto"/>
        <w:ind w:left="420" w:leftChars="200"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第一章  投标邀请；</w:t>
      </w:r>
    </w:p>
    <w:p>
      <w:pPr>
        <w:spacing w:line="360" w:lineRule="auto"/>
        <w:ind w:left="420" w:leftChars="200"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第二章  投标人须知；</w:t>
      </w:r>
    </w:p>
    <w:p>
      <w:pPr>
        <w:spacing w:line="360" w:lineRule="auto"/>
        <w:ind w:left="420" w:leftChars="200"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第三章  评标方法；</w:t>
      </w:r>
    </w:p>
    <w:p>
      <w:pPr>
        <w:spacing w:line="360" w:lineRule="auto"/>
        <w:ind w:left="420" w:leftChars="200"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第四章  用户需求书；</w:t>
      </w:r>
    </w:p>
    <w:p>
      <w:pPr>
        <w:spacing w:line="360" w:lineRule="auto"/>
        <w:ind w:left="420" w:leftChars="200"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第五章  合同书格式；</w:t>
      </w:r>
    </w:p>
    <w:p>
      <w:pPr>
        <w:spacing w:line="360" w:lineRule="auto"/>
        <w:ind w:left="420" w:leftChars="200"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第六章  投标文件格式。</w:t>
      </w:r>
    </w:p>
    <w:p>
      <w:pPr>
        <w:pStyle w:val="111"/>
        <w:numPr>
          <w:ilvl w:val="0"/>
          <w:numId w:val="13"/>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43" w:name="_Toc395863076"/>
      <w:bookmarkStart w:id="44" w:name="_Toc441844061"/>
      <w:bookmarkStart w:id="45" w:name="_Toc61529818"/>
      <w:r>
        <w:rPr>
          <w:rFonts w:hint="eastAsia" w:ascii="宋体" w:hAnsi="宋体" w:eastAsia="宋体" w:cs="宋体"/>
          <w:b/>
          <w:bCs/>
          <w:color w:val="auto"/>
          <w:sz w:val="22"/>
          <w:szCs w:val="22"/>
          <w:highlight w:val="none"/>
        </w:rPr>
        <w:t>招标文件的</w:t>
      </w:r>
      <w:bookmarkEnd w:id="43"/>
      <w:bookmarkEnd w:id="44"/>
      <w:r>
        <w:rPr>
          <w:rFonts w:hint="eastAsia" w:ascii="宋体" w:hAnsi="宋体" w:eastAsia="宋体" w:cs="宋体"/>
          <w:b/>
          <w:bCs/>
          <w:color w:val="auto"/>
          <w:sz w:val="22"/>
          <w:szCs w:val="22"/>
          <w:highlight w:val="none"/>
        </w:rPr>
        <w:t>异议</w:t>
      </w:r>
      <w:bookmarkEnd w:id="45"/>
    </w:p>
    <w:p>
      <w:pPr>
        <w:pStyle w:val="67"/>
        <w:numPr>
          <w:ilvl w:val="0"/>
          <w:numId w:val="14"/>
        </w:numPr>
        <w:spacing w:line="360" w:lineRule="auto"/>
        <w:ind w:firstLineChars="0"/>
        <w:rPr>
          <w:rFonts w:hint="eastAsia" w:ascii="宋体" w:hAnsi="宋体" w:eastAsia="宋体" w:cs="宋体"/>
          <w:color w:val="auto"/>
          <w:sz w:val="22"/>
          <w:szCs w:val="22"/>
          <w:highlight w:val="none"/>
        </w:rPr>
      </w:pPr>
      <w:bookmarkStart w:id="46" w:name="_Toc39071044"/>
      <w:bookmarkStart w:id="47" w:name="_Toc36971219"/>
      <w:r>
        <w:rPr>
          <w:rFonts w:hint="eastAsia" w:ascii="宋体" w:hAnsi="宋体" w:eastAsia="宋体" w:cs="宋体"/>
          <w:color w:val="auto"/>
          <w:sz w:val="22"/>
          <w:szCs w:val="22"/>
          <w:highlight w:val="none"/>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48" w:name="_Toc395863077"/>
      <w:bookmarkStart w:id="49" w:name="_Toc61529819"/>
      <w:bookmarkStart w:id="50" w:name="_Toc441844062"/>
      <w:r>
        <w:rPr>
          <w:rFonts w:hint="eastAsia" w:ascii="宋体" w:hAnsi="宋体" w:eastAsia="宋体" w:cs="宋体"/>
          <w:b/>
          <w:bCs/>
          <w:color w:val="auto"/>
          <w:sz w:val="22"/>
          <w:szCs w:val="22"/>
          <w:highlight w:val="none"/>
        </w:rPr>
        <w:t>招标文件的澄清及修改</w:t>
      </w:r>
      <w:bookmarkEnd w:id="46"/>
      <w:bookmarkEnd w:id="47"/>
      <w:bookmarkEnd w:id="48"/>
      <w:bookmarkEnd w:id="49"/>
      <w:bookmarkEnd w:id="50"/>
    </w:p>
    <w:p>
      <w:pPr>
        <w:pStyle w:val="67"/>
        <w:numPr>
          <w:ilvl w:val="0"/>
          <w:numId w:val="15"/>
        </w:numPr>
        <w:spacing w:line="360" w:lineRule="auto"/>
        <w:ind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人对已发出的招标文件进行必要澄清或者修改的，将在招标文件要求提交投标文件截止时间15日前，在招标信息发布的媒体上以有编号的澄清通知予以发布。招标文件的修改内容作为招标文件的组成部分，具有约束作用。</w:t>
      </w:r>
    </w:p>
    <w:p>
      <w:pPr>
        <w:pStyle w:val="67"/>
        <w:numPr>
          <w:ilvl w:val="0"/>
          <w:numId w:val="15"/>
        </w:numPr>
        <w:spacing w:line="360" w:lineRule="auto"/>
        <w:ind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当招标文件、招标文件的澄清、修改、补充等在同一内容的表述上不一致时，以最后发出的文件为准。</w:t>
      </w:r>
    </w:p>
    <w:p>
      <w:pPr>
        <w:pStyle w:val="67"/>
        <w:numPr>
          <w:ilvl w:val="0"/>
          <w:numId w:val="15"/>
        </w:numPr>
        <w:spacing w:line="360" w:lineRule="auto"/>
        <w:ind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为使投标人在编制投标文件时有充分的时间对招标文件的澄清、修改、补充等内容进行研究，招标代理机构将酌情延长提交投标文件的截止时间，具体时间将在招标文件的修改、补充通知中予以明确。</w:t>
      </w:r>
    </w:p>
    <w:p>
      <w:pPr>
        <w:pStyle w:val="67"/>
        <w:numPr>
          <w:ilvl w:val="0"/>
          <w:numId w:val="15"/>
        </w:numPr>
        <w:spacing w:line="360" w:lineRule="auto"/>
        <w:ind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招标文件的修改、补充通知将在《投标人须知前附表》规定的媒体公告上公布，请各投标人密切留意。</w:t>
      </w:r>
    </w:p>
    <w:p>
      <w:pPr>
        <w:pStyle w:val="5"/>
        <w:tabs>
          <w:tab w:val="left" w:pos="142"/>
          <w:tab w:val="clear" w:pos="1440"/>
        </w:tabs>
        <w:ind w:left="0" w:firstLine="0"/>
        <w:rPr>
          <w:rFonts w:hint="eastAsia" w:ascii="宋体" w:hAnsi="宋体" w:eastAsia="宋体" w:cs="宋体"/>
          <w:color w:val="auto"/>
          <w:sz w:val="22"/>
          <w:szCs w:val="22"/>
          <w:highlight w:val="none"/>
          <w:lang w:val="zh-CN"/>
        </w:rPr>
      </w:pPr>
      <w:bookmarkStart w:id="51" w:name="_Toc61529820"/>
      <w:bookmarkStart w:id="52" w:name="_Toc441844063"/>
      <w:r>
        <w:rPr>
          <w:rFonts w:hint="eastAsia" w:ascii="宋体" w:hAnsi="宋体" w:eastAsia="宋体" w:cs="宋体"/>
          <w:color w:val="auto"/>
          <w:sz w:val="22"/>
          <w:szCs w:val="22"/>
          <w:highlight w:val="none"/>
          <w:lang w:val="zh-CN"/>
        </w:rPr>
        <w:t>（三）投标文件编制</w:t>
      </w:r>
      <w:bookmarkEnd w:id="51"/>
      <w:bookmarkEnd w:id="52"/>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53" w:name="_Toc441844064"/>
      <w:bookmarkStart w:id="54" w:name="_Toc61529821"/>
      <w:r>
        <w:rPr>
          <w:rFonts w:hint="eastAsia" w:ascii="宋体" w:hAnsi="宋体" w:eastAsia="宋体" w:cs="宋体"/>
          <w:b/>
          <w:bCs/>
          <w:color w:val="auto"/>
          <w:sz w:val="22"/>
          <w:szCs w:val="22"/>
          <w:highlight w:val="none"/>
        </w:rPr>
        <w:t>投标文件的语言及度量衡单位</w:t>
      </w:r>
      <w:bookmarkEnd w:id="53"/>
      <w:bookmarkEnd w:id="54"/>
    </w:p>
    <w:p>
      <w:pPr>
        <w:pStyle w:val="67"/>
        <w:numPr>
          <w:ilvl w:val="0"/>
          <w:numId w:val="16"/>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提交的投标文件以及投标人与招标代理机构就有关投标的所有来往函件均应使用简体中文书写。对于任何非中文的资料，都应提供简体中文翻译本，有矛盾时以简体中文翻译本为准。对中文翻译有异议的，以权威机构的译本为准。</w:t>
      </w:r>
    </w:p>
    <w:p>
      <w:pPr>
        <w:pStyle w:val="67"/>
        <w:numPr>
          <w:ilvl w:val="0"/>
          <w:numId w:val="16"/>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在投标文件中以及所有投标人与招标代理机构和招标人往来文件中的所有计量单位和规格都应按国家有关规定使用公制标准。</w:t>
      </w:r>
    </w:p>
    <w:p>
      <w:pPr>
        <w:pStyle w:val="67"/>
        <w:numPr>
          <w:ilvl w:val="0"/>
          <w:numId w:val="16"/>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招标文件中，如标有“★”的条款均为必须完全满足指标，投标人须进行实质性响应，投标人若有一项带“★”的条款未响应或不满足，将按无效投标处理。</w:t>
      </w:r>
    </w:p>
    <w:p>
      <w:pPr>
        <w:pStyle w:val="67"/>
        <w:numPr>
          <w:ilvl w:val="0"/>
          <w:numId w:val="16"/>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招标文件中，如标有“▲”的条款均为评审的重要评分指标，投标人若有部分“▲”条款未响应或不满足，将导致其响应性评审严重扣分。</w:t>
      </w:r>
    </w:p>
    <w:p>
      <w:pPr>
        <w:pStyle w:val="67"/>
        <w:numPr>
          <w:ilvl w:val="0"/>
          <w:numId w:val="16"/>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投标文件按规定加盖的投标人公章必须为企业法人公章，且与投标人名称一致，不能以其它业务章或附属机构章代替。需签名之处必须由当事人（投标人的法定代表人或授权委托人）签字或盖私章。</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55" w:name="_Toc441844065"/>
      <w:bookmarkStart w:id="56" w:name="_Toc61529822"/>
      <w:r>
        <w:rPr>
          <w:rFonts w:hint="eastAsia" w:ascii="宋体" w:hAnsi="宋体" w:eastAsia="宋体" w:cs="宋体"/>
          <w:b/>
          <w:bCs/>
          <w:color w:val="auto"/>
          <w:sz w:val="22"/>
          <w:szCs w:val="22"/>
          <w:highlight w:val="none"/>
        </w:rPr>
        <w:t>投标文件构成</w:t>
      </w:r>
      <w:bookmarkEnd w:id="55"/>
      <w:bookmarkEnd w:id="56"/>
    </w:p>
    <w:p>
      <w:pPr>
        <w:pStyle w:val="66"/>
        <w:numPr>
          <w:ilvl w:val="0"/>
          <w:numId w:val="17"/>
        </w:numPr>
        <w:tabs>
          <w:tab w:val="left" w:pos="567"/>
        </w:tabs>
        <w:spacing w:line="360" w:lineRule="auto"/>
        <w:ind w:left="426" w:hanging="426"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投标人编写的投标文件应包括下列部分：</w:t>
      </w:r>
    </w:p>
    <w:p>
      <w:pPr>
        <w:spacing w:line="360" w:lineRule="auto"/>
        <w:ind w:left="334" w:leftChars="159" w:firstLine="216" w:firstLineChars="98"/>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1、唱标信封（单独密封）</w:t>
      </w:r>
    </w:p>
    <w:p>
      <w:pPr>
        <w:numPr>
          <w:ilvl w:val="0"/>
          <w:numId w:val="18"/>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投标报价一览表；</w:t>
      </w:r>
    </w:p>
    <w:p>
      <w:pPr>
        <w:numPr>
          <w:ilvl w:val="0"/>
          <w:numId w:val="18"/>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投标分项目报价表；</w:t>
      </w:r>
    </w:p>
    <w:p>
      <w:pPr>
        <w:numPr>
          <w:ilvl w:val="0"/>
          <w:numId w:val="18"/>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投标保证金汇入情况说明及投标保证金复印件加盖公章；</w:t>
      </w:r>
    </w:p>
    <w:p>
      <w:pPr>
        <w:numPr>
          <w:ilvl w:val="0"/>
          <w:numId w:val="18"/>
        </w:numPr>
        <w:spacing w:line="360" w:lineRule="auto"/>
        <w:ind w:left="1340"/>
        <w:rPr>
          <w:rFonts w:hint="eastAsia" w:ascii="宋体" w:hAnsi="宋体" w:eastAsia="宋体" w:cs="宋体"/>
          <w:color w:val="auto"/>
          <w:sz w:val="22"/>
          <w:szCs w:val="22"/>
          <w:highlight w:val="none"/>
        </w:rPr>
      </w:pPr>
      <w:bookmarkStart w:id="57" w:name="_Hlk46406861"/>
      <w:r>
        <w:rPr>
          <w:rFonts w:hint="eastAsia" w:ascii="宋体" w:hAnsi="宋体" w:eastAsia="宋体" w:cs="宋体"/>
          <w:color w:val="auto"/>
          <w:sz w:val="22"/>
          <w:szCs w:val="22"/>
          <w:highlight w:val="none"/>
        </w:rPr>
        <w:t>法定代表人授权委托书</w:t>
      </w:r>
      <w:bookmarkEnd w:id="57"/>
      <w:r>
        <w:rPr>
          <w:rFonts w:hint="eastAsia" w:ascii="宋体" w:hAnsi="宋体" w:eastAsia="宋体" w:cs="宋体"/>
          <w:color w:val="auto"/>
          <w:sz w:val="22"/>
          <w:szCs w:val="22"/>
          <w:highlight w:val="none"/>
        </w:rPr>
        <w:t>原件及被授权代表身份证复印件</w:t>
      </w:r>
      <w:bookmarkStart w:id="58" w:name="_Hlk41267762"/>
      <w:r>
        <w:rPr>
          <w:rFonts w:hint="eastAsia" w:ascii="宋体" w:hAnsi="宋体" w:eastAsia="宋体" w:cs="宋体"/>
          <w:color w:val="auto"/>
          <w:sz w:val="22"/>
          <w:szCs w:val="22"/>
          <w:highlight w:val="none"/>
        </w:rPr>
        <w:t>加盖公章</w:t>
      </w:r>
      <w:bookmarkEnd w:id="58"/>
      <w:r>
        <w:rPr>
          <w:rFonts w:hint="eastAsia" w:ascii="宋体" w:hAnsi="宋体" w:eastAsia="宋体" w:cs="宋体"/>
          <w:color w:val="auto"/>
          <w:sz w:val="22"/>
          <w:szCs w:val="22"/>
          <w:highlight w:val="none"/>
        </w:rPr>
        <w:t>（如法定代表人投标则附法定代表人身份证明书原件及法定代表人身份证复印件加盖公章）；</w:t>
      </w:r>
    </w:p>
    <w:p>
      <w:pPr>
        <w:numPr>
          <w:ilvl w:val="0"/>
          <w:numId w:val="18"/>
        </w:numPr>
        <w:spacing w:line="360" w:lineRule="auto"/>
        <w:ind w:left="134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电子文件。</w:t>
      </w:r>
    </w:p>
    <w:p>
      <w:pPr>
        <w:spacing w:line="360" w:lineRule="auto"/>
        <w:ind w:left="54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2、价格部分文件</w:t>
      </w:r>
    </w:p>
    <w:p>
      <w:pPr>
        <w:numPr>
          <w:ilvl w:val="0"/>
          <w:numId w:val="19"/>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投标报价一览表；</w:t>
      </w:r>
    </w:p>
    <w:p>
      <w:pPr>
        <w:numPr>
          <w:ilvl w:val="0"/>
          <w:numId w:val="19"/>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投标分项报价表。</w:t>
      </w:r>
    </w:p>
    <w:p>
      <w:pPr>
        <w:spacing w:line="360" w:lineRule="auto"/>
        <w:ind w:left="540"/>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3、商务、技术部分文件</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投标函；</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承诺书；</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投标人资格证明文件：</w:t>
      </w:r>
    </w:p>
    <w:p>
      <w:pPr>
        <w:pStyle w:val="71"/>
        <w:numPr>
          <w:ilvl w:val="0"/>
          <w:numId w:val="21"/>
        </w:numPr>
        <w:spacing w:line="360" w:lineRule="auto"/>
        <w:ind w:left="1418" w:hanging="425"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法定代表人身份证明书原件、法定代表人授权委托书原件（含法定代表人和被授权人身份证复印件，如果无委托则无需法定代表人授权委托书和被授权人身份证复印件）；</w:t>
      </w:r>
    </w:p>
    <w:p>
      <w:pPr>
        <w:pStyle w:val="71"/>
        <w:numPr>
          <w:ilvl w:val="0"/>
          <w:numId w:val="21"/>
        </w:numPr>
        <w:spacing w:line="360" w:lineRule="auto"/>
        <w:ind w:left="1418" w:hanging="425"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多证合一营业执照的复印件（或事业单位法人证书）；</w:t>
      </w:r>
    </w:p>
    <w:p>
      <w:pPr>
        <w:pStyle w:val="71"/>
        <w:numPr>
          <w:ilvl w:val="0"/>
          <w:numId w:val="21"/>
        </w:numPr>
        <w:spacing w:line="360" w:lineRule="auto"/>
        <w:ind w:left="1418" w:hanging="425"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特殊资质；</w:t>
      </w:r>
    </w:p>
    <w:p>
      <w:pPr>
        <w:pStyle w:val="71"/>
        <w:numPr>
          <w:ilvl w:val="0"/>
          <w:numId w:val="21"/>
        </w:numPr>
        <w:spacing w:line="360" w:lineRule="auto"/>
        <w:ind w:left="1418" w:hanging="425"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投标人承诺。</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投标单位基本情况、简介；</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业绩情况一览表；</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拟投入本项目的服务团队人员情况；</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投标方案；</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用户需求偏离表；</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★号条款响应表；</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合同条款偏离表；</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投标保证金汇入情况说明；</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中标服务费承诺书；</w:t>
      </w:r>
    </w:p>
    <w:p>
      <w:pPr>
        <w:numPr>
          <w:ilvl w:val="0"/>
          <w:numId w:val="20"/>
        </w:numPr>
        <w:spacing w:line="360" w:lineRule="auto"/>
        <w:ind w:left="13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投标人认为需加以说明的其他内容。</w:t>
      </w:r>
    </w:p>
    <w:p>
      <w:pPr>
        <w:pStyle w:val="66"/>
        <w:numPr>
          <w:ilvl w:val="0"/>
          <w:numId w:val="17"/>
        </w:numPr>
        <w:tabs>
          <w:tab w:val="left" w:pos="567"/>
        </w:tabs>
        <w:spacing w:line="360" w:lineRule="auto"/>
        <w:ind w:left="426" w:hanging="426" w:firstLineChars="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投标人应如实详细提供第11.1款所要求的全部资料，价格部分文件必须单独装订。商务、技术部分文件不能出现投标价格，且必须编制目录及注明页码。</w:t>
      </w:r>
    </w:p>
    <w:p>
      <w:pPr>
        <w:pStyle w:val="66"/>
        <w:numPr>
          <w:ilvl w:val="0"/>
          <w:numId w:val="17"/>
        </w:numPr>
        <w:tabs>
          <w:tab w:val="left" w:pos="567"/>
        </w:tabs>
        <w:spacing w:line="360" w:lineRule="auto"/>
        <w:ind w:left="426" w:hanging="426"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投标人编制投标文件必须包括但不限于上述内容。</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59" w:name="_Toc61529823"/>
      <w:bookmarkStart w:id="60" w:name="_Toc441844066"/>
      <w:r>
        <w:rPr>
          <w:rFonts w:hint="eastAsia" w:ascii="宋体" w:hAnsi="宋体" w:eastAsia="宋体" w:cs="宋体"/>
          <w:b/>
          <w:bCs/>
          <w:color w:val="auto"/>
          <w:sz w:val="22"/>
          <w:szCs w:val="22"/>
          <w:highlight w:val="none"/>
        </w:rPr>
        <w:t>投标文件格式</w:t>
      </w:r>
      <w:bookmarkEnd w:id="59"/>
      <w:bookmarkEnd w:id="60"/>
    </w:p>
    <w:p>
      <w:pPr>
        <w:pStyle w:val="67"/>
        <w:numPr>
          <w:ilvl w:val="0"/>
          <w:numId w:val="22"/>
        </w:numPr>
        <w:spacing w:line="360" w:lineRule="auto"/>
        <w:ind w:left="567" w:hanging="567" w:firstLineChars="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投标人提交的投标文件应当使用招标文件所提供的投标文件全部格式（表格可以按同样格式扩展）。</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61" w:name="_Toc441844067"/>
      <w:bookmarkStart w:id="62" w:name="_Toc61529824"/>
      <w:r>
        <w:rPr>
          <w:rFonts w:hint="eastAsia" w:ascii="宋体" w:hAnsi="宋体" w:eastAsia="宋体" w:cs="宋体"/>
          <w:b/>
          <w:bCs/>
          <w:color w:val="auto"/>
          <w:sz w:val="22"/>
          <w:szCs w:val="22"/>
          <w:highlight w:val="none"/>
        </w:rPr>
        <w:t>投标文件的份数和签署</w:t>
      </w:r>
      <w:bookmarkEnd w:id="61"/>
      <w:bookmarkEnd w:id="62"/>
    </w:p>
    <w:p>
      <w:pPr>
        <w:pStyle w:val="67"/>
        <w:numPr>
          <w:ilvl w:val="0"/>
          <w:numId w:val="23"/>
        </w:numPr>
        <w:spacing w:line="360" w:lineRule="auto"/>
        <w:ind w:left="567" w:hanging="567" w:firstLineChars="0"/>
        <w:rPr>
          <w:rFonts w:hint="eastAsia" w:ascii="宋体" w:hAnsi="宋体" w:eastAsia="宋体" w:cs="宋体"/>
          <w:b/>
          <w:color w:val="auto"/>
          <w:kern w:val="0"/>
          <w:sz w:val="22"/>
          <w:szCs w:val="22"/>
          <w:highlight w:val="none"/>
          <w:lang w:val="zh-CN"/>
        </w:rPr>
      </w:pPr>
      <w:r>
        <w:rPr>
          <w:rFonts w:hint="eastAsia" w:ascii="宋体" w:hAnsi="宋体" w:eastAsia="宋体" w:cs="宋体"/>
          <w:b/>
          <w:color w:val="auto"/>
          <w:kern w:val="0"/>
          <w:sz w:val="22"/>
          <w:szCs w:val="22"/>
          <w:highlight w:val="none"/>
          <w:lang w:val="zh-CN"/>
        </w:rPr>
        <w:t>投标人应分包组提交</w:t>
      </w:r>
      <w:r>
        <w:rPr>
          <w:rFonts w:hint="eastAsia" w:ascii="宋体" w:hAnsi="宋体" w:eastAsia="宋体" w:cs="宋体"/>
          <w:b/>
          <w:color w:val="auto"/>
          <w:kern w:val="0"/>
          <w:sz w:val="22"/>
          <w:szCs w:val="22"/>
          <w:highlight w:val="none"/>
          <w:u w:val="single"/>
          <w:lang w:val="zh-CN"/>
        </w:rPr>
        <w:t xml:space="preserve"> 一 </w:t>
      </w:r>
      <w:r>
        <w:rPr>
          <w:rFonts w:hint="eastAsia" w:ascii="宋体" w:hAnsi="宋体" w:eastAsia="宋体" w:cs="宋体"/>
          <w:b/>
          <w:color w:val="auto"/>
          <w:kern w:val="0"/>
          <w:sz w:val="22"/>
          <w:szCs w:val="22"/>
          <w:highlight w:val="none"/>
          <w:lang w:val="zh-CN"/>
        </w:rPr>
        <w:t xml:space="preserve">套正本（包括价格部分文件、商务部分文件和技术部分文件，商务与技术可装订成册也可分开装订）、 </w:t>
      </w:r>
      <w:r>
        <w:rPr>
          <w:rFonts w:hint="eastAsia" w:ascii="宋体" w:hAnsi="宋体" w:eastAsia="宋体" w:cs="宋体"/>
          <w:b/>
          <w:color w:val="auto"/>
          <w:kern w:val="0"/>
          <w:sz w:val="22"/>
          <w:szCs w:val="22"/>
          <w:highlight w:val="none"/>
          <w:u w:val="single"/>
          <w:lang w:val="zh-CN"/>
        </w:rPr>
        <w:t xml:space="preserve"> 伍 </w:t>
      </w:r>
      <w:r>
        <w:rPr>
          <w:rFonts w:hint="eastAsia" w:ascii="宋体" w:hAnsi="宋体" w:eastAsia="宋体" w:cs="宋体"/>
          <w:b/>
          <w:color w:val="auto"/>
          <w:kern w:val="0"/>
          <w:sz w:val="22"/>
          <w:szCs w:val="22"/>
          <w:highlight w:val="none"/>
          <w:lang w:val="zh-CN"/>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pPr>
        <w:pStyle w:val="67"/>
        <w:numPr>
          <w:ilvl w:val="0"/>
          <w:numId w:val="23"/>
        </w:numPr>
        <w:spacing w:line="360" w:lineRule="auto"/>
        <w:ind w:left="567" w:hanging="567" w:firstLineChars="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7"/>
        <w:numPr>
          <w:ilvl w:val="0"/>
          <w:numId w:val="23"/>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正本主要内容（招标文件格式中要求法定代表人或授权委托人签字的内容和要求加盖投标单位公章的内容）应由投标单位的法定代表人或授权委托人签字（或盖私章）和加盖投标人公章，否则该投标文件将被视为无效文件。</w:t>
      </w:r>
    </w:p>
    <w:p>
      <w:pPr>
        <w:pStyle w:val="67"/>
        <w:numPr>
          <w:ilvl w:val="0"/>
          <w:numId w:val="23"/>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除投标人对错误处修改外，全套投标文件应无涂改或行间插字和增删。如有修改，修改处应由投标人加盖投标人的公章或由授权委托人签字。</w:t>
      </w:r>
    </w:p>
    <w:p>
      <w:pPr>
        <w:pStyle w:val="67"/>
        <w:numPr>
          <w:ilvl w:val="0"/>
          <w:numId w:val="23"/>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传真或电传的投标文件将被拒绝。</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63" w:name="_Toc441844068"/>
      <w:bookmarkStart w:id="64" w:name="_Toc61529825"/>
      <w:r>
        <w:rPr>
          <w:rFonts w:hint="eastAsia" w:ascii="宋体" w:hAnsi="宋体" w:eastAsia="宋体" w:cs="宋体"/>
          <w:b/>
          <w:bCs/>
          <w:color w:val="auto"/>
          <w:sz w:val="22"/>
          <w:szCs w:val="22"/>
          <w:highlight w:val="none"/>
        </w:rPr>
        <w:t>投标报价和货币</w:t>
      </w:r>
      <w:bookmarkEnd w:id="63"/>
      <w:bookmarkEnd w:id="64"/>
    </w:p>
    <w:p>
      <w:pPr>
        <w:pStyle w:val="111"/>
        <w:numPr>
          <w:ilvl w:val="0"/>
          <w:numId w:val="24"/>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投标人应按招标文件第二章中</w:t>
      </w:r>
      <w:r>
        <w:rPr>
          <w:rFonts w:hint="eastAsia" w:ascii="宋体" w:hAnsi="宋体" w:eastAsia="宋体" w:cs="宋体"/>
          <w:b/>
          <w:bCs/>
          <w:color w:val="auto"/>
          <w:sz w:val="22"/>
          <w:szCs w:val="22"/>
          <w:highlight w:val="none"/>
          <w:u w:val="single"/>
          <w:lang w:val="zh-CN"/>
        </w:rPr>
        <w:t>投标人须知前附表</w:t>
      </w:r>
      <w:r>
        <w:rPr>
          <w:rFonts w:hint="eastAsia" w:ascii="宋体" w:hAnsi="宋体" w:eastAsia="宋体" w:cs="宋体"/>
          <w:color w:val="auto"/>
          <w:sz w:val="22"/>
          <w:szCs w:val="22"/>
          <w:highlight w:val="none"/>
          <w:lang w:val="zh-CN"/>
        </w:rPr>
        <w:t>规定的报价要求报价。</w:t>
      </w:r>
    </w:p>
    <w:p>
      <w:pPr>
        <w:pStyle w:val="111"/>
        <w:numPr>
          <w:ilvl w:val="0"/>
          <w:numId w:val="24"/>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1"/>
        <w:numPr>
          <w:ilvl w:val="0"/>
          <w:numId w:val="24"/>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投标人所报的投标价在合同执行期间是固定不变的，不得以任何理由予以变更。投标价</w:t>
      </w:r>
      <w:r>
        <w:rPr>
          <w:rFonts w:hint="eastAsia" w:ascii="宋体" w:hAnsi="宋体" w:eastAsia="宋体" w:cs="宋体"/>
          <w:color w:val="auto"/>
          <w:sz w:val="22"/>
          <w:szCs w:val="22"/>
          <w:highlight w:val="none"/>
          <w:lang w:val="zh-CN"/>
        </w:rPr>
        <w:t>不是唯一的或不是固定不变</w:t>
      </w:r>
      <w:r>
        <w:rPr>
          <w:rFonts w:hint="eastAsia" w:ascii="宋体" w:hAnsi="宋体" w:eastAsia="宋体" w:cs="宋体"/>
          <w:color w:val="auto"/>
          <w:sz w:val="22"/>
          <w:szCs w:val="22"/>
          <w:highlight w:val="none"/>
        </w:rPr>
        <w:t>的投标文件将作为非实质性响应投标而予以拒绝。</w:t>
      </w:r>
    </w:p>
    <w:p>
      <w:pPr>
        <w:pStyle w:val="111"/>
        <w:numPr>
          <w:ilvl w:val="0"/>
          <w:numId w:val="24"/>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国产的产品及其有关服务的报价应包括要向中华人民共和国政府缴纳的增值税和其他税。</w:t>
      </w:r>
    </w:p>
    <w:p>
      <w:pPr>
        <w:pStyle w:val="111"/>
        <w:numPr>
          <w:ilvl w:val="0"/>
          <w:numId w:val="24"/>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在中华人民共和国境内提供的进口产品及其有关服务的报价应包括要向中华人民共和国政府缴纳的关税、增值税和其他税。</w:t>
      </w:r>
    </w:p>
    <w:p>
      <w:pPr>
        <w:pStyle w:val="111"/>
        <w:numPr>
          <w:ilvl w:val="0"/>
          <w:numId w:val="24"/>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果投标人对于招标文件或答疑文件中为满足技术要求中所提供的货物或服务有未报价或漏报、错报、缺报等情况，可以视其为投标人予以招标人的投标优惠报价，中标后不予调整。如果投标人不接受对其错误的更正，其投标将被拒绝。</w:t>
      </w:r>
    </w:p>
    <w:p>
      <w:pPr>
        <w:pStyle w:val="66"/>
        <w:numPr>
          <w:ilvl w:val="0"/>
          <w:numId w:val="4"/>
        </w:numPr>
        <w:spacing w:line="360" w:lineRule="auto"/>
        <w:ind w:left="0" w:firstLine="0" w:firstLineChars="0"/>
        <w:outlineLvl w:val="2"/>
        <w:rPr>
          <w:rFonts w:hint="eastAsia" w:ascii="宋体" w:hAnsi="宋体" w:eastAsia="宋体" w:cs="宋体"/>
          <w:b/>
          <w:color w:val="auto"/>
          <w:sz w:val="22"/>
          <w:szCs w:val="22"/>
          <w:highlight w:val="none"/>
        </w:rPr>
      </w:pPr>
      <w:bookmarkStart w:id="65" w:name="_Toc46502754"/>
      <w:bookmarkEnd w:id="65"/>
      <w:bookmarkStart w:id="66" w:name="_Toc46502757"/>
      <w:bookmarkEnd w:id="66"/>
      <w:bookmarkStart w:id="67" w:name="_Toc46502756"/>
      <w:bookmarkEnd w:id="67"/>
      <w:bookmarkStart w:id="68" w:name="_Toc46502753"/>
      <w:bookmarkEnd w:id="68"/>
      <w:bookmarkStart w:id="69" w:name="_Toc46502755"/>
      <w:bookmarkEnd w:id="69"/>
      <w:bookmarkStart w:id="70" w:name="_Toc521019318"/>
      <w:bookmarkEnd w:id="70"/>
      <w:bookmarkStart w:id="71" w:name="_Toc46502758"/>
      <w:bookmarkEnd w:id="71"/>
      <w:bookmarkStart w:id="72" w:name="_Toc61529826"/>
      <w:bookmarkStart w:id="73" w:name="_Toc441844070"/>
      <w:r>
        <w:rPr>
          <w:rFonts w:hint="eastAsia" w:ascii="宋体" w:hAnsi="宋体" w:eastAsia="宋体" w:cs="宋体"/>
          <w:b/>
          <w:bCs/>
          <w:color w:val="auto"/>
          <w:sz w:val="22"/>
          <w:szCs w:val="22"/>
          <w:highlight w:val="none"/>
        </w:rPr>
        <w:t>证明货物和服务的合格性和符合招标文件规定的文件</w:t>
      </w:r>
      <w:bookmarkEnd w:id="72"/>
      <w:bookmarkEnd w:id="73"/>
    </w:p>
    <w:p>
      <w:pPr>
        <w:pStyle w:val="111"/>
        <w:numPr>
          <w:ilvl w:val="0"/>
          <w:numId w:val="2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投标人应提交证明文件证明其拟供的合同项下的货物和服务的合格性符合招标文件规定。该证明文件作为投标文件的一部分。</w:t>
      </w:r>
    </w:p>
    <w:p>
      <w:pPr>
        <w:pStyle w:val="111"/>
        <w:numPr>
          <w:ilvl w:val="0"/>
          <w:numId w:val="2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证明货物和服务与招标文件的要求相一致的文件，可以是文字资料、图纸和数据。</w:t>
      </w:r>
    </w:p>
    <w:p>
      <w:pPr>
        <w:pStyle w:val="111"/>
        <w:numPr>
          <w:ilvl w:val="0"/>
          <w:numId w:val="2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b/>
          <w:bCs/>
          <w:color w:val="auto"/>
          <w:sz w:val="22"/>
          <w:szCs w:val="22"/>
          <w:highlight w:val="none"/>
          <w:lang w:val="zh-CN"/>
        </w:rPr>
        <w:t>为说明第15.2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的地方均被视为重要的技术要求或商务要求。投标人要特别加以注意，必须对此回答并完全满足这些要求，否则若有一项带“</w:t>
      </w:r>
      <w:bookmarkStart w:id="74" w:name="_Hlk61525924"/>
      <w:r>
        <w:rPr>
          <w:rFonts w:hint="eastAsia" w:ascii="宋体" w:hAnsi="宋体" w:eastAsia="宋体" w:cs="宋体"/>
          <w:b/>
          <w:bCs/>
          <w:color w:val="auto"/>
          <w:sz w:val="22"/>
          <w:szCs w:val="22"/>
          <w:highlight w:val="none"/>
          <w:lang w:val="zh-CN"/>
        </w:rPr>
        <w:t>★</w:t>
      </w:r>
      <w:bookmarkEnd w:id="74"/>
      <w:r>
        <w:rPr>
          <w:rFonts w:hint="eastAsia" w:ascii="宋体" w:hAnsi="宋体" w:eastAsia="宋体" w:cs="宋体"/>
          <w:b/>
          <w:bCs/>
          <w:color w:val="auto"/>
          <w:sz w:val="22"/>
          <w:szCs w:val="22"/>
          <w:highlight w:val="none"/>
          <w:lang w:val="zh-CN"/>
        </w:rPr>
        <w:t>”的条款未响应或不满足，将按无效投标处理</w:t>
      </w:r>
      <w:r>
        <w:rPr>
          <w:rFonts w:hint="eastAsia" w:ascii="宋体" w:hAnsi="宋体" w:eastAsia="宋体" w:cs="宋体"/>
          <w:color w:val="auto"/>
          <w:sz w:val="22"/>
          <w:szCs w:val="22"/>
          <w:highlight w:val="none"/>
          <w:lang w:val="zh-CN"/>
        </w:rPr>
        <w:t>。</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75" w:name="_Toc61529827"/>
      <w:bookmarkStart w:id="76" w:name="_Toc441844071"/>
      <w:r>
        <w:rPr>
          <w:rFonts w:hint="eastAsia" w:ascii="宋体" w:hAnsi="宋体" w:eastAsia="宋体" w:cs="宋体"/>
          <w:b/>
          <w:bCs/>
          <w:color w:val="auto"/>
          <w:sz w:val="22"/>
          <w:szCs w:val="22"/>
          <w:highlight w:val="none"/>
        </w:rPr>
        <w:t>投标保证金</w:t>
      </w:r>
      <w:bookmarkEnd w:id="75"/>
      <w:bookmarkEnd w:id="76"/>
    </w:p>
    <w:p>
      <w:pPr>
        <w:pStyle w:val="111"/>
        <w:numPr>
          <w:ilvl w:val="0"/>
          <w:numId w:val="26"/>
        </w:numPr>
        <w:adjustRightInd w:val="0"/>
        <w:snapToGrid w:val="0"/>
        <w:spacing w:line="360" w:lineRule="auto"/>
        <w:ind w:left="567" w:hanging="567" w:firstLineChars="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投标人应向东莞市交通投资集团有限公司提交投标保证金，并作为其投标文件的一部分。</w:t>
      </w:r>
      <w:r>
        <w:rPr>
          <w:rFonts w:hint="eastAsia" w:ascii="宋体" w:hAnsi="宋体" w:eastAsia="宋体" w:cs="宋体"/>
          <w:color w:val="auto"/>
          <w:sz w:val="22"/>
          <w:szCs w:val="22"/>
          <w:highlight w:val="none"/>
        </w:rPr>
        <w:t>投标保证金形式、金额及账户信息</w:t>
      </w:r>
      <w:r>
        <w:rPr>
          <w:rFonts w:hint="eastAsia" w:ascii="宋体" w:hAnsi="宋体" w:eastAsia="宋体" w:cs="宋体"/>
          <w:color w:val="auto"/>
          <w:kern w:val="0"/>
          <w:sz w:val="22"/>
          <w:szCs w:val="22"/>
          <w:highlight w:val="none"/>
        </w:rPr>
        <w:t>：详</w:t>
      </w:r>
      <w:r>
        <w:rPr>
          <w:rFonts w:hint="eastAsia" w:ascii="宋体" w:hAnsi="宋体" w:eastAsia="宋体" w:cs="宋体"/>
          <w:color w:val="auto"/>
          <w:kern w:val="0"/>
          <w:sz w:val="22"/>
          <w:szCs w:val="22"/>
          <w:highlight w:val="none"/>
          <w:lang w:val="zh-CN"/>
        </w:rPr>
        <w:t>见《投标人须知前附表》</w:t>
      </w:r>
      <w:r>
        <w:rPr>
          <w:rFonts w:hint="eastAsia" w:ascii="宋体" w:hAnsi="宋体" w:eastAsia="宋体" w:cs="宋体"/>
          <w:color w:val="auto"/>
          <w:kern w:val="0"/>
          <w:sz w:val="22"/>
          <w:szCs w:val="22"/>
          <w:highlight w:val="none"/>
        </w:rPr>
        <w:t>。</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投标人应按包号提交投标保证金，投标人必须采用银行转账、电汇形式缴交，投标人与交款人名称必须一致，非投标人或以分公司或子公司缴纳的投标保证金无效。</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投标保证金以银行划账形式提交，应符合下列规定：</w:t>
      </w:r>
    </w:p>
    <w:p>
      <w:pPr>
        <w:snapToGrid w:val="0"/>
        <w:spacing w:line="360" w:lineRule="auto"/>
        <w:ind w:left="525" w:leftChars="250"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投标保证金必须以银行转账、电汇方式提交。</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（1）如项目出现分包情况的，投标人必须按所投子包分别提交投标保证金。</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b/>
          <w:color w:val="auto"/>
          <w:sz w:val="22"/>
          <w:szCs w:val="22"/>
          <w:highlight w:val="none"/>
        </w:rPr>
        <w:t>采用银行转账、电汇方式提交的，保证金必须在递交投标文件时间截止前，到达招标人指定的账户，否则将不具备参加投标的资格</w:t>
      </w:r>
      <w:r>
        <w:rPr>
          <w:rFonts w:hint="eastAsia" w:ascii="宋体" w:hAnsi="宋体" w:eastAsia="宋体" w:cs="宋体"/>
          <w:color w:val="auto"/>
          <w:sz w:val="22"/>
          <w:szCs w:val="22"/>
          <w:highlight w:val="none"/>
        </w:rPr>
        <w:t>。</w:t>
      </w:r>
    </w:p>
    <w:p>
      <w:pPr>
        <w:pStyle w:val="111"/>
        <w:numPr>
          <w:ilvl w:val="0"/>
          <w:numId w:val="26"/>
        </w:numPr>
        <w:adjustRightInd w:val="0"/>
        <w:snapToGrid w:val="0"/>
        <w:spacing w:line="360" w:lineRule="auto"/>
        <w:ind w:left="565" w:hanging="565" w:hangingChars="257"/>
        <w:jc w:val="left"/>
        <w:rPr>
          <w:rFonts w:hint="eastAsia" w:ascii="宋体" w:hAnsi="宋体" w:eastAsia="宋体" w:cs="宋体"/>
          <w:color w:val="auto"/>
          <w:sz w:val="22"/>
          <w:szCs w:val="22"/>
          <w:highlight w:val="none"/>
        </w:rPr>
      </w:pPr>
      <w:r>
        <w:rPr>
          <w:rFonts w:hint="eastAsia" w:ascii="宋体" w:hAnsi="宋体" w:eastAsia="宋体" w:cs="宋体"/>
          <w:snapToGrid w:val="0"/>
          <w:color w:val="auto"/>
          <w:kern w:val="0"/>
          <w:sz w:val="22"/>
          <w:szCs w:val="22"/>
          <w:highlight w:val="none"/>
        </w:rPr>
        <w:t>采用《投标担保函》（格式详见附件）提交的（单独提交，不得与投标文件一起密封），应符合下列规定：《投标担保函》必须在递交投标文件时间截止前在开标现场提交给招标代理机构,以招标代理机构收到《投标担保函》的签收时间为准。</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凡没有根据本须知的规定提交投标保证金的投标，将被视为非响应性投标予以拒绝。</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没中标的投标人，其投标保证金将在发出中标通知书五个工作日内办理退款手续（退回原账户）。</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人的投标保证金，在中标人按本须知第36条规定签订中标合同后五个工作日内办理退款手续。中标人在签订采购合同并按本须知第35条规定提交履约担保后，携带履约担保复印件（盖公章）一式五份和合同正本复印件，到招标代理机构提出退投标保证金申请，经招标人审核通过后再办理投标保证金退回手续。</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下列任何情况发生时，</w:t>
      </w:r>
      <w:r>
        <w:rPr>
          <w:rFonts w:hint="eastAsia" w:ascii="宋体" w:hAnsi="宋体" w:eastAsia="宋体" w:cs="宋体"/>
          <w:b/>
          <w:color w:val="auto"/>
          <w:sz w:val="22"/>
          <w:szCs w:val="22"/>
          <w:highlight w:val="none"/>
        </w:rPr>
        <w:t>经招标人同意后，招标代理机构在书面通知投标人（或中标人）后有权没收投标保证金：</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（1）投标人在规定的投标截止时间后至投标有效期满前撤销或修改其投标文件；</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（2）中标人未能在规定期限内提交履约担保；</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（3）中标人在规定期限内未能根据本须知第36条规定签订合同；</w:t>
      </w:r>
    </w:p>
    <w:p>
      <w:pPr>
        <w:spacing w:line="360" w:lineRule="auto"/>
        <w:ind w:left="1075" w:leftChars="250" w:hanging="550" w:hangingChars="25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w:t>
      </w:r>
      <w:r>
        <w:rPr>
          <w:rFonts w:hint="eastAsia" w:ascii="宋体" w:hAnsi="宋体" w:eastAsia="宋体" w:cs="宋体"/>
          <w:color w:val="auto"/>
          <w:sz w:val="22"/>
          <w:szCs w:val="22"/>
          <w:highlight w:val="none"/>
        </w:rPr>
        <w:t>提供虚假投标文件或虚假补充文件的，或违反《中华人民共和国招标投标法》等有关法律、法规、规章及招标投标相关规定的行为。</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77" w:name="_Toc61529828"/>
      <w:bookmarkStart w:id="78" w:name="_Toc441844072"/>
      <w:r>
        <w:rPr>
          <w:rFonts w:hint="eastAsia" w:ascii="宋体" w:hAnsi="宋体" w:eastAsia="宋体" w:cs="宋体"/>
          <w:b/>
          <w:bCs/>
          <w:color w:val="auto"/>
          <w:sz w:val="22"/>
          <w:szCs w:val="22"/>
          <w:highlight w:val="none"/>
        </w:rPr>
        <w:t>投标有效期</w:t>
      </w:r>
      <w:bookmarkEnd w:id="77"/>
      <w:bookmarkEnd w:id="78"/>
    </w:p>
    <w:p>
      <w:pPr>
        <w:pStyle w:val="67"/>
        <w:numPr>
          <w:ilvl w:val="0"/>
          <w:numId w:val="27"/>
        </w:numPr>
        <w:tabs>
          <w:tab w:val="left" w:pos="142"/>
        </w:tabs>
        <w:spacing w:line="360" w:lineRule="auto"/>
        <w:ind w:left="567" w:hanging="567" w:firstLineChars="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投标文件应根据投标人须知的规定在投标截止时间后的</w:t>
      </w:r>
      <w:r>
        <w:rPr>
          <w:rFonts w:hint="eastAsia" w:ascii="宋体" w:hAnsi="宋体" w:eastAsia="宋体" w:cs="宋体"/>
          <w:color w:val="auto"/>
          <w:sz w:val="22"/>
          <w:szCs w:val="22"/>
          <w:highlight w:val="none"/>
          <w:lang w:val="en-US" w:eastAsia="zh-CN"/>
        </w:rPr>
        <w:t>120</w:t>
      </w:r>
      <w:r>
        <w:rPr>
          <w:rFonts w:hint="eastAsia" w:ascii="宋体" w:hAnsi="宋体" w:eastAsia="宋体" w:cs="宋体"/>
          <w:color w:val="auto"/>
          <w:sz w:val="22"/>
          <w:szCs w:val="22"/>
          <w:highlight w:val="none"/>
        </w:rPr>
        <w:t>天内保持有效。</w:t>
      </w:r>
      <w:r>
        <w:rPr>
          <w:rFonts w:hint="eastAsia" w:ascii="宋体" w:hAnsi="宋体" w:eastAsia="宋体" w:cs="宋体"/>
          <w:b/>
          <w:color w:val="auto"/>
          <w:sz w:val="22"/>
          <w:szCs w:val="22"/>
          <w:highlight w:val="none"/>
        </w:rPr>
        <w:t>投标有效期比规定期限短的将被视为非实质性响应标而予以拒绝。</w:t>
      </w:r>
    </w:p>
    <w:p>
      <w:pPr>
        <w:pStyle w:val="67"/>
        <w:numPr>
          <w:ilvl w:val="0"/>
          <w:numId w:val="27"/>
        </w:numPr>
        <w:tabs>
          <w:tab w:val="left" w:pos="142"/>
        </w:tabs>
        <w:spacing w:line="360" w:lineRule="auto"/>
        <w:ind w:left="567" w:hanging="567" w:firstLineChars="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特殊情况下，在原有投标有效期截止之前，招标代理机构可要求投标人同意延长投标有效期。这种要求与答复均应以书面形式提交。投标人可拒绝招标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5"/>
        <w:tabs>
          <w:tab w:val="left" w:pos="142"/>
          <w:tab w:val="clear" w:pos="1440"/>
        </w:tabs>
        <w:ind w:left="0" w:firstLine="0"/>
        <w:rPr>
          <w:rFonts w:hint="eastAsia" w:ascii="宋体" w:hAnsi="宋体" w:eastAsia="宋体" w:cs="宋体"/>
          <w:color w:val="auto"/>
          <w:sz w:val="22"/>
          <w:szCs w:val="22"/>
          <w:highlight w:val="none"/>
          <w:lang w:val="zh-CN"/>
        </w:rPr>
      </w:pPr>
      <w:bookmarkStart w:id="79" w:name="_Toc441844073"/>
      <w:bookmarkStart w:id="80" w:name="_Toc425348137"/>
      <w:bookmarkStart w:id="81" w:name="_Toc396137236"/>
      <w:bookmarkStart w:id="82" w:name="_Toc61529829"/>
      <w:r>
        <w:rPr>
          <w:rFonts w:hint="eastAsia" w:ascii="宋体" w:hAnsi="宋体" w:eastAsia="宋体" w:cs="宋体"/>
          <w:color w:val="auto"/>
          <w:sz w:val="22"/>
          <w:szCs w:val="22"/>
          <w:highlight w:val="none"/>
          <w:lang w:val="zh-CN"/>
        </w:rPr>
        <w:t>（四）投标文件的递交</w:t>
      </w:r>
      <w:bookmarkEnd w:id="79"/>
      <w:bookmarkEnd w:id="80"/>
      <w:bookmarkEnd w:id="81"/>
      <w:bookmarkEnd w:id="82"/>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83" w:name="_Toc61529830"/>
      <w:bookmarkStart w:id="84" w:name="_Toc441844074"/>
      <w:r>
        <w:rPr>
          <w:rFonts w:hint="eastAsia" w:ascii="宋体" w:hAnsi="宋体" w:eastAsia="宋体" w:cs="宋体"/>
          <w:b/>
          <w:bCs/>
          <w:color w:val="auto"/>
          <w:sz w:val="22"/>
          <w:szCs w:val="22"/>
          <w:highlight w:val="none"/>
        </w:rPr>
        <w:t>投标文件的装订、密封和标记</w:t>
      </w:r>
      <w:bookmarkEnd w:id="83"/>
      <w:bookmarkEnd w:id="84"/>
    </w:p>
    <w:p>
      <w:pPr>
        <w:pStyle w:val="111"/>
        <w:numPr>
          <w:ilvl w:val="0"/>
          <w:numId w:val="28"/>
        </w:numPr>
        <w:spacing w:line="360" w:lineRule="auto"/>
        <w:ind w:left="567" w:hanging="567" w:firstLineChars="0"/>
        <w:rPr>
          <w:rFonts w:hint="eastAsia" w:ascii="宋体" w:hAnsi="宋体" w:eastAsia="宋体" w:cs="宋体"/>
          <w:b/>
          <w:color w:val="auto"/>
          <w:sz w:val="22"/>
          <w:szCs w:val="22"/>
          <w:highlight w:val="none"/>
          <w:em w:val="dot"/>
        </w:rPr>
      </w:pPr>
      <w:r>
        <w:rPr>
          <w:rFonts w:hint="eastAsia" w:ascii="宋体" w:hAnsi="宋体" w:eastAsia="宋体" w:cs="宋体"/>
          <w:b/>
          <w:color w:val="auto"/>
          <w:sz w:val="22"/>
          <w:szCs w:val="22"/>
          <w:highlight w:val="none"/>
          <w:em w:val="dot"/>
        </w:rPr>
        <w:t>投标文件的装订要求。投标文件的商务技术文件装订方式统一要求采用无线胶装，不得采用打孔胶条装订、线装装订方式。无线胶装样式要求见招标文件无线胶装样式。投标文件中价格文件须单独装订，出现掉页或漏页的由投标人自己承担。</w:t>
      </w:r>
    </w:p>
    <w:p>
      <w:pPr>
        <w:pStyle w:val="111"/>
        <w:numPr>
          <w:ilvl w:val="0"/>
          <w:numId w:val="28"/>
        </w:numPr>
        <w:spacing w:line="360" w:lineRule="auto"/>
        <w:ind w:left="567" w:hanging="567" w:firstLineChars="0"/>
        <w:rPr>
          <w:rFonts w:hint="eastAsia" w:ascii="宋体" w:hAnsi="宋体" w:eastAsia="宋体" w:cs="宋体"/>
          <w:b/>
          <w:color w:val="auto"/>
          <w:sz w:val="22"/>
          <w:szCs w:val="22"/>
          <w:highlight w:val="none"/>
          <w:em w:val="dot"/>
        </w:rPr>
      </w:pPr>
      <w:r>
        <w:rPr>
          <w:rFonts w:hint="eastAsia" w:ascii="宋体" w:hAnsi="宋体" w:eastAsia="宋体" w:cs="宋体"/>
          <w:b/>
          <w:color w:val="auto"/>
          <w:sz w:val="22"/>
          <w:szCs w:val="22"/>
          <w:highlight w:val="none"/>
          <w:em w:val="dot"/>
        </w:rPr>
        <w:t>★为方便开标唱标，投标人应按以下要求准备投标文件（参投多个子包的投标人每个子包分别递交投标文件）：</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934"/>
        <w:gridCol w:w="2645"/>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016"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投标文件名称</w:t>
            </w:r>
          </w:p>
        </w:tc>
        <w:tc>
          <w:tcPr>
            <w:tcW w:w="1390"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装订</w:t>
            </w:r>
          </w:p>
        </w:tc>
        <w:tc>
          <w:tcPr>
            <w:tcW w:w="2195"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8" w:type="pct"/>
            <w:vMerge w:val="restar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016"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唱标信封</w:t>
            </w:r>
          </w:p>
        </w:tc>
        <w:tc>
          <w:tcPr>
            <w:tcW w:w="1390" w:type="pct"/>
            <w:vMerge w:val="restar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独立</w:t>
            </w:r>
            <w:r>
              <w:rPr>
                <w:rFonts w:hint="eastAsia" w:ascii="宋体" w:hAnsi="宋体" w:eastAsia="宋体" w:cs="宋体"/>
                <w:color w:val="auto"/>
                <w:sz w:val="22"/>
                <w:szCs w:val="22"/>
                <w:highlight w:val="none"/>
              </w:rPr>
              <w:t>装订、合并密封</w:t>
            </w:r>
          </w:p>
        </w:tc>
        <w:tc>
          <w:tcPr>
            <w:tcW w:w="2195" w:type="pct"/>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含《投标报价一览表》、《投标保证金汇入情况说明》及投标保证金支付凭证（银行划款单复</w:t>
            </w:r>
            <w:bookmarkStart w:id="85" w:name="_Hlt128472975"/>
            <w:bookmarkEnd w:id="85"/>
            <w:r>
              <w:rPr>
                <w:rFonts w:hint="eastAsia" w:ascii="宋体" w:hAnsi="宋体" w:eastAsia="宋体" w:cs="宋体"/>
                <w:color w:val="auto"/>
                <w:sz w:val="22"/>
                <w:szCs w:val="22"/>
                <w:highlight w:val="none"/>
              </w:rPr>
              <w:t>印件，加盖投标人公章）及法定代表人授权委托书原件及被授权代表身份证复印件加盖投标人公章（如法定代表人投标则附法定代表人身份证明书原件及法定代表人身份证复印件加盖投标人公章）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Merge w:val="continue"/>
            <w:vAlign w:val="center"/>
          </w:tcPr>
          <w:p>
            <w:pPr>
              <w:jc w:val="center"/>
              <w:rPr>
                <w:rFonts w:hint="eastAsia" w:ascii="宋体" w:hAnsi="宋体" w:eastAsia="宋体" w:cs="宋体"/>
                <w:color w:val="auto"/>
                <w:sz w:val="22"/>
                <w:szCs w:val="22"/>
                <w:highlight w:val="none"/>
              </w:rPr>
            </w:pPr>
          </w:p>
        </w:tc>
        <w:tc>
          <w:tcPr>
            <w:tcW w:w="1016"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电子文件</w:t>
            </w:r>
          </w:p>
        </w:tc>
        <w:tc>
          <w:tcPr>
            <w:tcW w:w="1390" w:type="pct"/>
            <w:vMerge w:val="continue"/>
            <w:vAlign w:val="center"/>
          </w:tcPr>
          <w:p>
            <w:pPr>
              <w:jc w:val="center"/>
              <w:rPr>
                <w:rFonts w:hint="eastAsia" w:ascii="宋体" w:hAnsi="宋体" w:eastAsia="宋体" w:cs="宋体"/>
                <w:color w:val="auto"/>
                <w:sz w:val="22"/>
                <w:szCs w:val="22"/>
                <w:highlight w:val="none"/>
              </w:rPr>
            </w:pPr>
          </w:p>
        </w:tc>
        <w:tc>
          <w:tcPr>
            <w:tcW w:w="2195" w:type="pct"/>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016"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价格文件</w:t>
            </w:r>
          </w:p>
        </w:tc>
        <w:tc>
          <w:tcPr>
            <w:tcW w:w="1390"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独立</w:t>
            </w:r>
            <w:r>
              <w:rPr>
                <w:rFonts w:hint="eastAsia" w:ascii="宋体" w:hAnsi="宋体" w:eastAsia="宋体" w:cs="宋体"/>
                <w:color w:val="auto"/>
                <w:sz w:val="22"/>
                <w:szCs w:val="22"/>
                <w:highlight w:val="none"/>
              </w:rPr>
              <w:t>装订成册、独立密封</w:t>
            </w:r>
          </w:p>
        </w:tc>
        <w:tc>
          <w:tcPr>
            <w:tcW w:w="2195"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016"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商务技术文件</w:t>
            </w:r>
          </w:p>
        </w:tc>
        <w:tc>
          <w:tcPr>
            <w:tcW w:w="1390"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商务与技术可装订成册也可分开装订、独立密封</w:t>
            </w:r>
          </w:p>
        </w:tc>
        <w:tc>
          <w:tcPr>
            <w:tcW w:w="2195" w:type="pct"/>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含正、副本</w:t>
            </w:r>
          </w:p>
        </w:tc>
      </w:tr>
    </w:tbl>
    <w:p>
      <w:pPr>
        <w:pStyle w:val="111"/>
        <w:numPr>
          <w:ilvl w:val="0"/>
          <w:numId w:val="2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投标人应在密封袋上标明“价格文件”、“商务技术文件”、“唱标信封”等内容，并在密封袋的封口处加盖投标人公章。</w:t>
      </w:r>
    </w:p>
    <w:p>
      <w:pPr>
        <w:pStyle w:val="111"/>
        <w:numPr>
          <w:ilvl w:val="0"/>
          <w:numId w:val="2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在投标文件密封袋上均应标明以下内容：</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（1）项目编号：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时</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分开标，此时间以前不得开封； </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（4）投标人名称：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pStyle w:val="111"/>
        <w:numPr>
          <w:ilvl w:val="0"/>
          <w:numId w:val="2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如果投标文件未按本须知第18.1～18.4款的规定装订和加写标记及密封，招标代理机构将不承担投标文件提前开封的责任。对由此造成提前开封的投标文件将予以拒绝，并退还给投标人。</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86" w:name="_Toc441844075"/>
      <w:bookmarkStart w:id="87" w:name="_Toc61529831"/>
      <w:bookmarkStart w:id="88" w:name="_Toc439325685"/>
      <w:r>
        <w:rPr>
          <w:rFonts w:hint="eastAsia" w:ascii="宋体" w:hAnsi="宋体" w:eastAsia="宋体" w:cs="宋体"/>
          <w:b/>
          <w:bCs/>
          <w:color w:val="auto"/>
          <w:sz w:val="22"/>
          <w:szCs w:val="22"/>
          <w:highlight w:val="none"/>
        </w:rPr>
        <w:t>投标截止时间</w:t>
      </w:r>
      <w:bookmarkEnd w:id="86"/>
      <w:bookmarkEnd w:id="87"/>
      <w:bookmarkEnd w:id="88"/>
    </w:p>
    <w:p>
      <w:pPr>
        <w:pStyle w:val="111"/>
        <w:numPr>
          <w:ilvl w:val="0"/>
          <w:numId w:val="29"/>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招标代理机构在本须知第22.1条规定的地址收到投标的时间不迟于第一章投标邀请函中  所规定的时间。</w:t>
      </w:r>
    </w:p>
    <w:p>
      <w:pPr>
        <w:pStyle w:val="111"/>
        <w:numPr>
          <w:ilvl w:val="0"/>
          <w:numId w:val="29"/>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招标人可以按本须知第9条规定，通过修改招标文件自行决定酌情延长投标截止时间。在此情况下，招标代理机构、招标人和投标人受投标截止时间制约的所有权利和义务均应延长至新的截止时间。</w:t>
      </w:r>
    </w:p>
    <w:p>
      <w:pPr>
        <w:pStyle w:val="111"/>
        <w:numPr>
          <w:ilvl w:val="0"/>
          <w:numId w:val="29"/>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招标代理机构于开标前</w:t>
      </w:r>
      <w:r>
        <w:rPr>
          <w:rFonts w:hint="eastAsia" w:ascii="宋体" w:hAnsi="宋体" w:eastAsia="宋体" w:cs="宋体"/>
          <w:b/>
          <w:color w:val="auto"/>
          <w:sz w:val="22"/>
          <w:szCs w:val="22"/>
          <w:highlight w:val="none"/>
        </w:rPr>
        <w:t>（30）</w:t>
      </w:r>
      <w:r>
        <w:rPr>
          <w:rFonts w:hint="eastAsia" w:ascii="宋体" w:hAnsi="宋体" w:eastAsia="宋体" w:cs="宋体"/>
          <w:color w:val="auto"/>
          <w:sz w:val="22"/>
          <w:szCs w:val="22"/>
          <w:highlight w:val="none"/>
        </w:rPr>
        <w:t>分钟开始接收投标文件。</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89" w:name="_Toc441844076"/>
      <w:bookmarkStart w:id="90" w:name="_Toc439325686"/>
      <w:bookmarkStart w:id="91" w:name="_Toc61529832"/>
      <w:r>
        <w:rPr>
          <w:rFonts w:hint="eastAsia" w:ascii="宋体" w:hAnsi="宋体" w:eastAsia="宋体" w:cs="宋体"/>
          <w:b/>
          <w:bCs/>
          <w:color w:val="auto"/>
          <w:sz w:val="22"/>
          <w:szCs w:val="22"/>
          <w:highlight w:val="none"/>
        </w:rPr>
        <w:t>迟交的投标文件</w:t>
      </w:r>
      <w:bookmarkEnd w:id="89"/>
      <w:bookmarkEnd w:id="90"/>
      <w:bookmarkEnd w:id="91"/>
    </w:p>
    <w:p>
      <w:pPr>
        <w:pStyle w:val="111"/>
        <w:numPr>
          <w:ilvl w:val="0"/>
          <w:numId w:val="30"/>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招标代理机构将拒绝并原封退回在本须知第22.1条规定的截止时间后收到的任何投标文件。</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92" w:name="_Toc61529833"/>
      <w:bookmarkStart w:id="93" w:name="_Toc441844077"/>
      <w:bookmarkStart w:id="94" w:name="_Toc439325687"/>
      <w:r>
        <w:rPr>
          <w:rFonts w:hint="eastAsia" w:ascii="宋体" w:hAnsi="宋体" w:eastAsia="宋体" w:cs="宋体"/>
          <w:b/>
          <w:bCs/>
          <w:color w:val="auto"/>
          <w:sz w:val="22"/>
          <w:szCs w:val="22"/>
          <w:highlight w:val="none"/>
        </w:rPr>
        <w:t>投标文件的修改与撤回</w:t>
      </w:r>
      <w:bookmarkEnd w:id="92"/>
      <w:bookmarkEnd w:id="93"/>
      <w:bookmarkEnd w:id="94"/>
    </w:p>
    <w:p>
      <w:pPr>
        <w:pStyle w:val="111"/>
        <w:numPr>
          <w:ilvl w:val="0"/>
          <w:numId w:val="31"/>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投标人在递交投标文件后，可以修改或撤回其投标，但招标代理机构必须在第19条规定的投标截止时间之前，收到修改或撤回的书面通知。</w:t>
      </w:r>
    </w:p>
    <w:p>
      <w:pPr>
        <w:pStyle w:val="111"/>
        <w:numPr>
          <w:ilvl w:val="0"/>
          <w:numId w:val="3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投标人的修改或撤回通知应按本须知第18条规定编制、密封、标记和发送。</w:t>
      </w:r>
    </w:p>
    <w:p>
      <w:pPr>
        <w:pStyle w:val="111"/>
        <w:numPr>
          <w:ilvl w:val="0"/>
          <w:numId w:val="3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在投标截止时间之后，投标人不得对其投标做任何修改。</w:t>
      </w:r>
    </w:p>
    <w:p>
      <w:pPr>
        <w:pStyle w:val="111"/>
        <w:numPr>
          <w:ilvl w:val="0"/>
          <w:numId w:val="31"/>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从投标截止时间至投标人在投标书格式中确定的投标有效期之间的这段时间内，投标人不得撤回其投标，否则其投标保证金将按照本须知第16.8条的规定被没收。</w:t>
      </w:r>
    </w:p>
    <w:p>
      <w:pPr>
        <w:pStyle w:val="5"/>
        <w:tabs>
          <w:tab w:val="left" w:pos="142"/>
          <w:tab w:val="clear" w:pos="1440"/>
        </w:tabs>
        <w:ind w:left="0" w:firstLine="0"/>
        <w:rPr>
          <w:rFonts w:hint="eastAsia" w:ascii="宋体" w:hAnsi="宋体" w:eastAsia="宋体" w:cs="宋体"/>
          <w:b w:val="0"/>
          <w:color w:val="auto"/>
          <w:sz w:val="22"/>
          <w:szCs w:val="22"/>
          <w:highlight w:val="none"/>
          <w:lang w:val="zh-CN"/>
        </w:rPr>
      </w:pPr>
      <w:bookmarkStart w:id="95" w:name="_Toc61529834"/>
      <w:bookmarkStart w:id="96" w:name="_Toc441844078"/>
      <w:r>
        <w:rPr>
          <w:rFonts w:hint="eastAsia" w:ascii="宋体" w:hAnsi="宋体" w:eastAsia="宋体" w:cs="宋体"/>
          <w:color w:val="auto"/>
          <w:sz w:val="22"/>
          <w:szCs w:val="22"/>
          <w:highlight w:val="none"/>
          <w:lang w:val="zh-CN"/>
        </w:rPr>
        <w:t>（五）开标与评标</w:t>
      </w:r>
      <w:bookmarkEnd w:id="95"/>
      <w:bookmarkEnd w:id="96"/>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97" w:name="_Toc61529835"/>
      <w:bookmarkStart w:id="98" w:name="_Toc441844079"/>
      <w:bookmarkStart w:id="99" w:name="_Toc439325690"/>
      <w:r>
        <w:rPr>
          <w:rFonts w:hint="eastAsia" w:ascii="宋体" w:hAnsi="宋体" w:eastAsia="宋体" w:cs="宋体"/>
          <w:b/>
          <w:bCs/>
          <w:color w:val="auto"/>
          <w:sz w:val="22"/>
          <w:szCs w:val="22"/>
          <w:highlight w:val="none"/>
        </w:rPr>
        <w:t>开标</w:t>
      </w:r>
      <w:bookmarkEnd w:id="97"/>
      <w:bookmarkEnd w:id="98"/>
      <w:bookmarkEnd w:id="99"/>
    </w:p>
    <w:p>
      <w:pPr>
        <w:pStyle w:val="111"/>
        <w:numPr>
          <w:ilvl w:val="0"/>
          <w:numId w:val="32"/>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招标人和招标代理机构在第一章投标邀请函中约定的时间和地点组织公开开标。</w:t>
      </w:r>
    </w:p>
    <w:p>
      <w:pPr>
        <w:pStyle w:val="111"/>
        <w:numPr>
          <w:ilvl w:val="0"/>
          <w:numId w:val="32"/>
        </w:numPr>
        <w:spacing w:line="360" w:lineRule="auto"/>
        <w:ind w:left="567" w:hanging="567" w:firstLineChars="0"/>
        <w:rPr>
          <w:rFonts w:hint="eastAsia" w:ascii="宋体" w:hAnsi="宋体" w:eastAsia="宋体" w:cs="宋体"/>
          <w:bCs/>
          <w:color w:val="auto"/>
          <w:kern w:val="28"/>
          <w:sz w:val="22"/>
          <w:szCs w:val="22"/>
          <w:highlight w:val="none"/>
        </w:rPr>
      </w:pPr>
      <w:r>
        <w:rPr>
          <w:rFonts w:hint="eastAsia" w:ascii="宋体" w:hAnsi="宋体" w:eastAsia="宋体" w:cs="宋体"/>
          <w:bCs/>
          <w:color w:val="auto"/>
          <w:kern w:val="28"/>
          <w:sz w:val="22"/>
          <w:szCs w:val="22"/>
          <w:highlight w:val="none"/>
        </w:rPr>
        <w:t>开标程序</w:t>
      </w:r>
    </w:p>
    <w:p>
      <w:pPr>
        <w:pStyle w:val="111"/>
        <w:numPr>
          <w:ilvl w:val="0"/>
          <w:numId w:val="33"/>
        </w:numPr>
        <w:snapToGrid w:val="0"/>
        <w:spacing w:line="360" w:lineRule="auto"/>
        <w:ind w:left="709" w:hanging="709" w:firstLineChars="0"/>
        <w:rPr>
          <w:rFonts w:hint="eastAsia" w:ascii="宋体" w:hAnsi="宋体" w:eastAsia="宋体" w:cs="宋体"/>
          <w:bCs/>
          <w:color w:val="auto"/>
          <w:kern w:val="28"/>
          <w:sz w:val="22"/>
          <w:szCs w:val="22"/>
          <w:highlight w:val="none"/>
        </w:rPr>
      </w:pPr>
      <w:r>
        <w:rPr>
          <w:rFonts w:hint="eastAsia" w:ascii="宋体" w:hAnsi="宋体" w:eastAsia="宋体" w:cs="宋体"/>
          <w:bCs/>
          <w:color w:val="auto"/>
          <w:kern w:val="28"/>
          <w:sz w:val="22"/>
          <w:szCs w:val="22"/>
          <w:highlight w:val="none"/>
        </w:rPr>
        <w:t>开标会由招标代理机构主持，投标人的法定代表人或其授权代表务必携带有效身份证明准时参加开标会并签名报到，以证明其出席。投标人的法定代表人或其授权代表未参加开标会的，视同认可开标结果。</w:t>
      </w:r>
    </w:p>
    <w:p>
      <w:pPr>
        <w:pStyle w:val="111"/>
        <w:numPr>
          <w:ilvl w:val="0"/>
          <w:numId w:val="33"/>
        </w:numPr>
        <w:snapToGrid w:val="0"/>
        <w:spacing w:line="360" w:lineRule="auto"/>
        <w:ind w:left="709" w:hanging="709" w:firstLineChars="0"/>
        <w:rPr>
          <w:rFonts w:hint="eastAsia" w:ascii="宋体" w:hAnsi="宋体" w:eastAsia="宋体" w:cs="宋体"/>
          <w:bCs/>
          <w:color w:val="auto"/>
          <w:kern w:val="28"/>
          <w:sz w:val="22"/>
          <w:szCs w:val="22"/>
          <w:highlight w:val="none"/>
        </w:rPr>
      </w:pPr>
      <w:r>
        <w:rPr>
          <w:rFonts w:hint="eastAsia" w:ascii="宋体" w:hAnsi="宋体" w:eastAsia="宋体" w:cs="宋体"/>
          <w:bCs/>
          <w:color w:val="auto"/>
          <w:kern w:val="28"/>
          <w:sz w:val="22"/>
          <w:szCs w:val="22"/>
          <w:highlight w:val="none"/>
        </w:rPr>
        <w:t>投标文件的密封等情况由采购人代表或招标代理机构委托的公证机构（人员）检查，或由招标人代表及投标文件第一递交登记人或投标人推选的代表检查。</w:t>
      </w:r>
    </w:p>
    <w:p>
      <w:pPr>
        <w:pStyle w:val="111"/>
        <w:numPr>
          <w:ilvl w:val="0"/>
          <w:numId w:val="33"/>
        </w:numPr>
        <w:snapToGrid w:val="0"/>
        <w:spacing w:line="360" w:lineRule="auto"/>
        <w:ind w:left="709" w:hanging="709" w:firstLineChars="0"/>
        <w:rPr>
          <w:rFonts w:hint="eastAsia" w:ascii="宋体" w:hAnsi="宋体" w:eastAsia="宋体" w:cs="宋体"/>
          <w:bCs/>
          <w:color w:val="auto"/>
          <w:kern w:val="28"/>
          <w:sz w:val="22"/>
          <w:szCs w:val="22"/>
          <w:highlight w:val="none"/>
        </w:rPr>
      </w:pPr>
      <w:r>
        <w:rPr>
          <w:rFonts w:hint="eastAsia" w:ascii="宋体" w:hAnsi="宋体" w:eastAsia="宋体" w:cs="宋体"/>
          <w:bCs/>
          <w:color w:val="auto"/>
          <w:kern w:val="28"/>
          <w:sz w:val="22"/>
          <w:szCs w:val="22"/>
          <w:highlight w:val="none"/>
        </w:rPr>
        <w:t>投标文件经检查无误后，采购代理机构当众拆封《唱标信封》，宣读投标人名称、投标价格、价格折扣及投标报价一览表的其他主要内容。</w:t>
      </w:r>
    </w:p>
    <w:p>
      <w:pPr>
        <w:pStyle w:val="111"/>
        <w:numPr>
          <w:ilvl w:val="0"/>
          <w:numId w:val="33"/>
        </w:numPr>
        <w:snapToGrid w:val="0"/>
        <w:spacing w:line="360" w:lineRule="auto"/>
        <w:ind w:left="709" w:hanging="709" w:firstLineChars="0"/>
        <w:rPr>
          <w:rFonts w:hint="eastAsia" w:ascii="宋体" w:hAnsi="宋体" w:eastAsia="宋体" w:cs="宋体"/>
          <w:bCs/>
          <w:color w:val="auto"/>
          <w:kern w:val="28"/>
          <w:sz w:val="22"/>
          <w:szCs w:val="22"/>
          <w:highlight w:val="none"/>
        </w:rPr>
      </w:pPr>
      <w:r>
        <w:rPr>
          <w:rFonts w:hint="eastAsia" w:ascii="宋体" w:hAnsi="宋体" w:eastAsia="宋体" w:cs="宋体"/>
          <w:bCs/>
          <w:color w:val="auto"/>
          <w:kern w:val="28"/>
          <w:sz w:val="22"/>
          <w:szCs w:val="22"/>
          <w:highlight w:val="none"/>
        </w:rPr>
        <w:t>若采购代理机构宣读的结果与《唱标信封》内容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pPr>
        <w:pStyle w:val="111"/>
        <w:numPr>
          <w:ilvl w:val="0"/>
          <w:numId w:val="33"/>
        </w:numPr>
        <w:snapToGrid w:val="0"/>
        <w:spacing w:line="360" w:lineRule="auto"/>
        <w:ind w:left="709" w:hanging="709"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投标人对开标有异议的，应当在开标现场提出，采购代理机构应当当场作出答复，并制作记录。</w:t>
      </w:r>
    </w:p>
    <w:p>
      <w:pPr>
        <w:pStyle w:val="111"/>
        <w:numPr>
          <w:ilvl w:val="0"/>
          <w:numId w:val="33"/>
        </w:numPr>
        <w:snapToGrid w:val="0"/>
        <w:spacing w:line="360" w:lineRule="auto"/>
        <w:ind w:left="709" w:hanging="709"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采购代理机构将做开标记录，开标记录包括第22.2.5款发生的异议及答复、按第22.2.4款的规定在开标时宣读的全部内容。</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00" w:name="_Toc439325688"/>
      <w:bookmarkStart w:id="101" w:name="_Toc61529836"/>
      <w:bookmarkStart w:id="102" w:name="_Toc441844080"/>
      <w:r>
        <w:rPr>
          <w:rFonts w:hint="eastAsia" w:ascii="宋体" w:hAnsi="宋体" w:eastAsia="宋体" w:cs="宋体"/>
          <w:b/>
          <w:bCs/>
          <w:color w:val="auto"/>
          <w:sz w:val="22"/>
          <w:szCs w:val="22"/>
          <w:highlight w:val="none"/>
        </w:rPr>
        <w:t>评标委员会</w:t>
      </w:r>
      <w:bookmarkEnd w:id="100"/>
      <w:bookmarkEnd w:id="101"/>
      <w:bookmarkEnd w:id="102"/>
    </w:p>
    <w:p>
      <w:pPr>
        <w:pStyle w:val="111"/>
        <w:numPr>
          <w:ilvl w:val="0"/>
          <w:numId w:val="34"/>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依法组成评标委员会，评标委员会由采购人和有关技术、经济等方面的专家组成，成员人数为不少于5人以上单数，其中技术、经济等方面的专家不少于成员总数的三分之二。</w:t>
      </w:r>
    </w:p>
    <w:p>
      <w:pPr>
        <w:pStyle w:val="111"/>
        <w:numPr>
          <w:ilvl w:val="0"/>
          <w:numId w:val="34"/>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pPr>
        <w:pStyle w:val="111"/>
        <w:numPr>
          <w:ilvl w:val="0"/>
          <w:numId w:val="34"/>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评标委员会依法根据招标文件的规定，进行投标文件的评审、得出评审结果，评标委员会递交评标报告并依法向招标人推荐中标候选人。</w:t>
      </w:r>
    </w:p>
    <w:p>
      <w:pPr>
        <w:pStyle w:val="111"/>
        <w:numPr>
          <w:ilvl w:val="0"/>
          <w:numId w:val="34"/>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所有参加评标人员必须遵守国家、地方政府以及东莞市交通投资集团有限公司制定的有关招标采购的法则、规定，遵守有关招标采购的保密制度；如有违反者，给予行政处分；情节严重，构成犯罪的，由司法机关依法追究其刑事责任。</w:t>
      </w:r>
    </w:p>
    <w:p>
      <w:pPr>
        <w:pStyle w:val="111"/>
        <w:numPr>
          <w:ilvl w:val="0"/>
          <w:numId w:val="34"/>
        </w:numPr>
        <w:spacing w:line="360" w:lineRule="auto"/>
        <w:ind w:left="567"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全体参与评标人员：</w:t>
      </w:r>
    </w:p>
    <w:p>
      <w:pPr>
        <w:pStyle w:val="111"/>
        <w:numPr>
          <w:ilvl w:val="0"/>
          <w:numId w:val="3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必须遵守评标纪律、不得泄密；</w:t>
      </w:r>
    </w:p>
    <w:p>
      <w:pPr>
        <w:pStyle w:val="111"/>
        <w:numPr>
          <w:ilvl w:val="0"/>
          <w:numId w:val="3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必须公正、不得循私；</w:t>
      </w:r>
    </w:p>
    <w:p>
      <w:pPr>
        <w:pStyle w:val="111"/>
        <w:numPr>
          <w:ilvl w:val="0"/>
          <w:numId w:val="3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必须科学、不得草率；</w:t>
      </w:r>
    </w:p>
    <w:p>
      <w:pPr>
        <w:pStyle w:val="111"/>
        <w:numPr>
          <w:ilvl w:val="0"/>
          <w:numId w:val="3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必须客观、不得带有成见；</w:t>
      </w:r>
    </w:p>
    <w:p>
      <w:pPr>
        <w:pStyle w:val="111"/>
        <w:numPr>
          <w:ilvl w:val="0"/>
          <w:numId w:val="3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必须平等、不得强加于人；</w:t>
      </w:r>
    </w:p>
    <w:p>
      <w:pPr>
        <w:pStyle w:val="111"/>
        <w:numPr>
          <w:ilvl w:val="0"/>
          <w:numId w:val="35"/>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必须严谨、不得随意马虎。</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03" w:name="_Toc441844081"/>
      <w:bookmarkStart w:id="104" w:name="_Toc61529837"/>
      <w:r>
        <w:rPr>
          <w:rFonts w:hint="eastAsia" w:ascii="宋体" w:hAnsi="宋体" w:eastAsia="宋体" w:cs="宋体"/>
          <w:b/>
          <w:bCs/>
          <w:color w:val="auto"/>
          <w:sz w:val="22"/>
          <w:szCs w:val="22"/>
          <w:highlight w:val="none"/>
        </w:rPr>
        <w:t>评标过程的保密性</w:t>
      </w:r>
      <w:bookmarkEnd w:id="103"/>
      <w:bookmarkEnd w:id="104"/>
    </w:p>
    <w:p>
      <w:pPr>
        <w:pStyle w:val="111"/>
        <w:numPr>
          <w:ilvl w:val="0"/>
          <w:numId w:val="36"/>
        </w:numPr>
        <w:tabs>
          <w:tab w:val="left" w:pos="567"/>
        </w:tabs>
        <w:spacing w:line="360" w:lineRule="auto"/>
        <w:ind w:left="567" w:right="18"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1"/>
        <w:numPr>
          <w:ilvl w:val="0"/>
          <w:numId w:val="36"/>
        </w:numPr>
        <w:tabs>
          <w:tab w:val="left" w:pos="567"/>
        </w:tabs>
        <w:spacing w:line="360" w:lineRule="auto"/>
        <w:ind w:left="567" w:right="18"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在评标过程中，如果投标人试图在投标文件审查、澄清、比较及授予合同方面向招标代理机构和招标人施加任何影响，其投标文件将被拒绝。</w:t>
      </w:r>
    </w:p>
    <w:p>
      <w:pPr>
        <w:pStyle w:val="111"/>
        <w:numPr>
          <w:ilvl w:val="0"/>
          <w:numId w:val="36"/>
        </w:numPr>
        <w:tabs>
          <w:tab w:val="left" w:pos="567"/>
        </w:tabs>
        <w:spacing w:line="360" w:lineRule="auto"/>
        <w:ind w:left="567" w:right="18"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05" w:name="_Toc441844082"/>
      <w:bookmarkStart w:id="106" w:name="_Toc61529838"/>
      <w:r>
        <w:rPr>
          <w:rFonts w:hint="eastAsia" w:ascii="宋体" w:hAnsi="宋体" w:eastAsia="宋体" w:cs="宋体"/>
          <w:b/>
          <w:bCs/>
          <w:color w:val="auto"/>
          <w:sz w:val="22"/>
          <w:szCs w:val="22"/>
          <w:highlight w:val="none"/>
        </w:rPr>
        <w:t>投标文件</w:t>
      </w:r>
      <w:bookmarkEnd w:id="105"/>
      <w:r>
        <w:rPr>
          <w:rFonts w:hint="eastAsia" w:ascii="宋体" w:hAnsi="宋体" w:eastAsia="宋体" w:cs="宋体"/>
          <w:b/>
          <w:bCs/>
          <w:color w:val="auto"/>
          <w:sz w:val="22"/>
          <w:szCs w:val="22"/>
          <w:highlight w:val="none"/>
        </w:rPr>
        <w:t>评审</w:t>
      </w:r>
      <w:bookmarkEnd w:id="106"/>
    </w:p>
    <w:p>
      <w:pPr>
        <w:pStyle w:val="111"/>
        <w:numPr>
          <w:ilvl w:val="0"/>
          <w:numId w:val="37"/>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评标委员会应当对投标人的投标文件进行资格、符合性审查，以确定其是否满足招标文件的实质性要求（详见第三章 评标办法）。</w:t>
      </w:r>
    </w:p>
    <w:p>
      <w:pPr>
        <w:pStyle w:val="111"/>
        <w:numPr>
          <w:ilvl w:val="0"/>
          <w:numId w:val="37"/>
        </w:numPr>
        <w:spacing w:line="360" w:lineRule="auto"/>
        <w:ind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投标截止后投标人不足3家或者通过资格、符合性审查的投标人不足3家的，招标代理机构将依法重新招标；如果招标文件存在不合理条款或者招标程序不符合规定的，招标人、招标代理机构改正后依法重新招标。</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07" w:name="_Toc46502772"/>
      <w:bookmarkEnd w:id="107"/>
      <w:bookmarkStart w:id="108" w:name="_Toc61529839"/>
      <w:bookmarkStart w:id="109" w:name="_Toc441844083"/>
      <w:r>
        <w:rPr>
          <w:rFonts w:hint="eastAsia" w:ascii="宋体" w:hAnsi="宋体" w:eastAsia="宋体" w:cs="宋体"/>
          <w:b/>
          <w:bCs/>
          <w:color w:val="auto"/>
          <w:sz w:val="22"/>
          <w:szCs w:val="22"/>
          <w:highlight w:val="none"/>
        </w:rPr>
        <w:t>投标文件的澄清</w:t>
      </w:r>
      <w:bookmarkEnd w:id="108"/>
      <w:bookmarkEnd w:id="109"/>
    </w:p>
    <w:p>
      <w:pPr>
        <w:pStyle w:val="111"/>
        <w:numPr>
          <w:ilvl w:val="0"/>
          <w:numId w:val="38"/>
        </w:numPr>
        <w:spacing w:line="360" w:lineRule="auto"/>
        <w:ind w:right="18"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1"/>
        <w:numPr>
          <w:ilvl w:val="0"/>
          <w:numId w:val="38"/>
        </w:numPr>
        <w:spacing w:line="360" w:lineRule="auto"/>
        <w:ind w:right="18"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除评标委员会主动要求澄清、说明或者纠正外，评标定标期间，任何投标人均不得就与其投标相关的任何问题与评标委员会联系。</w:t>
      </w:r>
    </w:p>
    <w:p>
      <w:pPr>
        <w:pStyle w:val="111"/>
        <w:numPr>
          <w:ilvl w:val="0"/>
          <w:numId w:val="38"/>
        </w:numPr>
        <w:spacing w:line="360" w:lineRule="auto"/>
        <w:ind w:right="18"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评标委员会成员均应当阅读投标人的澄清，但应独立参考澄清对投标文件进行评审。整个澄清的过程不得存在排斥潜在投标人的现象。</w:t>
      </w:r>
    </w:p>
    <w:p>
      <w:pPr>
        <w:pStyle w:val="111"/>
        <w:numPr>
          <w:ilvl w:val="0"/>
          <w:numId w:val="38"/>
        </w:numPr>
        <w:spacing w:line="360" w:lineRule="auto"/>
        <w:ind w:right="18"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如果投标文件实质上不响应招标文件的各项要求，评标委员会将按照资格、符合性审查标准予以拒绝，不接受投标人通过修改或撤销其不符合要求的差异或保留，使之成为具有响应性的投标。</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10" w:name="_Toc61529840"/>
      <w:r>
        <w:rPr>
          <w:rFonts w:hint="eastAsia" w:ascii="宋体" w:hAnsi="宋体" w:eastAsia="宋体" w:cs="宋体"/>
          <w:b/>
          <w:bCs/>
          <w:color w:val="auto"/>
          <w:sz w:val="22"/>
          <w:szCs w:val="22"/>
          <w:highlight w:val="none"/>
        </w:rPr>
        <w:t>对投标文件的比较和评价</w:t>
      </w:r>
      <w:bookmarkEnd w:id="110"/>
    </w:p>
    <w:p>
      <w:pPr>
        <w:pStyle w:val="111"/>
        <w:numPr>
          <w:ilvl w:val="0"/>
          <w:numId w:val="39"/>
        </w:numPr>
        <w:spacing w:line="360" w:lineRule="auto"/>
        <w:ind w:right="18"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评标委员会将对资格、符合性审查合格的投标文件进行比较和评价，包括技术、商务的详细评审，详见第三章《评标办法》。</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11" w:name="_Toc61529841"/>
      <w:bookmarkStart w:id="112" w:name="_Toc441844084"/>
      <w:r>
        <w:rPr>
          <w:rFonts w:hint="eastAsia" w:ascii="宋体" w:hAnsi="宋体" w:eastAsia="宋体" w:cs="宋体"/>
          <w:b/>
          <w:bCs/>
          <w:color w:val="auto"/>
          <w:sz w:val="22"/>
          <w:szCs w:val="22"/>
          <w:highlight w:val="none"/>
        </w:rPr>
        <w:t>评标原则及方法</w:t>
      </w:r>
      <w:bookmarkEnd w:id="111"/>
      <w:bookmarkEnd w:id="112"/>
    </w:p>
    <w:p>
      <w:pPr>
        <w:pStyle w:val="111"/>
        <w:numPr>
          <w:ilvl w:val="0"/>
          <w:numId w:val="40"/>
        </w:numPr>
        <w:tabs>
          <w:tab w:val="left" w:pos="360"/>
        </w:tabs>
        <w:spacing w:line="360" w:lineRule="auto"/>
        <w:ind w:left="567" w:right="51"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坚持“公开、公平、公正、科学、择优”的评标原则，严格评审。</w:t>
      </w:r>
    </w:p>
    <w:p>
      <w:pPr>
        <w:pStyle w:val="111"/>
        <w:numPr>
          <w:ilvl w:val="0"/>
          <w:numId w:val="40"/>
        </w:numPr>
        <w:tabs>
          <w:tab w:val="left" w:pos="360"/>
        </w:tabs>
        <w:spacing w:line="360" w:lineRule="auto"/>
        <w:ind w:left="567" w:right="51"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确定中标人的评标准则是：能够最大限度满足招标文件中规定的各项综合评价标准。</w:t>
      </w:r>
    </w:p>
    <w:p>
      <w:pPr>
        <w:pStyle w:val="111"/>
        <w:numPr>
          <w:ilvl w:val="0"/>
          <w:numId w:val="40"/>
        </w:numPr>
        <w:tabs>
          <w:tab w:val="left" w:pos="360"/>
        </w:tabs>
        <w:spacing w:line="360" w:lineRule="auto"/>
        <w:ind w:left="567" w:right="51" w:hanging="567"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具体评标方法</w:t>
      </w:r>
      <w:r>
        <w:rPr>
          <w:rFonts w:hint="eastAsia" w:ascii="宋体" w:hAnsi="宋体" w:eastAsia="宋体" w:cs="宋体"/>
          <w:b/>
          <w:color w:val="auto"/>
          <w:sz w:val="22"/>
          <w:szCs w:val="22"/>
          <w:highlight w:val="none"/>
        </w:rPr>
        <w:t>详见第三章《评标办法》</w:t>
      </w:r>
      <w:r>
        <w:rPr>
          <w:rFonts w:hint="eastAsia" w:ascii="宋体" w:hAnsi="宋体" w:eastAsia="宋体" w:cs="宋体"/>
          <w:color w:val="auto"/>
          <w:sz w:val="22"/>
          <w:szCs w:val="22"/>
          <w:highlight w:val="none"/>
        </w:rPr>
        <w:t>。</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13" w:name="_Toc441844085"/>
      <w:bookmarkStart w:id="114" w:name="_Toc61529842"/>
      <w:r>
        <w:rPr>
          <w:rFonts w:hint="eastAsia" w:ascii="宋体" w:hAnsi="宋体" w:eastAsia="宋体" w:cs="宋体"/>
          <w:b/>
          <w:bCs/>
          <w:color w:val="auto"/>
          <w:sz w:val="22"/>
          <w:szCs w:val="22"/>
          <w:highlight w:val="none"/>
        </w:rPr>
        <w:t>评标结果公示</w:t>
      </w:r>
      <w:bookmarkEnd w:id="113"/>
      <w:r>
        <w:rPr>
          <w:rFonts w:hint="eastAsia" w:ascii="宋体" w:hAnsi="宋体" w:eastAsia="宋体" w:cs="宋体"/>
          <w:b/>
          <w:bCs/>
          <w:color w:val="auto"/>
          <w:sz w:val="22"/>
          <w:szCs w:val="22"/>
          <w:highlight w:val="none"/>
        </w:rPr>
        <w:t>及异议、投诉</w:t>
      </w:r>
      <w:bookmarkEnd w:id="114"/>
    </w:p>
    <w:p>
      <w:pPr>
        <w:pStyle w:val="111"/>
        <w:numPr>
          <w:ilvl w:val="0"/>
          <w:numId w:val="41"/>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招标代理机构在招标公告发布媒体公示中标候选人，公示期为3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pPr>
        <w:spacing w:line="360" w:lineRule="auto"/>
        <w:ind w:left="424" w:leftChars="202"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1"/>
        <w:numPr>
          <w:ilvl w:val="0"/>
          <w:numId w:val="41"/>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移交司法机关处理。</w:t>
      </w:r>
    </w:p>
    <w:p>
      <w:pPr>
        <w:spacing w:line="360" w:lineRule="auto"/>
        <w:ind w:left="525" w:leftChars="250"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按照评标委员会提出的中标候选人名单排序依次确定其他中标候选人为中标人或重新招标。</w:t>
      </w:r>
    </w:p>
    <w:p>
      <w:pPr>
        <w:pStyle w:val="111"/>
        <w:numPr>
          <w:ilvl w:val="0"/>
          <w:numId w:val="41"/>
        </w:numPr>
        <w:spacing w:line="360" w:lineRule="auto"/>
        <w:ind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投标人或者其他利害关系人认为招标投标活动不符合法律、行政法规规定的，可以自知道或者应当知道之日起10日内，按程序向招标人招标活动的监督部门投诉。投诉应当有明确的请求和必要的证明材料。</w:t>
      </w:r>
    </w:p>
    <w:p>
      <w:pPr>
        <w:pStyle w:val="111"/>
        <w:spacing w:line="360" w:lineRule="auto"/>
        <w:ind w:left="420" w:firstLine="4" w:firstLineChars="2"/>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（一）投诉人和被投诉人的姓名或者名称、通讯地址、邮编、联系人及联系电话；</w:t>
      </w:r>
    </w:p>
    <w:p>
      <w:pPr>
        <w:pStyle w:val="111"/>
        <w:spacing w:line="360" w:lineRule="auto"/>
        <w:ind w:left="-142" w:firstLine="140" w:firstLineChars="64"/>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（二）异议和异议答复情况说明及相关证明材料；</w:t>
      </w:r>
    </w:p>
    <w:p>
      <w:pPr>
        <w:pStyle w:val="111"/>
        <w:spacing w:line="360" w:lineRule="auto"/>
        <w:ind w:left="-142" w:firstLine="140" w:firstLineChars="64"/>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（三）具体、明确的投诉事项和与投诉事项相关的投诉请求；</w:t>
      </w:r>
    </w:p>
    <w:p>
      <w:pPr>
        <w:pStyle w:val="111"/>
        <w:spacing w:line="360" w:lineRule="auto"/>
        <w:ind w:left="-142" w:firstLine="140" w:firstLineChars="64"/>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（四）事实依据；</w:t>
      </w:r>
    </w:p>
    <w:p>
      <w:pPr>
        <w:pStyle w:val="111"/>
        <w:spacing w:line="360" w:lineRule="auto"/>
        <w:ind w:left="-142" w:firstLine="140" w:firstLineChars="64"/>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（五）法律依据；</w:t>
      </w:r>
    </w:p>
    <w:p>
      <w:pPr>
        <w:pStyle w:val="111"/>
        <w:spacing w:line="360" w:lineRule="auto"/>
        <w:ind w:left="-142" w:firstLine="140" w:firstLineChars="64"/>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（六）提起投诉的日期。</w:t>
      </w:r>
    </w:p>
    <w:p>
      <w:pPr>
        <w:pStyle w:val="111"/>
        <w:spacing w:line="360" w:lineRule="auto"/>
        <w:ind w:left="420" w:firstLine="4" w:firstLineChars="2"/>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xml:space="preserve">      投诉人为法人或者其他组织的，应当由法定代表人、主要负责人，或者其授权代表签字或者盖章，并加盖公章。投诉人投诉的事项不得超出已异议事项的范围，但基于异议答复内容提出的投诉事项除外。</w:t>
      </w:r>
    </w:p>
    <w:p>
      <w:pPr>
        <w:snapToGrid w:val="0"/>
        <w:spacing w:line="360" w:lineRule="auto"/>
        <w:ind w:left="525" w:leftChars="250"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投诉部门：东莞市交通投资集团有限公司纪检监察部，联系人：罗先生，联系电话：0769-22083256 。</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15" w:name="_Toc61529843"/>
      <w:bookmarkStart w:id="116" w:name="_Hlk3198297"/>
      <w:r>
        <w:rPr>
          <w:rFonts w:hint="eastAsia" w:ascii="宋体" w:hAnsi="宋体" w:eastAsia="宋体" w:cs="宋体"/>
          <w:b/>
          <w:bCs/>
          <w:color w:val="auto"/>
          <w:sz w:val="22"/>
          <w:szCs w:val="22"/>
          <w:highlight w:val="none"/>
        </w:rPr>
        <w:t>真实性审查</w:t>
      </w:r>
      <w:bookmarkEnd w:id="115"/>
    </w:p>
    <w:bookmarkEnd w:id="116"/>
    <w:p>
      <w:pPr>
        <w:pStyle w:val="111"/>
        <w:numPr>
          <w:ilvl w:val="0"/>
          <w:numId w:val="42"/>
        </w:numPr>
        <w:spacing w:after="60"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1"/>
        <w:numPr>
          <w:ilvl w:val="0"/>
          <w:numId w:val="42"/>
        </w:numPr>
        <w:spacing w:after="60" w:line="360" w:lineRule="auto"/>
        <w:ind w:left="567" w:hanging="567" w:firstLineChars="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投标人在招标人（或其委托的招标代理机构）、或评标委员会通知其提供上述证明资料原件进行核查的要求后，未能在约定的时间内提供原件进行核查的，视为投标人无法提供真实的资料， 招标人有权按照评标委员会提出的中标候选人名单排序依次确定其他中标候选人为中标人或重新招标。</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17" w:name="_Toc61529844"/>
      <w:bookmarkStart w:id="118" w:name="_Toc441844087"/>
      <w:r>
        <w:rPr>
          <w:rFonts w:hint="eastAsia" w:ascii="宋体" w:hAnsi="宋体" w:eastAsia="宋体" w:cs="宋体"/>
          <w:b/>
          <w:bCs/>
          <w:color w:val="auto"/>
          <w:sz w:val="22"/>
          <w:szCs w:val="22"/>
          <w:highlight w:val="none"/>
        </w:rPr>
        <w:t>中标通知书</w:t>
      </w:r>
      <w:bookmarkEnd w:id="117"/>
      <w:bookmarkEnd w:id="118"/>
    </w:p>
    <w:p>
      <w:pPr>
        <w:pStyle w:val="111"/>
        <w:numPr>
          <w:ilvl w:val="0"/>
          <w:numId w:val="43"/>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中标人确定后，招标代理机构将向中标人发出中标通知书。</w:t>
      </w:r>
    </w:p>
    <w:p>
      <w:pPr>
        <w:pStyle w:val="111"/>
        <w:numPr>
          <w:ilvl w:val="0"/>
          <w:numId w:val="43"/>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中标通知书是合同的一个组成部分。对招标人和中标人具有法律效力。中标通知书发出后，招标人改变中标结果的，或者中标人放弃中标项目的，应当依法承担法律责任。</w:t>
      </w:r>
    </w:p>
    <w:p>
      <w:pPr>
        <w:pStyle w:val="5"/>
        <w:tabs>
          <w:tab w:val="left" w:pos="142"/>
          <w:tab w:val="clear" w:pos="1440"/>
        </w:tabs>
        <w:ind w:left="0" w:firstLine="0"/>
        <w:rPr>
          <w:rFonts w:hint="eastAsia" w:ascii="宋体" w:hAnsi="宋体" w:eastAsia="宋体" w:cs="宋体"/>
          <w:color w:val="auto"/>
          <w:sz w:val="22"/>
          <w:szCs w:val="22"/>
          <w:highlight w:val="none"/>
          <w:lang w:val="zh-CN"/>
        </w:rPr>
      </w:pPr>
      <w:bookmarkStart w:id="119" w:name="_Toc61529845"/>
      <w:bookmarkStart w:id="120" w:name="_Toc427232330"/>
      <w:bookmarkStart w:id="121" w:name="_Toc441844088"/>
      <w:r>
        <w:rPr>
          <w:rFonts w:hint="eastAsia" w:ascii="宋体" w:hAnsi="宋体" w:eastAsia="宋体" w:cs="宋体"/>
          <w:color w:val="auto"/>
          <w:sz w:val="22"/>
          <w:szCs w:val="22"/>
          <w:highlight w:val="none"/>
          <w:lang w:val="zh-CN"/>
        </w:rPr>
        <w:t>（六）合同的授予</w:t>
      </w:r>
      <w:bookmarkEnd w:id="119"/>
      <w:bookmarkEnd w:id="120"/>
      <w:bookmarkEnd w:id="121"/>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22" w:name="_Toc441844089"/>
      <w:bookmarkStart w:id="123" w:name="_Toc427232331"/>
      <w:bookmarkStart w:id="124" w:name="_Toc61529846"/>
      <w:r>
        <w:rPr>
          <w:rFonts w:hint="eastAsia" w:ascii="宋体" w:hAnsi="宋体" w:eastAsia="宋体" w:cs="宋体"/>
          <w:b/>
          <w:bCs/>
          <w:color w:val="auto"/>
          <w:sz w:val="22"/>
          <w:szCs w:val="22"/>
          <w:highlight w:val="none"/>
        </w:rPr>
        <w:t>合同授予标准</w:t>
      </w:r>
      <w:bookmarkEnd w:id="122"/>
      <w:bookmarkEnd w:id="123"/>
      <w:bookmarkEnd w:id="124"/>
    </w:p>
    <w:p>
      <w:pPr>
        <w:pStyle w:val="67"/>
        <w:numPr>
          <w:ilvl w:val="0"/>
          <w:numId w:val="44"/>
        </w:numPr>
        <w:tabs>
          <w:tab w:val="left" w:pos="709"/>
        </w:tabs>
        <w:spacing w:line="360" w:lineRule="auto"/>
        <w:ind w:firstLineChars="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招标人按评标委员会得出的评标结果，在评标委员会推荐的中标候选人依法确定中标人，并将合同授予之。</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25" w:name="_Toc61529847"/>
      <w:bookmarkStart w:id="126" w:name="_Toc441844090"/>
      <w:bookmarkStart w:id="127" w:name="_Toc321917131"/>
      <w:bookmarkStart w:id="128" w:name="_Toc427232334"/>
      <w:bookmarkStart w:id="129" w:name="_Toc326689490"/>
      <w:bookmarkStart w:id="130" w:name="_Toc321994755"/>
      <w:bookmarkStart w:id="131" w:name="_Toc395863102"/>
      <w:bookmarkStart w:id="132" w:name="_Toc401738073"/>
      <w:bookmarkStart w:id="133" w:name="_Toc326689400"/>
      <w:r>
        <w:rPr>
          <w:rFonts w:hint="eastAsia" w:ascii="宋体" w:hAnsi="宋体" w:eastAsia="宋体" w:cs="宋体"/>
          <w:b/>
          <w:bCs/>
          <w:color w:val="auto"/>
          <w:sz w:val="22"/>
          <w:szCs w:val="22"/>
          <w:highlight w:val="none"/>
        </w:rPr>
        <w:t>接受和拒绝任何或所有投标的权利</w:t>
      </w:r>
      <w:bookmarkEnd w:id="125"/>
      <w:bookmarkEnd w:id="126"/>
    </w:p>
    <w:p>
      <w:pPr>
        <w:pStyle w:val="67"/>
        <w:numPr>
          <w:ilvl w:val="0"/>
          <w:numId w:val="45"/>
        </w:numPr>
        <w:spacing w:line="360" w:lineRule="auto"/>
        <w:ind w:left="567" w:hanging="567" w:firstLineChars="0"/>
        <w:rPr>
          <w:rFonts w:hint="eastAsia" w:ascii="宋体" w:hAnsi="宋体" w:eastAsia="宋体" w:cs="宋体"/>
          <w:color w:val="auto"/>
          <w:kern w:val="0"/>
          <w:sz w:val="22"/>
          <w:szCs w:val="22"/>
          <w:highlight w:val="none"/>
          <w:lang w:val="zh-CN"/>
        </w:rPr>
      </w:pPr>
      <w:bookmarkStart w:id="134" w:name="_Toc326689489"/>
      <w:bookmarkStart w:id="135" w:name="_Toc427232333"/>
      <w:bookmarkStart w:id="136" w:name="_Toc321917130"/>
      <w:bookmarkStart w:id="137" w:name="_Toc395863101"/>
      <w:bookmarkStart w:id="138" w:name="_Toc401738072"/>
      <w:bookmarkStart w:id="139" w:name="_Toc326689399"/>
      <w:bookmarkStart w:id="140" w:name="_Toc321994754"/>
      <w:bookmarkStart w:id="141" w:name="_Toc441844091"/>
      <w:r>
        <w:rPr>
          <w:rFonts w:hint="eastAsia" w:ascii="宋体" w:hAnsi="宋体" w:eastAsia="宋体" w:cs="宋体"/>
          <w:color w:val="auto"/>
          <w:kern w:val="0"/>
          <w:sz w:val="22"/>
          <w:szCs w:val="22"/>
          <w:highlight w:val="none"/>
          <w:lang w:val="zh-CN"/>
        </w:rPr>
        <w:t>招标人在确定中标人之前，有权依据评标委员</w:t>
      </w:r>
      <w:bookmarkEnd w:id="134"/>
      <w:bookmarkEnd w:id="135"/>
      <w:bookmarkEnd w:id="136"/>
      <w:bookmarkEnd w:id="137"/>
      <w:bookmarkEnd w:id="138"/>
      <w:bookmarkEnd w:id="139"/>
      <w:bookmarkEnd w:id="140"/>
      <w:r>
        <w:rPr>
          <w:rFonts w:hint="eastAsia" w:ascii="宋体" w:hAnsi="宋体" w:eastAsia="宋体" w:cs="宋体"/>
          <w:color w:val="auto"/>
          <w:kern w:val="0"/>
          <w:sz w:val="22"/>
          <w:szCs w:val="22"/>
          <w:highlight w:val="none"/>
          <w:lang w:val="zh-CN"/>
        </w:rPr>
        <w:t>会的评标报告拒绝不合格的投标。</w:t>
      </w:r>
      <w:bookmarkEnd w:id="141"/>
    </w:p>
    <w:p>
      <w:pPr>
        <w:pStyle w:val="67"/>
        <w:numPr>
          <w:ilvl w:val="0"/>
          <w:numId w:val="45"/>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招标代理机构和招标人保留在授标之前任何时候接受或拒绝任何投标，以及宣布招标程序无效或拒绝所有投标的权利，对受影响的投标人不承担任何责任。</w:t>
      </w:r>
      <w:bookmarkEnd w:id="127"/>
      <w:bookmarkEnd w:id="128"/>
      <w:bookmarkEnd w:id="129"/>
      <w:bookmarkEnd w:id="130"/>
      <w:bookmarkEnd w:id="131"/>
      <w:bookmarkEnd w:id="132"/>
      <w:bookmarkEnd w:id="133"/>
    </w:p>
    <w:p>
      <w:pPr>
        <w:pStyle w:val="67"/>
        <w:numPr>
          <w:ilvl w:val="0"/>
          <w:numId w:val="45"/>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42" w:name="_Toc441844092"/>
      <w:bookmarkStart w:id="143" w:name="_Toc427232335"/>
      <w:bookmarkStart w:id="144" w:name="_Toc61529848"/>
      <w:r>
        <w:rPr>
          <w:rFonts w:hint="eastAsia" w:ascii="宋体" w:hAnsi="宋体" w:eastAsia="宋体" w:cs="宋体"/>
          <w:b/>
          <w:bCs/>
          <w:color w:val="auto"/>
          <w:sz w:val="22"/>
          <w:szCs w:val="22"/>
          <w:highlight w:val="none"/>
        </w:rPr>
        <w:t>授标时更改采购数量的权利</w:t>
      </w:r>
      <w:bookmarkEnd w:id="142"/>
      <w:bookmarkEnd w:id="143"/>
      <w:bookmarkEnd w:id="144"/>
    </w:p>
    <w:p>
      <w:pPr>
        <w:spacing w:after="60" w:line="360" w:lineRule="auto"/>
        <w:ind w:left="422" w:leftChars="199" w:hanging="4" w:hangingChars="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招标人在授予合同时有权在（数量增减变更：中标价的±10%）幅度内对“用户需求书”中规定的货物或服物范围予以增加或减少，但不得对单价或其它的条款和条件做任何改变。</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45" w:name="_Toc427232337"/>
      <w:bookmarkStart w:id="146" w:name="_Toc441844093"/>
      <w:bookmarkStart w:id="147" w:name="_Toc61529849"/>
      <w:r>
        <w:rPr>
          <w:rFonts w:hint="eastAsia" w:ascii="宋体" w:hAnsi="宋体" w:eastAsia="宋体" w:cs="宋体"/>
          <w:b/>
          <w:bCs/>
          <w:color w:val="auto"/>
          <w:sz w:val="22"/>
          <w:szCs w:val="22"/>
          <w:highlight w:val="none"/>
        </w:rPr>
        <w:t>履约</w:t>
      </w:r>
      <w:bookmarkEnd w:id="145"/>
      <w:bookmarkEnd w:id="146"/>
      <w:r>
        <w:rPr>
          <w:rFonts w:hint="eastAsia" w:ascii="宋体" w:hAnsi="宋体" w:eastAsia="宋体" w:cs="宋体"/>
          <w:b/>
          <w:bCs/>
          <w:color w:val="auto"/>
          <w:sz w:val="22"/>
          <w:szCs w:val="22"/>
          <w:highlight w:val="none"/>
        </w:rPr>
        <w:t>担保</w:t>
      </w:r>
      <w:bookmarkEnd w:id="147"/>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本项目不收取</w:t>
      </w:r>
      <w:r>
        <w:rPr>
          <w:rFonts w:hint="eastAsia" w:ascii="宋体" w:hAnsi="宋体" w:cs="宋体"/>
          <w:b/>
          <w:bCs/>
          <w:color w:val="auto"/>
          <w:sz w:val="22"/>
          <w:szCs w:val="22"/>
          <w:highlight w:val="none"/>
          <w:lang w:eastAsia="zh-CN"/>
        </w:rPr>
        <w:t>）</w:t>
      </w:r>
    </w:p>
    <w:p>
      <w:pPr>
        <w:pStyle w:val="111"/>
        <w:numPr>
          <w:ilvl w:val="0"/>
          <w:numId w:val="46"/>
        </w:numPr>
        <w:spacing w:line="360" w:lineRule="auto"/>
        <w:ind w:left="567" w:hanging="563"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中标的投标人必须在发出通知后的十个日历日内交纳履约担保，其提交履约担保金额</w:t>
      </w:r>
      <w:r>
        <w:rPr>
          <w:rFonts w:hint="eastAsia" w:ascii="宋体" w:hAnsi="宋体" w:eastAsia="宋体" w:cs="宋体"/>
          <w:b/>
          <w:color w:val="auto"/>
          <w:sz w:val="22"/>
          <w:szCs w:val="22"/>
          <w:highlight w:val="none"/>
          <w:u w:val="single"/>
        </w:rPr>
        <w:t>详见《投标人须知前附表》</w:t>
      </w:r>
      <w:r>
        <w:rPr>
          <w:rFonts w:hint="eastAsia" w:ascii="宋体" w:hAnsi="宋体" w:eastAsia="宋体" w:cs="宋体"/>
          <w:color w:val="auto"/>
          <w:sz w:val="22"/>
          <w:szCs w:val="22"/>
          <w:highlight w:val="none"/>
        </w:rPr>
        <w:t>。</w:t>
      </w:r>
    </w:p>
    <w:p>
      <w:pPr>
        <w:pStyle w:val="111"/>
        <w:numPr>
          <w:ilvl w:val="0"/>
          <w:numId w:val="46"/>
        </w:numPr>
        <w:spacing w:line="360" w:lineRule="auto"/>
        <w:ind w:left="567" w:hanging="563"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履约担保可以采用下列任何一种形式：</w:t>
      </w:r>
    </w:p>
    <w:p>
      <w:pPr>
        <w:pStyle w:val="111"/>
        <w:numPr>
          <w:ilvl w:val="0"/>
          <w:numId w:val="47"/>
        </w:numPr>
        <w:spacing w:line="360" w:lineRule="auto"/>
        <w:ind w:left="709" w:hanging="709"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28天内保持有效。如果中标人提交的银行保函的有效期届满时间先于招标文件、合同文件要求的，中标人应在原提交的银行保函有效期届满前15天内，无条件办理银行保函延期手续，否则视为中标人违约，招标人可在银行保函到期前将银行保函金额转为现金存入履约保证金专户（格式详见附件投标须知附件一）。</w:t>
      </w:r>
    </w:p>
    <w:p>
      <w:pPr>
        <w:pStyle w:val="111"/>
        <w:numPr>
          <w:ilvl w:val="0"/>
          <w:numId w:val="47"/>
        </w:numPr>
        <w:spacing w:line="360" w:lineRule="auto"/>
        <w:ind w:left="709" w:hanging="709"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可采用电汇、银行转帐方式提交，但不可以采用现金方式提交。中标人必须保证资金以中标人的名称在合同约定的日期前到帐（以银行收到为准）。保证金汇入履约保证金专用账户详见《投标人须知前附表》。</w:t>
      </w:r>
    </w:p>
    <w:p>
      <w:pPr>
        <w:pStyle w:val="111"/>
        <w:numPr>
          <w:ilvl w:val="0"/>
          <w:numId w:val="46"/>
        </w:numPr>
        <w:spacing w:line="360" w:lineRule="auto"/>
        <w:ind w:left="567" w:hanging="563"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中标人未按规定时间提交履约担保所造成的后果由中标人承担，同时招标人保留取消其中标资格的权力。</w:t>
      </w:r>
    </w:p>
    <w:p>
      <w:pPr>
        <w:pStyle w:val="111"/>
        <w:numPr>
          <w:ilvl w:val="0"/>
          <w:numId w:val="46"/>
        </w:numPr>
        <w:spacing w:line="360" w:lineRule="auto"/>
        <w:ind w:left="567" w:hanging="563"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履约担保的退还条件：</w:t>
      </w:r>
    </w:p>
    <w:p>
      <w:pPr>
        <w:spacing w:line="360" w:lineRule="auto"/>
        <w:ind w:left="657" w:leftChars="31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中标人在依法履行完毕采购合同后，中标人可向招标人提交退回履约担保的申请，招标人收到中标人的退回履约担保申请后，3个工作日内予以答复，并在申请书上加具意见和办理履约担保退回手续。</w:t>
      </w:r>
    </w:p>
    <w:p>
      <w:pPr>
        <w:pStyle w:val="111"/>
        <w:numPr>
          <w:ilvl w:val="0"/>
          <w:numId w:val="46"/>
        </w:numPr>
        <w:spacing w:line="360" w:lineRule="auto"/>
        <w:ind w:left="567" w:hanging="563"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下列情况履约担保将会被没收：</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（1）中标人将中标项目转让给他人，或者在投标文件中未说明，且未经招标人同意将中标项目分包给他人的；</w:t>
      </w:r>
    </w:p>
    <w:p>
      <w:pPr>
        <w:spacing w:line="360" w:lineRule="auto"/>
        <w:ind w:left="1075" w:leftChars="250" w:hanging="550" w:hanging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（2）中标人在履行合同期间，违反相关法律法规的规定及合同约定条款，损害了招标人利益的。</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48" w:name="_Toc61529850"/>
      <w:bookmarkStart w:id="149" w:name="_Toc441844094"/>
      <w:bookmarkStart w:id="150" w:name="_Toc427232338"/>
      <w:r>
        <w:rPr>
          <w:rFonts w:hint="eastAsia" w:ascii="宋体" w:hAnsi="宋体" w:eastAsia="宋体" w:cs="宋体"/>
          <w:b/>
          <w:bCs/>
          <w:color w:val="auto"/>
          <w:sz w:val="22"/>
          <w:szCs w:val="22"/>
          <w:highlight w:val="none"/>
        </w:rPr>
        <w:t>合同协议书的签订</w:t>
      </w:r>
      <w:bookmarkEnd w:id="148"/>
      <w:bookmarkEnd w:id="149"/>
      <w:bookmarkEnd w:id="150"/>
    </w:p>
    <w:p>
      <w:pPr>
        <w:pStyle w:val="67"/>
        <w:numPr>
          <w:ilvl w:val="0"/>
          <w:numId w:val="48"/>
        </w:numPr>
        <w:spacing w:line="360" w:lineRule="auto"/>
        <w:ind w:left="567" w:hanging="567" w:firstLineChars="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向招标代理机构提交一份合同副本。</w:t>
      </w:r>
    </w:p>
    <w:p>
      <w:pPr>
        <w:pStyle w:val="67"/>
        <w:numPr>
          <w:ilvl w:val="0"/>
          <w:numId w:val="4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“招标文件”、中标人的“投标文件”及其澄清文件等，均为签订经济合同的依据。</w:t>
      </w:r>
    </w:p>
    <w:p>
      <w:pPr>
        <w:pStyle w:val="67"/>
        <w:numPr>
          <w:ilvl w:val="0"/>
          <w:numId w:val="48"/>
        </w:numPr>
        <w:spacing w:line="360" w:lineRule="auto"/>
        <w:ind w:left="567" w:hanging="56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中标人如不按本投标须知第32.1款的规定与招标人订立合同，则招标人将废除授标，履约担保不予退还，给招标人造成的损失超过履约担保数额的，还应当对超过部分予以赔偿，同时依法承担相应法律责任。</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51" w:name="_Toc427232339"/>
      <w:bookmarkStart w:id="152" w:name="_Toc61529851"/>
      <w:bookmarkStart w:id="153" w:name="_Toc441844095"/>
      <w:r>
        <w:rPr>
          <w:rFonts w:hint="eastAsia" w:ascii="宋体" w:hAnsi="宋体" w:eastAsia="宋体" w:cs="宋体"/>
          <w:b/>
          <w:bCs/>
          <w:color w:val="auto"/>
          <w:sz w:val="22"/>
          <w:szCs w:val="22"/>
          <w:highlight w:val="none"/>
        </w:rPr>
        <w:t>其他</w:t>
      </w:r>
      <w:bookmarkEnd w:id="151"/>
      <w:bookmarkEnd w:id="152"/>
      <w:bookmarkEnd w:id="153"/>
    </w:p>
    <w:p>
      <w:pPr>
        <w:pStyle w:val="67"/>
        <w:numPr>
          <w:ilvl w:val="0"/>
          <w:numId w:val="49"/>
        </w:numPr>
        <w:spacing w:line="360" w:lineRule="auto"/>
        <w:ind w:left="567" w:hanging="567" w:firstLineChars="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如投标人提供虚假材料谋取中标的，或者采取不正当手段诋毁、排挤其他投标人的，以及与其他的投标人恶意串通的，我公司将严肃处理，并保留追究其责任的权利。</w:t>
      </w:r>
    </w:p>
    <w:p>
      <w:pPr>
        <w:pStyle w:val="66"/>
        <w:numPr>
          <w:ilvl w:val="0"/>
          <w:numId w:val="4"/>
        </w:numPr>
        <w:spacing w:line="360" w:lineRule="auto"/>
        <w:ind w:left="0" w:firstLine="0" w:firstLineChars="0"/>
        <w:outlineLvl w:val="2"/>
        <w:rPr>
          <w:rFonts w:hint="eastAsia" w:ascii="宋体" w:hAnsi="宋体" w:eastAsia="宋体" w:cs="宋体"/>
          <w:b/>
          <w:bCs/>
          <w:color w:val="auto"/>
          <w:sz w:val="22"/>
          <w:szCs w:val="22"/>
          <w:highlight w:val="none"/>
        </w:rPr>
      </w:pPr>
      <w:bookmarkStart w:id="154" w:name="_Toc427232340"/>
      <w:bookmarkStart w:id="155" w:name="_Toc441844096"/>
      <w:bookmarkStart w:id="156" w:name="_Toc61529852"/>
      <w:r>
        <w:rPr>
          <w:rFonts w:hint="eastAsia" w:ascii="宋体" w:hAnsi="宋体" w:eastAsia="宋体" w:cs="宋体"/>
          <w:b/>
          <w:bCs/>
          <w:color w:val="auto"/>
          <w:sz w:val="22"/>
          <w:szCs w:val="22"/>
          <w:highlight w:val="none"/>
        </w:rPr>
        <w:t>招标文件的解释权</w:t>
      </w:r>
      <w:bookmarkEnd w:id="154"/>
      <w:bookmarkEnd w:id="155"/>
      <w:bookmarkEnd w:id="156"/>
    </w:p>
    <w:p>
      <w:pPr>
        <w:pStyle w:val="67"/>
        <w:spacing w:line="360" w:lineRule="auto"/>
        <w:ind w:firstLine="0" w:firstLineChars="0"/>
        <w:rPr>
          <w:rFonts w:asciiTheme="minorEastAsia" w:hAnsiTheme="minorEastAsia" w:eastAsiaTheme="minorEastAsia"/>
          <w:color w:val="auto"/>
          <w:kern w:val="0"/>
          <w:sz w:val="21"/>
          <w:szCs w:val="21"/>
          <w:highlight w:val="none"/>
          <w:lang w:val="zh-CN"/>
        </w:rPr>
      </w:pPr>
      <w:r>
        <w:rPr>
          <w:rFonts w:hint="eastAsia" w:ascii="宋体" w:hAnsi="宋体" w:eastAsia="宋体" w:cs="宋体"/>
          <w:color w:val="auto"/>
          <w:kern w:val="0"/>
          <w:sz w:val="22"/>
          <w:szCs w:val="22"/>
          <w:highlight w:val="none"/>
          <w:lang w:val="zh-CN"/>
        </w:rPr>
        <w:t>38.1本招标文件的解释权属招标人和招标代理机构。</w:t>
      </w:r>
    </w:p>
    <w:p>
      <w:pPr>
        <w:widowControl/>
        <w:jc w:val="left"/>
        <w:rPr>
          <w:rFonts w:asciiTheme="minorEastAsia" w:hAnsiTheme="minorEastAsia" w:eastAsiaTheme="minorEastAsia"/>
          <w:color w:val="auto"/>
          <w:kern w:val="0"/>
          <w:szCs w:val="21"/>
          <w:highlight w:val="none"/>
          <w:lang w:val="zh-CN"/>
        </w:rPr>
      </w:pPr>
      <w:r>
        <w:rPr>
          <w:rFonts w:asciiTheme="minorEastAsia" w:hAnsiTheme="minorEastAsia" w:eastAsiaTheme="minorEastAsia"/>
          <w:color w:val="auto"/>
          <w:kern w:val="0"/>
          <w:szCs w:val="21"/>
          <w:highlight w:val="none"/>
          <w:lang w:val="zh-CN"/>
        </w:rPr>
        <w:br w:type="page"/>
      </w:r>
    </w:p>
    <w:p>
      <w:pPr>
        <w:pStyle w:val="5"/>
        <w:spacing w:line="360" w:lineRule="auto"/>
        <w:ind w:left="0" w:firstLine="0"/>
        <w:jc w:val="left"/>
        <w:rPr>
          <w:rFonts w:ascii="Times New Roman" w:hAnsi="Times New Roman" w:eastAsiaTheme="minorEastAsia"/>
          <w:bCs/>
          <w:color w:val="auto"/>
          <w:kern w:val="44"/>
          <w:highlight w:val="none"/>
          <w:lang w:val="zh-CN"/>
        </w:rPr>
      </w:pPr>
      <w:bookmarkStart w:id="157" w:name="_Toc61529853"/>
      <w:bookmarkStart w:id="158" w:name="_Toc5131387"/>
      <w:r>
        <w:rPr>
          <w:rFonts w:hint="eastAsia" w:ascii="Times New Roman" w:hAnsi="Times New Roman" w:eastAsiaTheme="minorEastAsia"/>
          <w:bCs/>
          <w:color w:val="auto"/>
          <w:kern w:val="44"/>
          <w:highlight w:val="none"/>
          <w:lang w:val="zh-CN"/>
        </w:rPr>
        <w:t>附件一 投标担保函格式</w:t>
      </w:r>
      <w:bookmarkEnd w:id="157"/>
      <w:bookmarkEnd w:id="158"/>
    </w:p>
    <w:p>
      <w:pPr>
        <w:spacing w:before="312" w:beforeLines="100" w:after="312" w:afterLines="100" w:line="360" w:lineRule="auto"/>
        <w:jc w:val="center"/>
        <w:rPr>
          <w:rFonts w:ascii="宋体" w:hAnsi="宋体"/>
          <w:b/>
          <w:color w:val="auto"/>
          <w:spacing w:val="20"/>
          <w:sz w:val="22"/>
          <w:szCs w:val="22"/>
          <w:highlight w:val="none"/>
        </w:rPr>
      </w:pPr>
      <w:r>
        <w:rPr>
          <w:rFonts w:hint="eastAsia" w:ascii="宋体" w:hAnsi="宋体"/>
          <w:b/>
          <w:color w:val="auto"/>
          <w:spacing w:val="20"/>
          <w:sz w:val="22"/>
          <w:szCs w:val="22"/>
          <w:highlight w:val="none"/>
        </w:rPr>
        <w:t>投标担保函</w:t>
      </w:r>
    </w:p>
    <w:p>
      <w:pPr>
        <w:spacing w:line="360" w:lineRule="auto"/>
        <w:ind w:firstLine="6560" w:firstLineChars="2970"/>
        <w:rPr>
          <w:rFonts w:ascii="宋体" w:hAnsi="宋体"/>
          <w:b/>
          <w:color w:val="auto"/>
          <w:sz w:val="22"/>
          <w:szCs w:val="22"/>
          <w:highlight w:val="none"/>
        </w:rPr>
      </w:pPr>
      <w:r>
        <w:rPr>
          <w:rFonts w:hint="eastAsia" w:ascii="宋体" w:hAnsi="宋体"/>
          <w:b/>
          <w:color w:val="auto"/>
          <w:sz w:val="22"/>
          <w:szCs w:val="22"/>
          <w:highlight w:val="none"/>
        </w:rPr>
        <w:t>编号：</w:t>
      </w:r>
    </w:p>
    <w:p>
      <w:pPr>
        <w:spacing w:line="360" w:lineRule="auto"/>
        <w:rPr>
          <w:rFonts w:ascii="宋体" w:hAnsi="宋体"/>
          <w:color w:val="auto"/>
          <w:sz w:val="22"/>
          <w:szCs w:val="22"/>
          <w:highlight w:val="none"/>
          <w:u w:val="single"/>
        </w:rPr>
      </w:pP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(招标人或招标代理机构)：</w:t>
      </w:r>
    </w:p>
    <w:p>
      <w:pPr>
        <w:spacing w:line="360" w:lineRule="auto"/>
        <w:ind w:firstLine="440" w:firstLineChars="200"/>
        <w:rPr>
          <w:rFonts w:ascii="宋体" w:hAnsi="宋体"/>
          <w:color w:val="auto"/>
          <w:sz w:val="22"/>
          <w:szCs w:val="22"/>
          <w:highlight w:val="none"/>
          <w:u w:val="single"/>
        </w:rPr>
      </w:pPr>
      <w:r>
        <w:rPr>
          <w:rFonts w:hint="eastAsia" w:ascii="宋体" w:hAnsi="宋体"/>
          <w:color w:val="auto"/>
          <w:sz w:val="22"/>
          <w:szCs w:val="22"/>
          <w:highlight w:val="none"/>
        </w:rPr>
        <w:t>鉴于</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(以下筒称“投标人”)拟参加编号为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的</w:t>
      </w:r>
      <w:r>
        <w:rPr>
          <w:rFonts w:hint="eastAsia" w:ascii="宋体" w:hAnsi="宋体"/>
          <w:color w:val="auto"/>
          <w:sz w:val="22"/>
          <w:szCs w:val="22"/>
          <w:highlight w:val="none"/>
          <w:u w:val="single"/>
        </w:rPr>
        <w:t xml:space="preserve">      </w:t>
      </w:r>
    </w:p>
    <w:p>
      <w:pPr>
        <w:spacing w:line="360" w:lineRule="auto"/>
        <w:rPr>
          <w:rFonts w:ascii="宋体" w:hAnsi="宋体"/>
          <w:color w:val="auto"/>
          <w:sz w:val="22"/>
          <w:szCs w:val="22"/>
          <w:highlight w:val="none"/>
          <w:u w:val="single"/>
        </w:rPr>
      </w:pP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一、保证责任的情形及保证金额</w:t>
      </w:r>
    </w:p>
    <w:p>
      <w:pPr>
        <w:tabs>
          <w:tab w:val="left" w:pos="284"/>
        </w:tabs>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(一)在投标人出现下列情形之一时,，我方承担保证责任：</w:t>
      </w:r>
    </w:p>
    <w:p>
      <w:pPr>
        <w:tabs>
          <w:tab w:val="left" w:pos="284"/>
        </w:tabs>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1.中标后投标人无正当理由不与招标人或者招标代理机构签订《合同》；</w:t>
      </w:r>
    </w:p>
    <w:p>
      <w:pPr>
        <w:tabs>
          <w:tab w:val="left" w:pos="284"/>
        </w:tabs>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2.招标文件规定的投标人应当缴纳保证金的其他情形。</w:t>
      </w:r>
    </w:p>
    <w:p>
      <w:pPr>
        <w:tabs>
          <w:tab w:val="left" w:pos="284"/>
        </w:tabs>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(二)我方承担保证责任的最高金额为人民币</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元(大写：</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)；即本项目的投标保证金金额。</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二、保证的方式及保证期间</w:t>
      </w:r>
    </w:p>
    <w:p>
      <w:pPr>
        <w:tabs>
          <w:tab w:val="left" w:pos="142"/>
          <w:tab w:val="left" w:pos="284"/>
        </w:tabs>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我方保证的方式为：连带责任保证。</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我方的保证期间为：自本保函生效之日起</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个月止。</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三、承担保证责任的程序</w:t>
      </w:r>
    </w:p>
    <w:p>
      <w:pPr>
        <w:spacing w:line="360" w:lineRule="auto"/>
        <w:ind w:left="281" w:leftChars="134"/>
        <w:rPr>
          <w:rFonts w:ascii="宋体" w:hAnsi="宋体"/>
          <w:color w:val="auto"/>
          <w:sz w:val="22"/>
          <w:szCs w:val="22"/>
          <w:highlight w:val="none"/>
        </w:rPr>
      </w:pPr>
      <w:r>
        <w:rPr>
          <w:rFonts w:hint="eastAsia" w:ascii="宋体" w:hAnsi="宋体"/>
          <w:color w:val="auto"/>
          <w:sz w:val="22"/>
          <w:szCs w:val="22"/>
          <w:highlight w:val="none"/>
        </w:rPr>
        <w:t>1.你方要求我方承担保证责任的，应在本保函保证期间内向我方发出书面索赔通知,索赔通知应写明要求索赔的金额，支付款项应到达的账号。并附有证明投标入发生我方应承担保证责任情形的事实材料。</w:t>
      </w:r>
    </w:p>
    <w:p>
      <w:pPr>
        <w:spacing w:line="360" w:lineRule="auto"/>
        <w:ind w:left="281" w:leftChars="134"/>
        <w:rPr>
          <w:rFonts w:ascii="宋体" w:hAnsi="宋体"/>
          <w:color w:val="auto"/>
          <w:sz w:val="22"/>
          <w:szCs w:val="22"/>
          <w:highlight w:val="none"/>
        </w:rPr>
      </w:pPr>
      <w:r>
        <w:rPr>
          <w:rFonts w:hint="eastAsia" w:ascii="宋体" w:hAnsi="宋体"/>
          <w:color w:val="auto"/>
          <w:sz w:val="22"/>
          <w:szCs w:val="22"/>
          <w:highlight w:val="none"/>
        </w:rPr>
        <w:t>2.我方在收到索赔通知及相关证明材料后，在</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个工作日内进行审查，符合应承担保证责任情形的，我方应按照你方的要求代投标人向你方支付投标保证金。</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四、保证责任的终止</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1.保证期间届满你方未向我方书面主张保证责任的，自保证期间届满次日起，我方保证责任自动终止。</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2.我方按照本保函向你贵方履行了保证责任后，自我方向你贵方支付款项(支付款项从我方账户划出)之日起,保证责任终止。</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3.按照法律法规的规定或出现我方保证责任终止的其它情形的，我方在本保函项下的保证责任亦终止。</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五、免责条款</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1.依照法律规定或你方与投标人的另行约定，全部或者部分免除投标人投标保证金义务时，我方亦免除相应的保证责任。</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2.因你方原因致使投标入发生本保函第一条第（一）款约定情形的，我方不承担保证责任。</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3.因不可抗力造成投断人发生本保函第一条约定情形的，我方不承担保证责任。</w:t>
      </w:r>
    </w:p>
    <w:p>
      <w:pPr>
        <w:spacing w:line="360" w:lineRule="auto"/>
        <w:ind w:left="283" w:leftChars="135"/>
        <w:rPr>
          <w:rFonts w:ascii="宋体" w:hAnsi="宋体"/>
          <w:color w:val="auto"/>
          <w:sz w:val="22"/>
          <w:szCs w:val="22"/>
          <w:highlight w:val="none"/>
        </w:rPr>
      </w:pPr>
      <w:r>
        <w:rPr>
          <w:rFonts w:hint="eastAsia" w:ascii="宋体" w:hAnsi="宋体"/>
          <w:color w:val="auto"/>
          <w:sz w:val="22"/>
          <w:szCs w:val="22"/>
          <w:highlight w:val="none"/>
        </w:rPr>
        <w:t>4.你方或其他有权机关对招标文件进行任何澄清或修改，加重我方保证责任的，我方对加重部分不承担保证责任，但该澄清或修改经我方事先书面同意的除外。</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六、争议的解决</w:t>
      </w:r>
    </w:p>
    <w:p>
      <w:pPr>
        <w:spacing w:line="36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因本保函发生的纠纷，由你我双方协商解决，协商不成的，通过诉讼程序解决,诉讼管辖地法院为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法院。</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七、保函的生效</w:t>
      </w:r>
    </w:p>
    <w:p>
      <w:pPr>
        <w:spacing w:line="36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本保函自我方加盖公章之日起生效。</w:t>
      </w:r>
    </w:p>
    <w:p>
      <w:pPr>
        <w:spacing w:before="936" w:beforeLines="300" w:line="360" w:lineRule="auto"/>
        <w:jc w:val="right"/>
        <w:rPr>
          <w:rFonts w:ascii="宋体" w:hAnsi="宋体"/>
          <w:color w:val="auto"/>
          <w:sz w:val="22"/>
          <w:szCs w:val="22"/>
          <w:highlight w:val="none"/>
        </w:rPr>
      </w:pPr>
      <w:r>
        <w:rPr>
          <w:rFonts w:hint="eastAsia" w:ascii="宋体" w:hAnsi="宋体"/>
          <w:color w:val="auto"/>
          <w:sz w:val="22"/>
          <w:szCs w:val="22"/>
          <w:highlight w:val="none"/>
        </w:rPr>
        <w:t>保证人：(公章)</w:t>
      </w:r>
    </w:p>
    <w:p>
      <w:pPr>
        <w:spacing w:line="360" w:lineRule="auto"/>
        <w:jc w:val="right"/>
        <w:rPr>
          <w:rFonts w:ascii="宋体" w:hAnsi="宋体"/>
          <w:color w:val="auto"/>
          <w:sz w:val="22"/>
          <w:szCs w:val="22"/>
          <w:highlight w:val="none"/>
        </w:rPr>
      </w:pPr>
      <w:r>
        <w:rPr>
          <w:rFonts w:hint="eastAsia" w:ascii="宋体" w:hAnsi="宋体"/>
          <w:color w:val="auto"/>
          <w:sz w:val="22"/>
          <w:szCs w:val="22"/>
          <w:highlight w:val="none"/>
        </w:rPr>
        <w:t>年   月   日</w:t>
      </w:r>
    </w:p>
    <w:p>
      <w:pPr>
        <w:pStyle w:val="67"/>
        <w:spacing w:line="360" w:lineRule="auto"/>
        <w:ind w:firstLine="0" w:firstLineChars="0"/>
        <w:rPr>
          <w:rFonts w:asciiTheme="minorEastAsia" w:hAnsiTheme="minorEastAsia" w:eastAsiaTheme="minorEastAsia"/>
          <w:color w:val="auto"/>
          <w:kern w:val="0"/>
          <w:sz w:val="21"/>
          <w:szCs w:val="21"/>
          <w:highlight w:val="none"/>
          <w:lang w:val="zh-CN"/>
        </w:rPr>
      </w:pPr>
    </w:p>
    <w:p>
      <w:pPr>
        <w:widowControl/>
        <w:spacing w:line="360" w:lineRule="auto"/>
        <w:jc w:val="left"/>
        <w:rPr>
          <w:rFonts w:ascii="宋体" w:hAnsi="宋体"/>
          <w:color w:val="auto"/>
          <w:sz w:val="22"/>
          <w:szCs w:val="22"/>
          <w:highlight w:val="none"/>
        </w:rPr>
      </w:pPr>
      <w:r>
        <w:rPr>
          <w:rFonts w:ascii="宋体" w:hAnsi="宋体"/>
          <w:color w:val="auto"/>
          <w:sz w:val="22"/>
          <w:szCs w:val="22"/>
          <w:highlight w:val="none"/>
        </w:rPr>
        <w:br w:type="page"/>
      </w:r>
    </w:p>
    <w:p>
      <w:pPr>
        <w:pStyle w:val="5"/>
        <w:spacing w:line="360" w:lineRule="auto"/>
        <w:ind w:left="0" w:firstLine="0"/>
        <w:jc w:val="left"/>
        <w:rPr>
          <w:rFonts w:ascii="宋体" w:hAnsi="宋体" w:eastAsia="宋体"/>
          <w:bCs/>
          <w:color w:val="auto"/>
          <w:kern w:val="44"/>
          <w:highlight w:val="none"/>
          <w:lang w:val="zh-CN"/>
        </w:rPr>
      </w:pPr>
      <w:bookmarkStart w:id="159" w:name="_Toc61529854"/>
      <w:r>
        <w:rPr>
          <w:rFonts w:hint="eastAsia" w:ascii="宋体" w:hAnsi="宋体" w:eastAsia="宋体"/>
          <w:bCs/>
          <w:color w:val="auto"/>
          <w:kern w:val="44"/>
          <w:highlight w:val="none"/>
          <w:lang w:val="zh-CN"/>
        </w:rPr>
        <w:t>附件二</w:t>
      </w:r>
      <w:r>
        <w:rPr>
          <w:rFonts w:ascii="宋体" w:hAnsi="宋体" w:eastAsia="宋体"/>
          <w:bCs/>
          <w:color w:val="auto"/>
          <w:kern w:val="44"/>
          <w:highlight w:val="none"/>
          <w:lang w:val="zh-CN"/>
        </w:rPr>
        <w:t xml:space="preserve"> </w:t>
      </w:r>
      <w:r>
        <w:rPr>
          <w:rFonts w:hint="eastAsia" w:ascii="宋体" w:hAnsi="宋体" w:eastAsia="宋体"/>
          <w:bCs/>
          <w:color w:val="auto"/>
          <w:kern w:val="44"/>
          <w:highlight w:val="none"/>
          <w:lang w:val="zh-CN"/>
        </w:rPr>
        <w:t>不可撤销银行履约保函格式</w:t>
      </w:r>
      <w:bookmarkEnd w:id="159"/>
    </w:p>
    <w:p>
      <w:pPr>
        <w:spacing w:before="100" w:beforeAutospacing="1" w:after="100" w:afterAutospacing="1" w:line="360" w:lineRule="auto"/>
        <w:jc w:val="center"/>
        <w:rPr>
          <w:rFonts w:hAnsi="宋体"/>
          <w:b/>
          <w:bCs/>
          <w:color w:val="auto"/>
          <w:sz w:val="22"/>
          <w:szCs w:val="22"/>
          <w:highlight w:val="none"/>
        </w:rPr>
      </w:pPr>
      <w:r>
        <w:rPr>
          <w:rFonts w:hAnsi="宋体"/>
          <w:b/>
          <w:bCs/>
          <w:color w:val="auto"/>
          <w:sz w:val="22"/>
          <w:szCs w:val="22"/>
          <w:highlight w:val="none"/>
        </w:rPr>
        <w:t>不可撤销</w:t>
      </w:r>
      <w:r>
        <w:rPr>
          <w:rFonts w:hint="eastAsia" w:hAnsi="宋体"/>
          <w:b/>
          <w:bCs/>
          <w:color w:val="auto"/>
          <w:sz w:val="22"/>
          <w:szCs w:val="22"/>
          <w:highlight w:val="none"/>
        </w:rPr>
        <w:t>银行</w:t>
      </w:r>
      <w:r>
        <w:rPr>
          <w:rFonts w:hAnsi="宋体"/>
          <w:b/>
          <w:bCs/>
          <w:color w:val="auto"/>
          <w:sz w:val="22"/>
          <w:szCs w:val="22"/>
          <w:highlight w:val="none"/>
        </w:rPr>
        <w:t>履约保函</w:t>
      </w:r>
    </w:p>
    <w:p>
      <w:pPr>
        <w:spacing w:line="360" w:lineRule="auto"/>
        <w:ind w:firstLine="6300"/>
        <w:rPr>
          <w:rFonts w:hAnsi="宋体"/>
          <w:color w:val="auto"/>
          <w:sz w:val="22"/>
          <w:szCs w:val="22"/>
          <w:highlight w:val="none"/>
          <w:u w:val="single"/>
        </w:rPr>
      </w:pPr>
      <w:r>
        <w:rPr>
          <w:rFonts w:hAnsi="宋体"/>
          <w:color w:val="auto"/>
          <w:sz w:val="22"/>
          <w:szCs w:val="22"/>
          <w:highlight w:val="none"/>
        </w:rPr>
        <w:t>银行编号：</w:t>
      </w:r>
    </w:p>
    <w:p>
      <w:pPr>
        <w:widowControl/>
        <w:spacing w:line="360" w:lineRule="auto"/>
        <w:rPr>
          <w:rFonts w:hAnsi="宋体" w:cs="宋体"/>
          <w:color w:val="auto"/>
          <w:sz w:val="22"/>
          <w:szCs w:val="22"/>
          <w:highlight w:val="none"/>
        </w:rPr>
      </w:pPr>
      <w:r>
        <w:rPr>
          <w:rFonts w:hint="eastAsia" w:hAnsi="宋体" w:cs="宋体"/>
          <w:color w:val="auto"/>
          <w:sz w:val="22"/>
          <w:szCs w:val="22"/>
          <w:highlight w:val="none"/>
        </w:rPr>
        <w:t>致：</w:t>
      </w:r>
      <w:r>
        <w:rPr>
          <w:rFonts w:hAnsi="宋体" w:cs="宋体"/>
          <w:b/>
          <w:color w:val="auto"/>
          <w:sz w:val="22"/>
          <w:szCs w:val="22"/>
          <w:highlight w:val="none"/>
          <w:u w:val="single"/>
        </w:rPr>
        <w:t xml:space="preserve">                    </w:t>
      </w:r>
      <w:r>
        <w:rPr>
          <w:rFonts w:hint="eastAsia" w:hAnsi="宋体" w:cs="宋体"/>
          <w:color w:val="auto"/>
          <w:sz w:val="22"/>
          <w:szCs w:val="22"/>
          <w:highlight w:val="none"/>
        </w:rPr>
        <w:t>（下称“受益人”）</w:t>
      </w:r>
    </w:p>
    <w:p>
      <w:pPr>
        <w:widowControl/>
        <w:spacing w:line="360" w:lineRule="auto"/>
        <w:ind w:firstLine="594" w:firstLineChars="270"/>
        <w:rPr>
          <w:rFonts w:hAnsi="宋体" w:cs="宋体"/>
          <w:color w:val="auto"/>
          <w:sz w:val="22"/>
          <w:szCs w:val="22"/>
          <w:highlight w:val="none"/>
        </w:rPr>
      </w:pPr>
      <w:r>
        <w:rPr>
          <w:rFonts w:hint="eastAsia" w:hAnsi="宋体" w:cs="宋体"/>
          <w:color w:val="auto"/>
          <w:sz w:val="22"/>
          <w:szCs w:val="22"/>
          <w:highlight w:val="none"/>
        </w:rPr>
        <w:t>鉴于</w:t>
      </w:r>
      <w:r>
        <w:rPr>
          <w:rFonts w:hAnsi="宋体" w:cs="宋体"/>
          <w:color w:val="auto"/>
          <w:sz w:val="22"/>
          <w:szCs w:val="22"/>
          <w:highlight w:val="none"/>
          <w:u w:val="single"/>
        </w:rPr>
        <w:t xml:space="preserve">  （</w:t>
      </w:r>
      <w:r>
        <w:rPr>
          <w:rFonts w:hint="eastAsia" w:hAnsi="宋体" w:cs="宋体"/>
          <w:color w:val="auto"/>
          <w:sz w:val="22"/>
          <w:szCs w:val="22"/>
          <w:highlight w:val="none"/>
          <w:u w:val="single"/>
        </w:rPr>
        <w:t>申请人</w:t>
      </w:r>
      <w:r>
        <w:rPr>
          <w:rFonts w:hAnsi="宋体" w:cs="宋体"/>
          <w:color w:val="auto"/>
          <w:sz w:val="22"/>
          <w:szCs w:val="22"/>
          <w:highlight w:val="none"/>
          <w:u w:val="single"/>
        </w:rPr>
        <w:t xml:space="preserve">的名称与地址）  </w:t>
      </w:r>
      <w:r>
        <w:rPr>
          <w:rFonts w:hint="eastAsia" w:hAnsi="宋体" w:cs="宋体"/>
          <w:color w:val="auto"/>
          <w:sz w:val="22"/>
          <w:szCs w:val="22"/>
          <w:highlight w:val="none"/>
        </w:rPr>
        <w:t>（下称“申请人”），就拟签订的</w:t>
      </w:r>
      <w:r>
        <w:rPr>
          <w:rFonts w:hAnsi="宋体" w:cs="宋体"/>
          <w:color w:val="auto"/>
          <w:sz w:val="22"/>
          <w:szCs w:val="22"/>
          <w:highlight w:val="none"/>
          <w:u w:val="single"/>
        </w:rPr>
        <w:t xml:space="preserve"> 项目名称       （</w:t>
      </w:r>
      <w:r>
        <w:rPr>
          <w:rFonts w:hint="eastAsia" w:hAnsi="宋体" w:cs="宋体"/>
          <w:color w:val="auto"/>
          <w:sz w:val="22"/>
          <w:szCs w:val="22"/>
          <w:highlight w:val="none"/>
          <w:u w:val="single"/>
        </w:rPr>
        <w:t>项目</w:t>
      </w:r>
      <w:r>
        <w:rPr>
          <w:rFonts w:hAnsi="宋体" w:cs="宋体"/>
          <w:color w:val="auto"/>
          <w:sz w:val="22"/>
          <w:szCs w:val="22"/>
          <w:highlight w:val="none"/>
          <w:u w:val="single"/>
        </w:rPr>
        <w:t xml:space="preserve">编号：         </w:t>
      </w:r>
      <w:r>
        <w:rPr>
          <w:rFonts w:hint="eastAsia" w:hAnsi="宋体" w:cs="宋体"/>
          <w:color w:val="auto"/>
          <w:sz w:val="22"/>
          <w:szCs w:val="22"/>
          <w:highlight w:val="none"/>
          <w:u w:val="single"/>
        </w:rPr>
        <w:t xml:space="preserve">包号 </w:t>
      </w:r>
      <w:r>
        <w:rPr>
          <w:rFonts w:hAnsi="宋体" w:cs="宋体"/>
          <w:color w:val="auto"/>
          <w:sz w:val="22"/>
          <w:szCs w:val="22"/>
          <w:highlight w:val="none"/>
          <w:u w:val="single"/>
        </w:rPr>
        <w:t xml:space="preserve"> ）</w:t>
      </w:r>
      <w:r>
        <w:rPr>
          <w:rFonts w:hint="eastAsia" w:hAnsi="宋体" w:cs="宋体"/>
          <w:color w:val="auto"/>
          <w:sz w:val="22"/>
          <w:szCs w:val="22"/>
          <w:highlight w:val="none"/>
        </w:rPr>
        <w:t>合同（招标文件）中规定履行义务。</w:t>
      </w:r>
    </w:p>
    <w:p>
      <w:pPr>
        <w:widowControl/>
        <w:spacing w:line="360" w:lineRule="auto"/>
        <w:ind w:firstLine="594" w:firstLineChars="270"/>
        <w:rPr>
          <w:rFonts w:hAnsi="宋体" w:cs="宋体"/>
          <w:color w:val="auto"/>
          <w:sz w:val="22"/>
          <w:szCs w:val="22"/>
          <w:highlight w:val="none"/>
        </w:rPr>
      </w:pPr>
      <w:r>
        <w:rPr>
          <w:rFonts w:hint="eastAsia" w:hAnsi="宋体" w:cs="宋体"/>
          <w:color w:val="auto"/>
          <w:sz w:val="22"/>
          <w:szCs w:val="22"/>
          <w:highlight w:val="none"/>
        </w:rPr>
        <w:t>根据上述合同（招标文件）规定，申请人应向受益人提供一份金额为人民币（大写）</w:t>
      </w:r>
      <w:r>
        <w:rPr>
          <w:rFonts w:hAnsi="宋体" w:cs="宋体"/>
          <w:color w:val="auto"/>
          <w:sz w:val="22"/>
          <w:szCs w:val="22"/>
          <w:highlight w:val="none"/>
          <w:u w:val="single"/>
        </w:rPr>
        <w:t xml:space="preserve">      （</w:t>
      </w:r>
      <w:r>
        <w:rPr>
          <w:rFonts w:hint="eastAsia" w:hAnsi="宋体" w:cs="宋体"/>
          <w:color w:val="auto"/>
          <w:sz w:val="22"/>
          <w:szCs w:val="22"/>
          <w:highlight w:val="none"/>
          <w:u w:val="single"/>
        </w:rPr>
        <w:t>¥</w:t>
      </w:r>
      <w:r>
        <w:rPr>
          <w:rFonts w:hAnsi="宋体" w:cs="宋体"/>
          <w:color w:val="auto"/>
          <w:sz w:val="22"/>
          <w:szCs w:val="22"/>
          <w:highlight w:val="none"/>
          <w:u w:val="single"/>
        </w:rPr>
        <w:t xml:space="preserve">      元）</w:t>
      </w:r>
      <w:r>
        <w:rPr>
          <w:rFonts w:hint="eastAsia" w:hAnsi="宋体" w:cs="宋体"/>
          <w:color w:val="auto"/>
          <w:sz w:val="22"/>
          <w:szCs w:val="22"/>
          <w:highlight w:val="none"/>
        </w:rPr>
        <w:t>的无条件、不可撤销银行履约保函，作为申请人履行上述合同的担保。</w:t>
      </w:r>
    </w:p>
    <w:p>
      <w:pPr>
        <w:widowControl/>
        <w:spacing w:line="360" w:lineRule="auto"/>
        <w:ind w:firstLine="594" w:firstLineChars="270"/>
        <w:rPr>
          <w:rFonts w:hAnsi="宋体" w:cs="宋体"/>
          <w:color w:val="auto"/>
          <w:sz w:val="22"/>
          <w:szCs w:val="22"/>
          <w:highlight w:val="none"/>
        </w:rPr>
      </w:pPr>
      <w:r>
        <w:rPr>
          <w:rFonts w:hint="eastAsia" w:hAnsi="宋体" w:cs="宋体"/>
          <w:color w:val="auto"/>
          <w:sz w:val="22"/>
          <w:szCs w:val="22"/>
          <w:highlight w:val="none"/>
        </w:rPr>
        <w:t>我方</w:t>
      </w:r>
      <w:r>
        <w:rPr>
          <w:rFonts w:hAnsi="宋体" w:cs="宋体"/>
          <w:color w:val="auto"/>
          <w:sz w:val="22"/>
          <w:szCs w:val="22"/>
          <w:highlight w:val="none"/>
          <w:u w:val="single"/>
        </w:rPr>
        <w:t xml:space="preserve">     （银行名称）</w:t>
      </w:r>
      <w:r>
        <w:rPr>
          <w:rFonts w:hint="eastAsia" w:hAnsi="宋体" w:cs="宋体"/>
          <w:color w:val="auto"/>
          <w:sz w:val="22"/>
          <w:szCs w:val="22"/>
          <w:highlight w:val="none"/>
        </w:rPr>
        <w:t>，受申请人的委托，无条件和不可撤销地在受益人出具本保函原件且提出因申请人没有履行上述合同规定，而要求承担保证责任后，在保函限额内向受益人支付不超过人民币（大写）_________（¥_______元）的款项。在向我行提出要求前，我行将不坚持要求受益人首先向申请人提出上述款项的索赔。</w:t>
      </w:r>
    </w:p>
    <w:p>
      <w:pPr>
        <w:widowControl/>
        <w:spacing w:line="360" w:lineRule="auto"/>
        <w:ind w:firstLine="437"/>
        <w:rPr>
          <w:rFonts w:hAnsi="宋体" w:cs="宋体"/>
          <w:color w:val="auto"/>
          <w:sz w:val="22"/>
          <w:szCs w:val="22"/>
          <w:highlight w:val="none"/>
        </w:rPr>
      </w:pPr>
      <w:r>
        <w:rPr>
          <w:rFonts w:hint="eastAsia" w:hAnsi="宋体" w:cs="宋体"/>
          <w:color w:val="auto"/>
          <w:sz w:val="22"/>
          <w:szCs w:val="22"/>
          <w:highlight w:val="none"/>
        </w:rPr>
        <w:t>我方还同意，任何受益人与申请人之间可能对合同条款的修改、规范或其他合同文件的变动补充，都不能免除我方按本保函所承担的责任。因此，有关上述变动、补充和修改无须通知或征得我方同意。</w:t>
      </w:r>
    </w:p>
    <w:p>
      <w:pPr>
        <w:widowControl/>
        <w:spacing w:line="360" w:lineRule="auto"/>
        <w:ind w:firstLine="437"/>
        <w:rPr>
          <w:rFonts w:hAnsi="宋体" w:cs="宋体"/>
          <w:color w:val="auto"/>
          <w:sz w:val="22"/>
          <w:szCs w:val="22"/>
          <w:highlight w:val="none"/>
        </w:rPr>
      </w:pPr>
      <w:r>
        <w:rPr>
          <w:rFonts w:hint="eastAsia" w:hAnsi="宋体" w:cs="宋体"/>
          <w:color w:val="auto"/>
          <w:sz w:val="22"/>
          <w:szCs w:val="22"/>
          <w:highlight w:val="none"/>
        </w:rPr>
        <w:t>本保函的期限应</w:t>
      </w:r>
      <w:r>
        <w:rPr>
          <w:rFonts w:hint="eastAsia" w:hAnsi="宋体" w:cs="楷体"/>
          <w:color w:val="auto"/>
          <w:sz w:val="22"/>
          <w:szCs w:val="22"/>
          <w:highlight w:val="none"/>
        </w:rPr>
        <w:t>自合同生效之日起至合同期限届满并完成全部合同义务后28日内保持有效。</w:t>
      </w:r>
    </w:p>
    <w:p>
      <w:pPr>
        <w:widowControl/>
        <w:spacing w:line="360" w:lineRule="auto"/>
        <w:ind w:firstLine="2640" w:firstLineChars="1200"/>
        <w:rPr>
          <w:rFonts w:hAnsi="宋体" w:cs="宋体"/>
          <w:color w:val="auto"/>
          <w:sz w:val="22"/>
          <w:szCs w:val="22"/>
          <w:highlight w:val="none"/>
          <w:u w:val="single"/>
        </w:rPr>
      </w:pPr>
      <w:r>
        <w:rPr>
          <w:rFonts w:hint="eastAsia" w:hAnsi="宋体" w:cs="宋体"/>
          <w:color w:val="auto"/>
          <w:sz w:val="22"/>
          <w:szCs w:val="22"/>
          <w:highlight w:val="none"/>
        </w:rPr>
        <w:t>担</w:t>
      </w:r>
      <w:r>
        <w:rPr>
          <w:rFonts w:hAnsi="宋体" w:cs="宋体"/>
          <w:color w:val="auto"/>
          <w:sz w:val="22"/>
          <w:szCs w:val="22"/>
          <w:highlight w:val="none"/>
        </w:rPr>
        <w:t xml:space="preserve"> </w:t>
      </w:r>
      <w:r>
        <w:rPr>
          <w:rFonts w:hint="eastAsia" w:hAnsi="宋体" w:cs="宋体"/>
          <w:color w:val="auto"/>
          <w:sz w:val="22"/>
          <w:szCs w:val="22"/>
          <w:highlight w:val="none"/>
        </w:rPr>
        <w:t>保</w:t>
      </w:r>
      <w:r>
        <w:rPr>
          <w:rFonts w:hAnsi="宋体" w:cs="宋体"/>
          <w:color w:val="auto"/>
          <w:sz w:val="22"/>
          <w:szCs w:val="22"/>
          <w:highlight w:val="none"/>
        </w:rPr>
        <w:t xml:space="preserve"> </w:t>
      </w:r>
      <w:r>
        <w:rPr>
          <w:rFonts w:hint="eastAsia" w:hAnsi="宋体" w:cs="宋体"/>
          <w:color w:val="auto"/>
          <w:sz w:val="22"/>
          <w:szCs w:val="22"/>
          <w:highlight w:val="none"/>
        </w:rPr>
        <w:t>银</w:t>
      </w:r>
      <w:r>
        <w:rPr>
          <w:rFonts w:hAnsi="宋体" w:cs="宋体"/>
          <w:color w:val="auto"/>
          <w:sz w:val="22"/>
          <w:szCs w:val="22"/>
          <w:highlight w:val="none"/>
        </w:rPr>
        <w:t xml:space="preserve"> </w:t>
      </w:r>
      <w:r>
        <w:rPr>
          <w:rFonts w:hint="eastAsia" w:hAnsi="宋体" w:cs="宋体"/>
          <w:color w:val="auto"/>
          <w:sz w:val="22"/>
          <w:szCs w:val="22"/>
          <w:highlight w:val="none"/>
        </w:rPr>
        <w:t>行：</w:t>
      </w:r>
      <w:r>
        <w:rPr>
          <w:rFonts w:hAnsi="宋体" w:cs="宋体"/>
          <w:color w:val="auto"/>
          <w:sz w:val="22"/>
          <w:szCs w:val="22"/>
          <w:highlight w:val="none"/>
          <w:u w:val="single"/>
        </w:rPr>
        <w:t xml:space="preserve">          银行全称          (盖章)   </w:t>
      </w:r>
    </w:p>
    <w:p>
      <w:pPr>
        <w:widowControl/>
        <w:spacing w:line="360" w:lineRule="auto"/>
        <w:ind w:firstLine="2640" w:firstLineChars="1200"/>
        <w:rPr>
          <w:rFonts w:hAnsi="宋体" w:cs="宋体"/>
          <w:color w:val="auto"/>
          <w:sz w:val="22"/>
          <w:szCs w:val="22"/>
          <w:highlight w:val="none"/>
        </w:rPr>
      </w:pPr>
      <w:r>
        <w:rPr>
          <w:rFonts w:hint="eastAsia" w:hAnsi="宋体" w:cs="宋体"/>
          <w:color w:val="auto"/>
          <w:sz w:val="22"/>
          <w:szCs w:val="22"/>
          <w:highlight w:val="none"/>
        </w:rPr>
        <w:t>法定代表人或其授权的代表人：</w:t>
      </w:r>
      <w:r>
        <w:rPr>
          <w:rFonts w:hAnsi="宋体" w:cs="宋体"/>
          <w:color w:val="auto"/>
          <w:sz w:val="22"/>
          <w:szCs w:val="22"/>
          <w:highlight w:val="none"/>
          <w:u w:val="single"/>
        </w:rPr>
        <w:t xml:space="preserve">       (职务)         </w:t>
      </w:r>
    </w:p>
    <w:p>
      <w:pPr>
        <w:widowControl/>
        <w:spacing w:line="360" w:lineRule="auto"/>
        <w:ind w:firstLine="5764" w:firstLineChars="2620"/>
        <w:rPr>
          <w:rFonts w:hAnsi="宋体" w:cs="宋体"/>
          <w:color w:val="auto"/>
          <w:sz w:val="22"/>
          <w:szCs w:val="22"/>
          <w:highlight w:val="none"/>
          <w:u w:val="single"/>
        </w:rPr>
      </w:pPr>
      <w:r>
        <w:rPr>
          <w:rFonts w:hAnsi="宋体" w:cs="宋体"/>
          <w:color w:val="auto"/>
          <w:sz w:val="22"/>
          <w:szCs w:val="22"/>
          <w:highlight w:val="none"/>
          <w:u w:val="single"/>
        </w:rPr>
        <w:t xml:space="preserve">       (姓名)         </w:t>
      </w:r>
    </w:p>
    <w:p>
      <w:pPr>
        <w:widowControl/>
        <w:spacing w:line="360" w:lineRule="auto"/>
        <w:ind w:firstLine="5764" w:firstLineChars="2620"/>
        <w:rPr>
          <w:rFonts w:hAnsi="宋体" w:cs="宋体"/>
          <w:color w:val="auto"/>
          <w:sz w:val="22"/>
          <w:szCs w:val="22"/>
          <w:highlight w:val="none"/>
          <w:u w:val="single"/>
        </w:rPr>
      </w:pPr>
      <w:r>
        <w:rPr>
          <w:rFonts w:hAnsi="宋体" w:cs="宋体"/>
          <w:color w:val="auto"/>
          <w:sz w:val="22"/>
          <w:szCs w:val="22"/>
          <w:highlight w:val="none"/>
          <w:u w:val="single"/>
        </w:rPr>
        <w:t xml:space="preserve">       (签章)         </w:t>
      </w:r>
    </w:p>
    <w:p>
      <w:pPr>
        <w:spacing w:line="360" w:lineRule="auto"/>
        <w:ind w:left="840" w:firstLine="440" w:firstLineChars="200"/>
        <w:rPr>
          <w:rFonts w:hAnsi="宋体" w:cs="宋体"/>
          <w:color w:val="auto"/>
          <w:sz w:val="22"/>
          <w:szCs w:val="22"/>
          <w:highlight w:val="none"/>
        </w:rPr>
      </w:pPr>
      <w:r>
        <w:rPr>
          <w:rFonts w:hAnsi="宋体" w:cs="宋体"/>
          <w:color w:val="auto"/>
          <w:sz w:val="22"/>
          <w:szCs w:val="22"/>
          <w:highlight w:val="none"/>
        </w:rPr>
        <w:t xml:space="preserve">                                       </w:t>
      </w:r>
      <w:r>
        <w:rPr>
          <w:rFonts w:hAnsi="宋体" w:cs="宋体"/>
          <w:color w:val="auto"/>
          <w:sz w:val="22"/>
          <w:szCs w:val="22"/>
          <w:highlight w:val="none"/>
          <w:u w:val="single"/>
        </w:rPr>
        <w:t xml:space="preserve">        </w:t>
      </w:r>
      <w:r>
        <w:rPr>
          <w:rFonts w:hint="eastAsia" w:hAnsi="宋体" w:cs="宋体"/>
          <w:color w:val="auto"/>
          <w:sz w:val="22"/>
          <w:szCs w:val="22"/>
          <w:highlight w:val="none"/>
        </w:rPr>
        <w:t>年</w:t>
      </w:r>
      <w:r>
        <w:rPr>
          <w:rFonts w:hAnsi="宋体" w:cs="宋体"/>
          <w:color w:val="auto"/>
          <w:sz w:val="22"/>
          <w:szCs w:val="22"/>
          <w:highlight w:val="none"/>
          <w:u w:val="single"/>
        </w:rPr>
        <w:t xml:space="preserve">     </w:t>
      </w:r>
      <w:r>
        <w:rPr>
          <w:rFonts w:hint="eastAsia" w:hAnsi="宋体" w:cs="宋体"/>
          <w:color w:val="auto"/>
          <w:sz w:val="22"/>
          <w:szCs w:val="22"/>
          <w:highlight w:val="none"/>
        </w:rPr>
        <w:t>月</w:t>
      </w:r>
      <w:r>
        <w:rPr>
          <w:rFonts w:hAnsi="宋体" w:cs="宋体"/>
          <w:color w:val="auto"/>
          <w:sz w:val="22"/>
          <w:szCs w:val="22"/>
          <w:highlight w:val="none"/>
          <w:u w:val="single"/>
        </w:rPr>
        <w:t xml:space="preserve">     </w:t>
      </w:r>
      <w:r>
        <w:rPr>
          <w:rFonts w:hint="eastAsia" w:hAnsi="宋体" w:cs="宋体"/>
          <w:color w:val="auto"/>
          <w:sz w:val="22"/>
          <w:szCs w:val="22"/>
          <w:highlight w:val="none"/>
        </w:rPr>
        <w:t>日</w:t>
      </w:r>
    </w:p>
    <w:p>
      <w:pPr>
        <w:widowControl/>
        <w:jc w:val="left"/>
        <w:rPr>
          <w:rFonts w:ascii="宋体" w:hAnsi="宋体"/>
          <w:color w:val="auto"/>
          <w:sz w:val="22"/>
          <w:szCs w:val="22"/>
          <w:highlight w:val="none"/>
        </w:rPr>
      </w:pPr>
      <w:r>
        <w:rPr>
          <w:rFonts w:ascii="宋体" w:hAnsi="宋体"/>
          <w:color w:val="auto"/>
          <w:sz w:val="22"/>
          <w:szCs w:val="22"/>
          <w:highlight w:val="none"/>
        </w:rPr>
        <w:br w:type="page"/>
      </w:r>
    </w:p>
    <w:p>
      <w:pPr>
        <w:pStyle w:val="5"/>
        <w:spacing w:line="360" w:lineRule="auto"/>
        <w:ind w:left="0" w:firstLine="0"/>
        <w:jc w:val="left"/>
        <w:rPr>
          <w:rFonts w:ascii="宋体" w:hAnsi="宋体" w:eastAsia="宋体"/>
          <w:bCs/>
          <w:color w:val="auto"/>
          <w:kern w:val="44"/>
          <w:highlight w:val="none"/>
          <w:lang w:val="zh-CN"/>
        </w:rPr>
      </w:pPr>
      <w:bookmarkStart w:id="160" w:name="_Toc61529855"/>
      <w:r>
        <w:rPr>
          <w:rFonts w:hint="eastAsia" w:ascii="宋体" w:hAnsi="宋体" w:eastAsia="宋体"/>
          <w:bCs/>
          <w:color w:val="auto"/>
          <w:kern w:val="44"/>
          <w:highlight w:val="none"/>
          <w:lang w:val="zh-CN"/>
        </w:rPr>
        <w:t>附件三</w:t>
      </w:r>
      <w:r>
        <w:rPr>
          <w:rFonts w:ascii="宋体" w:hAnsi="宋体" w:eastAsia="宋体"/>
          <w:bCs/>
          <w:color w:val="auto"/>
          <w:kern w:val="44"/>
          <w:highlight w:val="none"/>
          <w:lang w:val="zh-CN"/>
        </w:rPr>
        <w:t xml:space="preserve"> </w:t>
      </w:r>
      <w:r>
        <w:rPr>
          <w:rFonts w:hint="eastAsia" w:ascii="宋体" w:hAnsi="宋体" w:eastAsia="宋体"/>
          <w:bCs/>
          <w:color w:val="auto"/>
          <w:kern w:val="44"/>
          <w:highlight w:val="none"/>
          <w:lang w:val="zh-CN"/>
        </w:rPr>
        <w:t>公证书格式</w:t>
      </w:r>
      <w:bookmarkEnd w:id="160"/>
    </w:p>
    <w:p>
      <w:pPr>
        <w:pStyle w:val="46"/>
        <w:spacing w:before="0" w:beforeAutospacing="0" w:after="0" w:afterAutospacing="0" w:line="360" w:lineRule="auto"/>
        <w:jc w:val="center"/>
        <w:rPr>
          <w:color w:val="auto"/>
          <w:sz w:val="22"/>
          <w:szCs w:val="22"/>
          <w:highlight w:val="none"/>
        </w:rPr>
      </w:pPr>
      <w:r>
        <w:rPr>
          <w:b/>
          <w:color w:val="auto"/>
          <w:sz w:val="22"/>
          <w:szCs w:val="22"/>
          <w:highlight w:val="none"/>
        </w:rPr>
        <w:t>公证书</w:t>
      </w:r>
    </w:p>
    <w:p>
      <w:pPr>
        <w:pStyle w:val="46"/>
        <w:spacing w:before="0" w:beforeAutospacing="0" w:after="0" w:afterAutospacing="0" w:line="360" w:lineRule="auto"/>
        <w:jc w:val="right"/>
        <w:rPr>
          <w:color w:val="auto"/>
          <w:sz w:val="22"/>
          <w:szCs w:val="22"/>
          <w:highlight w:val="none"/>
        </w:rPr>
      </w:pPr>
      <w:r>
        <w:rPr>
          <w:color w:val="auto"/>
          <w:sz w:val="22"/>
          <w:szCs w:val="22"/>
          <w:highlight w:val="none"/>
        </w:rPr>
        <w:t>（ ）××字第××号</w:t>
      </w:r>
    </w:p>
    <w:p>
      <w:pPr>
        <w:pStyle w:val="46"/>
        <w:spacing w:before="0" w:beforeAutospacing="0" w:after="0" w:afterAutospacing="0" w:line="360" w:lineRule="auto"/>
        <w:ind w:firstLine="455" w:firstLineChars="207"/>
        <w:jc w:val="both"/>
        <w:rPr>
          <w:color w:val="auto"/>
          <w:sz w:val="22"/>
          <w:szCs w:val="22"/>
          <w:highlight w:val="none"/>
        </w:rPr>
      </w:pPr>
      <w:r>
        <w:rPr>
          <w:color w:val="auto"/>
          <w:sz w:val="22"/>
          <w:szCs w:val="22"/>
          <w:highlight w:val="none"/>
        </w:rPr>
        <w:t>兹证明××××（银行或担保公司全称）法定代表人（或法定代表人的代理人）×××于××××年×月×日，在××（签约地点或本公证处），在我的面前，签署了前面的编号为××××的《</w:t>
      </w:r>
      <w:r>
        <w:rPr>
          <w:rFonts w:hint="eastAsia"/>
          <w:color w:val="auto"/>
          <w:sz w:val="22"/>
          <w:szCs w:val="22"/>
          <w:highlight w:val="none"/>
        </w:rPr>
        <w:t>不可撤销银行</w:t>
      </w:r>
      <w:r>
        <w:rPr>
          <w:color w:val="auto"/>
          <w:sz w:val="22"/>
          <w:szCs w:val="22"/>
          <w:highlight w:val="none"/>
        </w:rPr>
        <w:t>履约保函》</w:t>
      </w:r>
      <w:r>
        <w:rPr>
          <w:rFonts w:hint="eastAsia"/>
          <w:color w:val="auto"/>
          <w:sz w:val="22"/>
          <w:szCs w:val="22"/>
          <w:highlight w:val="none"/>
        </w:rPr>
        <w:t>（或担保公司履约担保书）</w:t>
      </w:r>
      <w:r>
        <w:rPr>
          <w:color w:val="auto"/>
          <w:sz w:val="22"/>
          <w:szCs w:val="22"/>
          <w:highlight w:val="none"/>
        </w:rPr>
        <w:t>。</w:t>
      </w:r>
    </w:p>
    <w:p>
      <w:pPr>
        <w:pStyle w:val="46"/>
        <w:spacing w:before="0" w:beforeAutospacing="0" w:after="0" w:afterAutospacing="0" w:line="360" w:lineRule="auto"/>
        <w:ind w:firstLine="455" w:firstLineChars="207"/>
        <w:rPr>
          <w:color w:val="auto"/>
          <w:sz w:val="22"/>
          <w:szCs w:val="22"/>
          <w:highlight w:val="none"/>
        </w:rPr>
      </w:pPr>
      <w:r>
        <w:rPr>
          <w:color w:val="auto"/>
          <w:sz w:val="22"/>
          <w:szCs w:val="22"/>
          <w:highlight w:val="none"/>
        </w:rPr>
        <w:t>经查，</w:t>
      </w:r>
      <w:r>
        <w:rPr>
          <w:rFonts w:hint="eastAsia"/>
          <w:color w:val="auto"/>
          <w:sz w:val="22"/>
          <w:szCs w:val="22"/>
          <w:highlight w:val="none"/>
        </w:rPr>
        <w:t>不可撤销银行</w:t>
      </w:r>
      <w:r>
        <w:rPr>
          <w:color w:val="auto"/>
          <w:sz w:val="22"/>
          <w:szCs w:val="22"/>
          <w:highlight w:val="none"/>
        </w:rPr>
        <w:t>履约保函</w:t>
      </w:r>
      <w:r>
        <w:rPr>
          <w:rFonts w:hint="eastAsia"/>
          <w:color w:val="auto"/>
          <w:sz w:val="22"/>
          <w:szCs w:val="22"/>
          <w:highlight w:val="none"/>
        </w:rPr>
        <w:t>（或担保公司履约担保书）</w:t>
      </w:r>
      <w:r>
        <w:rPr>
          <w:color w:val="auto"/>
          <w:sz w:val="22"/>
          <w:szCs w:val="22"/>
          <w:highlight w:val="none"/>
        </w:rPr>
        <w:t>上的签字、印章属实。</w:t>
      </w:r>
    </w:p>
    <w:p>
      <w:pPr>
        <w:pStyle w:val="46"/>
        <w:spacing w:before="0" w:beforeAutospacing="0" w:after="0" w:afterAutospacing="0" w:line="360" w:lineRule="auto"/>
        <w:rPr>
          <w:color w:val="auto"/>
          <w:sz w:val="22"/>
          <w:szCs w:val="22"/>
          <w:highlight w:val="none"/>
        </w:rPr>
      </w:pPr>
    </w:p>
    <w:p>
      <w:pPr>
        <w:pStyle w:val="46"/>
        <w:spacing w:before="0" w:beforeAutospacing="0" w:after="0" w:afterAutospacing="0" w:line="360" w:lineRule="auto"/>
        <w:rPr>
          <w:color w:val="auto"/>
          <w:sz w:val="21"/>
          <w:szCs w:val="21"/>
          <w:highlight w:val="none"/>
        </w:rPr>
      </w:pPr>
    </w:p>
    <w:p>
      <w:pPr>
        <w:pStyle w:val="46"/>
        <w:spacing w:before="0" w:beforeAutospacing="0" w:after="0" w:afterAutospacing="0" w:line="360" w:lineRule="auto"/>
        <w:rPr>
          <w:color w:val="auto"/>
          <w:sz w:val="21"/>
          <w:szCs w:val="21"/>
          <w:highlight w:val="none"/>
        </w:rPr>
      </w:pPr>
    </w:p>
    <w:p>
      <w:pPr>
        <w:pStyle w:val="46"/>
        <w:spacing w:before="0" w:beforeAutospacing="0" w:after="0" w:afterAutospacing="0" w:line="360" w:lineRule="auto"/>
        <w:jc w:val="right"/>
        <w:rPr>
          <w:color w:val="auto"/>
          <w:sz w:val="21"/>
          <w:szCs w:val="21"/>
          <w:highlight w:val="none"/>
        </w:rPr>
      </w:pPr>
      <w:r>
        <w:rPr>
          <w:color w:val="auto"/>
          <w:sz w:val="21"/>
          <w:szCs w:val="21"/>
          <w:highlight w:val="none"/>
        </w:rPr>
        <w:t>中华人民共和国××省××市（县）公证处</w:t>
      </w:r>
    </w:p>
    <w:p>
      <w:pPr>
        <w:pStyle w:val="46"/>
        <w:spacing w:before="0" w:beforeAutospacing="0" w:after="0" w:afterAutospacing="0" w:line="360" w:lineRule="auto"/>
        <w:ind w:firstLine="6887" w:firstLineChars="3280"/>
        <w:rPr>
          <w:color w:val="auto"/>
          <w:sz w:val="21"/>
          <w:szCs w:val="21"/>
          <w:highlight w:val="none"/>
        </w:rPr>
      </w:pPr>
      <w:r>
        <w:rPr>
          <w:color w:val="auto"/>
          <w:sz w:val="21"/>
          <w:szCs w:val="21"/>
          <w:highlight w:val="none"/>
        </w:rPr>
        <w:t>公证员 （签名）</w:t>
      </w:r>
    </w:p>
    <w:p>
      <w:pPr>
        <w:ind w:firstLine="6825" w:firstLineChars="3250"/>
        <w:jc w:val="left"/>
        <w:rPr>
          <w:rFonts w:ascii="宋体" w:hAnsi="宋体"/>
          <w:color w:val="auto"/>
          <w:sz w:val="22"/>
          <w:szCs w:val="22"/>
          <w:highlight w:val="none"/>
        </w:rPr>
      </w:pPr>
      <w:r>
        <w:rPr>
          <w:rFonts w:hAnsi="宋体"/>
          <w:color w:val="auto"/>
          <w:szCs w:val="21"/>
          <w:highlight w:val="none"/>
        </w:rPr>
        <w:t>××××年×月×</w:t>
      </w:r>
    </w:p>
    <w:p>
      <w:pPr>
        <w:widowControl/>
        <w:jc w:val="left"/>
        <w:rPr>
          <w:rFonts w:ascii="宋体" w:hAnsi="宋体"/>
          <w:color w:val="auto"/>
          <w:sz w:val="22"/>
          <w:szCs w:val="22"/>
          <w:highlight w:val="none"/>
        </w:rPr>
      </w:pPr>
      <w:r>
        <w:rPr>
          <w:rFonts w:ascii="宋体" w:hAnsi="宋体"/>
          <w:color w:val="auto"/>
          <w:sz w:val="22"/>
          <w:szCs w:val="22"/>
          <w:highlight w:val="none"/>
        </w:rPr>
        <w:br w:type="page"/>
      </w:r>
    </w:p>
    <w:p>
      <w:pPr>
        <w:pStyle w:val="5"/>
        <w:spacing w:line="360" w:lineRule="auto"/>
        <w:ind w:left="0" w:firstLine="0"/>
        <w:jc w:val="left"/>
        <w:rPr>
          <w:rFonts w:ascii="宋体" w:hAnsi="宋体" w:eastAsia="宋体"/>
          <w:bCs/>
          <w:color w:val="auto"/>
          <w:kern w:val="44"/>
          <w:highlight w:val="none"/>
          <w:lang w:val="zh-CN"/>
        </w:rPr>
      </w:pPr>
      <w:bookmarkStart w:id="161" w:name="_Toc61529856"/>
      <w:r>
        <w:rPr>
          <w:rFonts w:hint="eastAsia" w:ascii="宋体" w:hAnsi="宋体" w:eastAsia="宋体"/>
          <w:bCs/>
          <w:color w:val="auto"/>
          <w:kern w:val="44"/>
          <w:highlight w:val="none"/>
          <w:lang w:val="zh-CN"/>
        </w:rPr>
        <w:t>附件四</w:t>
      </w:r>
      <w:r>
        <w:rPr>
          <w:rFonts w:ascii="宋体" w:hAnsi="宋体" w:eastAsia="宋体"/>
          <w:bCs/>
          <w:color w:val="auto"/>
          <w:kern w:val="44"/>
          <w:highlight w:val="none"/>
          <w:lang w:val="zh-CN"/>
        </w:rPr>
        <w:t xml:space="preserve"> </w:t>
      </w:r>
      <w:r>
        <w:rPr>
          <w:rFonts w:hint="eastAsia" w:ascii="宋体" w:hAnsi="宋体" w:eastAsia="宋体"/>
          <w:bCs/>
          <w:color w:val="auto"/>
          <w:kern w:val="44"/>
          <w:highlight w:val="none"/>
          <w:lang w:val="zh-CN"/>
        </w:rPr>
        <w:t>退履约担保申请表格式</w:t>
      </w:r>
      <w:bookmarkEnd w:id="161"/>
    </w:p>
    <w:p>
      <w:pPr>
        <w:jc w:val="center"/>
        <w:rPr>
          <w:b/>
          <w:color w:val="auto"/>
          <w:sz w:val="22"/>
          <w:szCs w:val="22"/>
          <w:highlight w:val="none"/>
        </w:rPr>
      </w:pPr>
      <w:r>
        <w:rPr>
          <w:rFonts w:hint="eastAsia"/>
          <w:b/>
          <w:color w:val="auto"/>
          <w:sz w:val="22"/>
          <w:szCs w:val="22"/>
          <w:highlight w:val="none"/>
        </w:rPr>
        <w:t>退履约担保申请表</w:t>
      </w:r>
    </w:p>
    <w:p>
      <w:pPr>
        <w:spacing w:line="360" w:lineRule="auto"/>
        <w:jc w:val="right"/>
        <w:rPr>
          <w:rFonts w:ascii="宋体" w:hAnsi="宋体"/>
          <w:color w:val="auto"/>
          <w:sz w:val="22"/>
          <w:szCs w:val="22"/>
          <w:highlight w:val="none"/>
        </w:rPr>
      </w:pPr>
      <w:r>
        <w:rPr>
          <w:rFonts w:hint="eastAsia" w:ascii="宋体" w:hAnsi="宋体"/>
          <w:color w:val="auto"/>
          <w:sz w:val="22"/>
          <w:szCs w:val="22"/>
          <w:highlight w:val="none"/>
        </w:rPr>
        <w:t>金额单位：人民币元</w:t>
      </w:r>
    </w:p>
    <w:p>
      <w:pPr>
        <w:spacing w:line="360" w:lineRule="auto"/>
        <w:ind w:left="-287" w:firstLine="429" w:firstLineChars="195"/>
        <w:rPr>
          <w:rFonts w:ascii="宋体" w:hAnsi="宋体"/>
          <w:color w:val="auto"/>
          <w:sz w:val="22"/>
          <w:szCs w:val="22"/>
          <w:highlight w:val="none"/>
        </w:rPr>
      </w:pPr>
      <w:r>
        <w:rPr>
          <w:rFonts w:hint="eastAsia" w:ascii="宋体" w:hAnsi="宋体"/>
          <w:color w:val="auto"/>
          <w:sz w:val="22"/>
          <w:szCs w:val="22"/>
          <w:highlight w:val="none"/>
        </w:rPr>
        <w:t xml:space="preserve">投标人名称（盖章）：                            联系人：             电话：  </w:t>
      </w:r>
    </w:p>
    <w:tbl>
      <w:tblPr>
        <w:tblStyle w:val="5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330"/>
        <w:gridCol w:w="1981"/>
        <w:gridCol w:w="367"/>
        <w:gridCol w:w="788"/>
        <w:gridCol w:w="167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10" w:type="dxa"/>
          </w:tcPr>
          <w:p>
            <w:pPr>
              <w:spacing w:line="360" w:lineRule="auto"/>
              <w:rPr>
                <w:rFonts w:ascii="宋体" w:hAnsi="宋体"/>
                <w:color w:val="auto"/>
                <w:sz w:val="22"/>
                <w:szCs w:val="22"/>
                <w:highlight w:val="none"/>
              </w:rPr>
            </w:pPr>
            <w:r>
              <w:rPr>
                <w:rFonts w:hint="eastAsia" w:ascii="宋体" w:hAnsi="宋体"/>
                <w:color w:val="auto"/>
                <w:sz w:val="22"/>
                <w:szCs w:val="22"/>
                <w:highlight w:val="none"/>
              </w:rPr>
              <w:t>招标人名称</w:t>
            </w:r>
          </w:p>
        </w:tc>
        <w:tc>
          <w:tcPr>
            <w:tcW w:w="3466" w:type="dxa"/>
            <w:gridSpan w:val="4"/>
          </w:tcPr>
          <w:p>
            <w:pPr>
              <w:spacing w:line="360" w:lineRule="auto"/>
              <w:ind w:right="-286" w:rightChars="-136"/>
              <w:rPr>
                <w:rFonts w:ascii="宋体" w:hAnsi="宋体"/>
                <w:color w:val="auto"/>
                <w:sz w:val="22"/>
                <w:szCs w:val="22"/>
                <w:highlight w:val="none"/>
              </w:rPr>
            </w:pPr>
          </w:p>
        </w:tc>
        <w:tc>
          <w:tcPr>
            <w:tcW w:w="3466" w:type="dxa"/>
            <w:gridSpan w:val="2"/>
          </w:tcPr>
          <w:p>
            <w:pPr>
              <w:spacing w:line="360" w:lineRule="auto"/>
              <w:rPr>
                <w:rFonts w:ascii="宋体" w:hAnsi="宋体"/>
                <w:color w:val="auto"/>
                <w:sz w:val="22"/>
                <w:szCs w:val="22"/>
                <w:highlight w:val="none"/>
              </w:rPr>
            </w:pPr>
            <w:r>
              <w:rPr>
                <w:rFonts w:hint="eastAsia" w:ascii="宋体" w:hAnsi="宋体"/>
                <w:color w:val="auto"/>
                <w:sz w:val="22"/>
                <w:szCs w:val="22"/>
                <w:highlight w:val="none"/>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10" w:type="dxa"/>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招标代理机构名称</w:t>
            </w:r>
          </w:p>
        </w:tc>
        <w:tc>
          <w:tcPr>
            <w:tcW w:w="6932" w:type="dxa"/>
            <w:gridSpan w:val="6"/>
          </w:tcPr>
          <w:p>
            <w:pPr>
              <w:spacing w:line="360" w:lineRule="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招标项目名称</w:t>
            </w:r>
          </w:p>
        </w:tc>
        <w:tc>
          <w:tcPr>
            <w:tcW w:w="2311" w:type="dxa"/>
            <w:gridSpan w:val="2"/>
          </w:tcPr>
          <w:p>
            <w:pPr>
              <w:spacing w:line="360" w:lineRule="auto"/>
              <w:rPr>
                <w:rFonts w:ascii="宋体" w:hAnsi="宋体"/>
                <w:color w:val="auto"/>
                <w:sz w:val="22"/>
                <w:szCs w:val="22"/>
                <w:highlight w:val="none"/>
              </w:rPr>
            </w:pPr>
          </w:p>
        </w:tc>
        <w:tc>
          <w:tcPr>
            <w:tcW w:w="2827" w:type="dxa"/>
            <w:gridSpan w:val="3"/>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招标编号</w:t>
            </w:r>
          </w:p>
        </w:tc>
        <w:tc>
          <w:tcPr>
            <w:tcW w:w="1794" w:type="dxa"/>
          </w:tcPr>
          <w:p>
            <w:pPr>
              <w:spacing w:line="360" w:lineRule="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招标金额</w:t>
            </w:r>
          </w:p>
        </w:tc>
        <w:tc>
          <w:tcPr>
            <w:tcW w:w="2311" w:type="dxa"/>
            <w:gridSpan w:val="2"/>
          </w:tcPr>
          <w:p>
            <w:pPr>
              <w:spacing w:line="360" w:lineRule="auto"/>
              <w:rPr>
                <w:rFonts w:ascii="宋体" w:hAnsi="宋体"/>
                <w:color w:val="auto"/>
                <w:sz w:val="22"/>
                <w:szCs w:val="22"/>
                <w:highlight w:val="none"/>
              </w:rPr>
            </w:pPr>
          </w:p>
        </w:tc>
        <w:tc>
          <w:tcPr>
            <w:tcW w:w="2827" w:type="dxa"/>
            <w:gridSpan w:val="3"/>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中标（成交）通知书编号</w:t>
            </w:r>
          </w:p>
        </w:tc>
        <w:tc>
          <w:tcPr>
            <w:tcW w:w="1794" w:type="dxa"/>
          </w:tcPr>
          <w:p>
            <w:pPr>
              <w:spacing w:line="360" w:lineRule="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10" w:type="dxa"/>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采购合同签订时间</w:t>
            </w:r>
          </w:p>
        </w:tc>
        <w:tc>
          <w:tcPr>
            <w:tcW w:w="2311" w:type="dxa"/>
            <w:gridSpan w:val="2"/>
          </w:tcPr>
          <w:p>
            <w:pPr>
              <w:spacing w:line="360" w:lineRule="auto"/>
              <w:rPr>
                <w:rFonts w:ascii="宋体" w:hAnsi="宋体"/>
                <w:color w:val="auto"/>
                <w:sz w:val="22"/>
                <w:szCs w:val="22"/>
                <w:highlight w:val="none"/>
              </w:rPr>
            </w:pPr>
          </w:p>
        </w:tc>
        <w:tc>
          <w:tcPr>
            <w:tcW w:w="2827" w:type="dxa"/>
            <w:gridSpan w:val="3"/>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项目验收时间</w:t>
            </w:r>
          </w:p>
        </w:tc>
        <w:tc>
          <w:tcPr>
            <w:tcW w:w="1794" w:type="dxa"/>
          </w:tcPr>
          <w:p>
            <w:pPr>
              <w:spacing w:line="360" w:lineRule="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242" w:type="dxa"/>
            <w:gridSpan w:val="7"/>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招标人：</w:t>
            </w:r>
          </w:p>
          <w:p>
            <w:pPr>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本项目我公司已按合同规定履约完毕，现申请将履约担保退回，请予以办理。履约保证金请退回以下账户：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40" w:type="dxa"/>
            <w:gridSpan w:val="2"/>
            <w:vAlign w:val="center"/>
          </w:tcPr>
          <w:p>
            <w:pPr>
              <w:spacing w:line="360" w:lineRule="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申请退回的履约担保金额：</w:t>
            </w:r>
          </w:p>
        </w:tc>
        <w:tc>
          <w:tcPr>
            <w:tcW w:w="2348" w:type="dxa"/>
            <w:gridSpan w:val="2"/>
            <w:vAlign w:val="center"/>
          </w:tcPr>
          <w:p>
            <w:pPr>
              <w:spacing w:line="360" w:lineRule="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小写:￥     元</w:t>
            </w:r>
          </w:p>
        </w:tc>
        <w:tc>
          <w:tcPr>
            <w:tcW w:w="4254" w:type="dxa"/>
            <w:gridSpan w:val="3"/>
            <w:vAlign w:val="center"/>
          </w:tcPr>
          <w:p>
            <w:pPr>
              <w:spacing w:line="360" w:lineRule="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账户名称：</w:t>
            </w:r>
          </w:p>
        </w:tc>
        <w:tc>
          <w:tcPr>
            <w:tcW w:w="4621" w:type="dxa"/>
            <w:gridSpan w:val="4"/>
            <w:vAlign w:val="center"/>
          </w:tcPr>
          <w:p>
            <w:pPr>
              <w:spacing w:line="360" w:lineRule="auto"/>
              <w:jc w:val="center"/>
              <w:rPr>
                <w:rFonts w:ascii="宋体" w:hAnsi="宋体"/>
                <w:color w:val="auto"/>
                <w:sz w:val="22"/>
                <w:szCs w:val="22"/>
                <w:highlight w:val="none"/>
              </w:rPr>
            </w:pPr>
            <w:r>
              <w:rPr>
                <w:rFonts w:hint="eastAsia" w:ascii="宋体" w:hAnsi="宋体" w:cs="宋体"/>
                <w:color w:val="auto"/>
                <w:kern w:val="0"/>
                <w:sz w:val="22"/>
                <w:szCs w:val="22"/>
                <w:highlight w:val="none"/>
              </w:rPr>
              <w:t>申请人签章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vAlign w:val="center"/>
          </w:tcPr>
          <w:p>
            <w:pPr>
              <w:spacing w:line="360" w:lineRule="auto"/>
              <w:jc w:val="center"/>
              <w:rPr>
                <w:rFonts w:ascii="宋体" w:hAnsi="宋体"/>
                <w:color w:val="auto"/>
                <w:sz w:val="22"/>
                <w:szCs w:val="22"/>
                <w:highlight w:val="none"/>
              </w:rPr>
            </w:pPr>
          </w:p>
        </w:tc>
        <w:tc>
          <w:tcPr>
            <w:tcW w:w="2827" w:type="dxa"/>
            <w:gridSpan w:val="3"/>
            <w:vAlign w:val="center"/>
          </w:tcPr>
          <w:p>
            <w:pPr>
              <w:spacing w:line="360" w:lineRule="auto"/>
              <w:jc w:val="center"/>
              <w:rPr>
                <w:rFonts w:ascii="宋体" w:hAnsi="宋体"/>
                <w:color w:val="auto"/>
                <w:sz w:val="22"/>
                <w:szCs w:val="22"/>
                <w:highlight w:val="none"/>
              </w:rPr>
            </w:pPr>
            <w:r>
              <w:rPr>
                <w:rFonts w:hint="eastAsia" w:ascii="宋体" w:hAnsi="宋体" w:cs="宋体"/>
                <w:color w:val="auto"/>
                <w:kern w:val="0"/>
                <w:sz w:val="22"/>
                <w:szCs w:val="22"/>
                <w:highlight w:val="none"/>
              </w:rPr>
              <w:t>法定代表人</w:t>
            </w:r>
          </w:p>
        </w:tc>
        <w:tc>
          <w:tcPr>
            <w:tcW w:w="1794" w:type="dxa"/>
            <w:vAlign w:val="center"/>
          </w:tcPr>
          <w:p>
            <w:pPr>
              <w:spacing w:line="360" w:lineRule="auto"/>
              <w:jc w:val="center"/>
              <w:rPr>
                <w:rFonts w:ascii="宋体" w:hAnsi="宋体"/>
                <w:color w:val="auto"/>
                <w:sz w:val="22"/>
                <w:szCs w:val="22"/>
                <w:highlight w:val="none"/>
              </w:rPr>
            </w:pPr>
            <w:r>
              <w:rPr>
                <w:rFonts w:hint="eastAsia" w:ascii="宋体" w:hAnsi="宋体" w:cs="宋体"/>
                <w:color w:val="auto"/>
                <w:kern w:val="0"/>
                <w:sz w:val="22"/>
                <w:szCs w:val="22"/>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开户银行：</w:t>
            </w:r>
          </w:p>
        </w:tc>
        <w:tc>
          <w:tcPr>
            <w:tcW w:w="2827" w:type="dxa"/>
            <w:gridSpan w:val="3"/>
          </w:tcPr>
          <w:p>
            <w:pPr>
              <w:spacing w:line="360" w:lineRule="auto"/>
              <w:rPr>
                <w:rFonts w:ascii="宋体" w:hAnsi="宋体"/>
                <w:color w:val="auto"/>
                <w:sz w:val="22"/>
                <w:szCs w:val="22"/>
                <w:highlight w:val="none"/>
              </w:rPr>
            </w:pPr>
          </w:p>
        </w:tc>
        <w:tc>
          <w:tcPr>
            <w:tcW w:w="1794" w:type="dxa"/>
          </w:tcPr>
          <w:p>
            <w:pPr>
              <w:spacing w:line="360" w:lineRule="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rPr>
                <w:rFonts w:ascii="宋体" w:hAnsi="宋体"/>
                <w:color w:val="auto"/>
                <w:sz w:val="22"/>
                <w:szCs w:val="22"/>
                <w:highlight w:val="none"/>
              </w:rPr>
            </w:pPr>
            <w:r>
              <w:rPr>
                <w:rFonts w:hint="eastAsia" w:ascii="宋体" w:hAnsi="宋体" w:cs="宋体"/>
                <w:color w:val="auto"/>
                <w:kern w:val="0"/>
                <w:sz w:val="22"/>
                <w:szCs w:val="22"/>
                <w:highlight w:val="none"/>
              </w:rPr>
              <w:t>账号：</w:t>
            </w:r>
          </w:p>
        </w:tc>
        <w:tc>
          <w:tcPr>
            <w:tcW w:w="2827" w:type="dxa"/>
            <w:gridSpan w:val="3"/>
            <w:vAlign w:val="center"/>
          </w:tcPr>
          <w:p>
            <w:pPr>
              <w:spacing w:line="360" w:lineRule="auto"/>
              <w:jc w:val="right"/>
              <w:rPr>
                <w:rFonts w:ascii="宋体" w:hAnsi="宋体"/>
                <w:color w:val="auto"/>
                <w:sz w:val="22"/>
                <w:szCs w:val="22"/>
                <w:highlight w:val="none"/>
              </w:rPr>
            </w:pPr>
            <w:r>
              <w:rPr>
                <w:rFonts w:hint="eastAsia" w:ascii="宋体" w:hAnsi="宋体"/>
                <w:color w:val="auto"/>
                <w:sz w:val="22"/>
                <w:szCs w:val="22"/>
                <w:highlight w:val="none"/>
              </w:rPr>
              <w:t>年　　月　　日</w:t>
            </w:r>
          </w:p>
        </w:tc>
        <w:tc>
          <w:tcPr>
            <w:tcW w:w="1794" w:type="dxa"/>
            <w:vAlign w:val="center"/>
          </w:tcPr>
          <w:p>
            <w:pPr>
              <w:spacing w:line="360" w:lineRule="auto"/>
              <w:jc w:val="right"/>
              <w:rPr>
                <w:rFonts w:ascii="宋体" w:hAnsi="宋体"/>
                <w:color w:val="auto"/>
                <w:sz w:val="22"/>
                <w:szCs w:val="22"/>
                <w:highlight w:val="none"/>
              </w:rPr>
            </w:pPr>
            <w:r>
              <w:rPr>
                <w:rFonts w:hint="eastAsia" w:ascii="宋体" w:hAnsi="宋体"/>
                <w:color w:val="auto"/>
                <w:sz w:val="22"/>
                <w:szCs w:val="2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招标人意见</w:t>
            </w:r>
          </w:p>
        </w:tc>
        <w:tc>
          <w:tcPr>
            <w:tcW w:w="4621" w:type="dxa"/>
            <w:gridSpan w:val="4"/>
            <w:vAlign w:val="center"/>
          </w:tcPr>
          <w:p>
            <w:pPr>
              <w:spacing w:line="360" w:lineRule="auto"/>
              <w:jc w:val="center"/>
              <w:rPr>
                <w:rFonts w:ascii="宋体" w:hAnsi="宋体"/>
                <w:color w:val="auto"/>
                <w:sz w:val="22"/>
                <w:szCs w:val="22"/>
                <w:highlight w:val="none"/>
              </w:rPr>
            </w:pPr>
            <w:r>
              <w:rPr>
                <w:rFonts w:hint="eastAsia" w:ascii="宋体" w:hAnsi="宋体" w:cs="宋体"/>
                <w:color w:val="auto"/>
                <w:kern w:val="0"/>
                <w:sz w:val="22"/>
                <w:szCs w:val="22"/>
                <w:highlight w:val="none"/>
              </w:rPr>
              <w:t>招标人签章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color w:val="auto"/>
                <w:sz w:val="22"/>
                <w:szCs w:val="22"/>
                <w:highlight w:val="none"/>
              </w:rPr>
            </w:pPr>
          </w:p>
        </w:tc>
        <w:tc>
          <w:tcPr>
            <w:tcW w:w="2827" w:type="dxa"/>
            <w:gridSpan w:val="3"/>
            <w:vAlign w:val="center"/>
          </w:tcPr>
          <w:p>
            <w:pPr>
              <w:spacing w:line="360" w:lineRule="auto"/>
              <w:jc w:val="center"/>
              <w:rPr>
                <w:rFonts w:ascii="宋体" w:hAnsi="宋体"/>
                <w:color w:val="auto"/>
                <w:sz w:val="22"/>
                <w:szCs w:val="22"/>
                <w:highlight w:val="none"/>
              </w:rPr>
            </w:pPr>
            <w:r>
              <w:rPr>
                <w:rFonts w:hint="eastAsia" w:ascii="宋体" w:hAnsi="宋体" w:cs="宋体"/>
                <w:color w:val="auto"/>
                <w:kern w:val="0"/>
                <w:sz w:val="22"/>
                <w:szCs w:val="22"/>
                <w:highlight w:val="none"/>
              </w:rPr>
              <w:t>负责人</w:t>
            </w:r>
          </w:p>
        </w:tc>
        <w:tc>
          <w:tcPr>
            <w:tcW w:w="1794" w:type="dxa"/>
            <w:vAlign w:val="center"/>
          </w:tcPr>
          <w:p>
            <w:pPr>
              <w:spacing w:line="360" w:lineRule="auto"/>
              <w:jc w:val="center"/>
              <w:rPr>
                <w:rFonts w:ascii="宋体" w:hAnsi="宋体"/>
                <w:color w:val="auto"/>
                <w:sz w:val="22"/>
                <w:szCs w:val="22"/>
                <w:highlight w:val="none"/>
              </w:rPr>
            </w:pPr>
            <w:r>
              <w:rPr>
                <w:rFonts w:hint="eastAsia" w:ascii="宋体" w:hAnsi="宋体" w:cs="宋体"/>
                <w:color w:val="auto"/>
                <w:kern w:val="0"/>
                <w:sz w:val="22"/>
                <w:szCs w:val="22"/>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color w:val="auto"/>
                <w:sz w:val="22"/>
                <w:szCs w:val="22"/>
                <w:highlight w:val="none"/>
              </w:rPr>
            </w:pPr>
          </w:p>
        </w:tc>
        <w:tc>
          <w:tcPr>
            <w:tcW w:w="2827" w:type="dxa"/>
            <w:gridSpan w:val="3"/>
          </w:tcPr>
          <w:p>
            <w:pPr>
              <w:spacing w:line="360" w:lineRule="auto"/>
              <w:rPr>
                <w:rFonts w:ascii="宋体" w:hAnsi="宋体"/>
                <w:color w:val="auto"/>
                <w:sz w:val="22"/>
                <w:szCs w:val="22"/>
                <w:highlight w:val="none"/>
              </w:rPr>
            </w:pPr>
          </w:p>
        </w:tc>
        <w:tc>
          <w:tcPr>
            <w:tcW w:w="1794" w:type="dxa"/>
          </w:tcPr>
          <w:p>
            <w:pPr>
              <w:spacing w:line="360" w:lineRule="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color w:val="auto"/>
                <w:sz w:val="22"/>
                <w:szCs w:val="22"/>
                <w:highlight w:val="none"/>
              </w:rPr>
            </w:pPr>
          </w:p>
        </w:tc>
        <w:tc>
          <w:tcPr>
            <w:tcW w:w="2827" w:type="dxa"/>
            <w:gridSpan w:val="3"/>
            <w:vAlign w:val="center"/>
          </w:tcPr>
          <w:p>
            <w:pPr>
              <w:spacing w:line="360" w:lineRule="auto"/>
              <w:jc w:val="right"/>
              <w:rPr>
                <w:rFonts w:ascii="宋体" w:hAnsi="宋体"/>
                <w:color w:val="auto"/>
                <w:sz w:val="22"/>
                <w:szCs w:val="22"/>
                <w:highlight w:val="none"/>
              </w:rPr>
            </w:pPr>
            <w:r>
              <w:rPr>
                <w:rFonts w:hint="eastAsia" w:ascii="宋体" w:hAnsi="宋体"/>
                <w:color w:val="auto"/>
                <w:sz w:val="22"/>
                <w:szCs w:val="22"/>
                <w:highlight w:val="none"/>
              </w:rPr>
              <w:t>年　　月　　日</w:t>
            </w:r>
          </w:p>
        </w:tc>
        <w:tc>
          <w:tcPr>
            <w:tcW w:w="1794" w:type="dxa"/>
            <w:vAlign w:val="center"/>
          </w:tcPr>
          <w:p>
            <w:pPr>
              <w:spacing w:line="360" w:lineRule="auto"/>
              <w:jc w:val="right"/>
              <w:rPr>
                <w:rFonts w:ascii="宋体" w:hAnsi="宋体"/>
                <w:color w:val="auto"/>
                <w:sz w:val="22"/>
                <w:szCs w:val="22"/>
                <w:highlight w:val="none"/>
              </w:rPr>
            </w:pPr>
            <w:r>
              <w:rPr>
                <w:rFonts w:hint="eastAsia" w:ascii="宋体" w:hAnsi="宋体"/>
                <w:color w:val="auto"/>
                <w:sz w:val="22"/>
                <w:szCs w:val="22"/>
                <w:highlight w:val="none"/>
              </w:rPr>
              <w:t>年　　月　　日</w:t>
            </w:r>
          </w:p>
        </w:tc>
      </w:tr>
    </w:tbl>
    <w:p>
      <w:pPr>
        <w:spacing w:line="360" w:lineRule="auto"/>
        <w:rPr>
          <w:rFonts w:ascii="宋体" w:hAnsi="宋体"/>
          <w:color w:val="auto"/>
          <w:sz w:val="22"/>
          <w:szCs w:val="22"/>
          <w:highlight w:val="none"/>
        </w:rPr>
      </w:pPr>
      <w:bookmarkStart w:id="162" w:name="_Toc441844138"/>
      <w:r>
        <w:rPr>
          <w:rFonts w:hint="eastAsia" w:ascii="宋体" w:hAnsi="宋体"/>
          <w:color w:val="auto"/>
          <w:sz w:val="22"/>
          <w:szCs w:val="22"/>
          <w:highlight w:val="none"/>
        </w:rPr>
        <w:t>注：本格式只作参考，招标人可根据公司实际调整。</w:t>
      </w:r>
      <w:bookmarkEnd w:id="162"/>
      <w:bookmarkStart w:id="163" w:name="_Toc441844097"/>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pStyle w:val="4"/>
        <w:jc w:val="center"/>
        <w:rPr>
          <w:rFonts w:ascii="Times New Roman" w:hAnsi="Times New Roman" w:eastAsiaTheme="minorEastAsia"/>
          <w:color w:val="auto"/>
          <w:highlight w:val="none"/>
        </w:rPr>
      </w:pPr>
      <w:bookmarkStart w:id="164" w:name="_Toc61529857"/>
      <w:r>
        <w:rPr>
          <w:rFonts w:ascii="Times New Roman" w:hAnsi="Times New Roman" w:eastAsiaTheme="minorEastAsia"/>
          <w:color w:val="auto"/>
          <w:highlight w:val="none"/>
        </w:rPr>
        <w:t>第三章 评标办法</w:t>
      </w:r>
      <w:bookmarkEnd w:id="163"/>
      <w:bookmarkEnd w:id="164"/>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widowControl/>
        <w:jc w:val="left"/>
        <w:rPr>
          <w:rFonts w:ascii="Times New Roman" w:hAnsi="Times New Roman" w:eastAsia="黑体"/>
          <w:b/>
          <w:color w:val="auto"/>
          <w:kern w:val="0"/>
          <w:sz w:val="22"/>
          <w:szCs w:val="22"/>
          <w:highlight w:val="none"/>
        </w:rPr>
      </w:pPr>
      <w:bookmarkStart w:id="165" w:name="_Toc396137263"/>
      <w:bookmarkStart w:id="166" w:name="_Toc441844098"/>
      <w:bookmarkStart w:id="167" w:name="_Toc425348171"/>
      <w:r>
        <w:rPr>
          <w:rFonts w:ascii="Times New Roman" w:hAnsi="Times New Roman"/>
          <w:color w:val="auto"/>
          <w:sz w:val="22"/>
          <w:szCs w:val="22"/>
          <w:highlight w:val="none"/>
        </w:rPr>
        <w:br w:type="page"/>
      </w:r>
    </w:p>
    <w:p>
      <w:pPr>
        <w:pStyle w:val="5"/>
        <w:tabs>
          <w:tab w:val="left" w:pos="0"/>
          <w:tab w:val="clear" w:pos="1440"/>
        </w:tabs>
        <w:ind w:left="0" w:firstLine="0"/>
        <w:rPr>
          <w:rFonts w:hint="eastAsia" w:ascii="宋体" w:hAnsi="宋体" w:eastAsia="宋体" w:cs="宋体"/>
          <w:color w:val="auto"/>
          <w:sz w:val="22"/>
          <w:szCs w:val="22"/>
          <w:highlight w:val="none"/>
        </w:rPr>
      </w:pPr>
      <w:bookmarkStart w:id="168" w:name="_Toc61529858"/>
      <w:r>
        <w:rPr>
          <w:rFonts w:hint="eastAsia" w:ascii="宋体" w:hAnsi="宋体" w:eastAsia="宋体" w:cs="宋体"/>
          <w:color w:val="auto"/>
          <w:sz w:val="22"/>
          <w:szCs w:val="22"/>
          <w:highlight w:val="none"/>
        </w:rPr>
        <w:t>一、评标原则和目的</w:t>
      </w:r>
      <w:bookmarkEnd w:id="165"/>
      <w:bookmarkEnd w:id="166"/>
      <w:bookmarkEnd w:id="167"/>
      <w:bookmarkEnd w:id="168"/>
    </w:p>
    <w:p>
      <w:pPr>
        <w:pStyle w:val="111"/>
        <w:spacing w:line="360" w:lineRule="auto"/>
        <w:ind w:left="420" w:hanging="420"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1.1  本项目的招标参照《中华人民共和国招标投标法》及实施条例、东莞市交通投资集团有限公司等有关招标的相关文件规定执行。评标必须遵循公开、公平、公正、诚实信用的原则。评标按照招标文件规定的内容进行，采取综合评分法，避免纯技术或纯经济的倾向。</w:t>
      </w:r>
    </w:p>
    <w:p>
      <w:pPr>
        <w:pStyle w:val="111"/>
        <w:spacing w:line="360" w:lineRule="auto"/>
        <w:ind w:left="420" w:hanging="420"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1.2  本办法的评标对象是指投标人按照招标文件要求提供的有效投标文件，包括投标人应评标委员会要求对原投标文件作出的正式书面澄清文件。</w:t>
      </w:r>
    </w:p>
    <w:p>
      <w:pPr>
        <w:pStyle w:val="111"/>
        <w:spacing w:line="360" w:lineRule="auto"/>
        <w:ind w:left="420" w:hanging="420" w:firstLine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1.3 评标委员会成员对需要共同认定的事项存在争议的，应当按照少数服从多数的原则作出结论。持不同意见的评标委员会成员应当在评标报告上签署不同意见及理由，否则视为同意评标报告。</w:t>
      </w:r>
    </w:p>
    <w:p>
      <w:pPr>
        <w:pStyle w:val="5"/>
        <w:tabs>
          <w:tab w:val="left" w:pos="0"/>
          <w:tab w:val="clear" w:pos="1440"/>
        </w:tabs>
        <w:ind w:left="0" w:firstLine="0"/>
        <w:rPr>
          <w:rFonts w:hint="eastAsia" w:ascii="宋体" w:hAnsi="宋体" w:eastAsia="宋体" w:cs="宋体"/>
          <w:color w:val="auto"/>
          <w:sz w:val="22"/>
          <w:szCs w:val="22"/>
          <w:highlight w:val="none"/>
        </w:rPr>
      </w:pPr>
      <w:bookmarkStart w:id="169" w:name="_Toc441844099"/>
      <w:bookmarkStart w:id="170" w:name="_Toc61529859"/>
      <w:bookmarkStart w:id="171" w:name="_Toc425348172"/>
      <w:bookmarkStart w:id="172" w:name="_Toc396137264"/>
      <w:r>
        <w:rPr>
          <w:rFonts w:hint="eastAsia" w:ascii="宋体" w:hAnsi="宋体" w:eastAsia="宋体" w:cs="宋体"/>
          <w:color w:val="auto"/>
          <w:sz w:val="22"/>
          <w:szCs w:val="22"/>
          <w:highlight w:val="none"/>
        </w:rPr>
        <w:t>二、评标程序</w:t>
      </w:r>
      <w:bookmarkEnd w:id="169"/>
      <w:bookmarkEnd w:id="170"/>
      <w:bookmarkEnd w:id="171"/>
      <w:bookmarkEnd w:id="172"/>
    </w:p>
    <w:p>
      <w:pPr>
        <w:spacing w:line="360" w:lineRule="auto"/>
        <w:ind w:left="420" w:leftChars="200"/>
        <w:rPr>
          <w:rFonts w:hint="eastAsia" w:ascii="宋体" w:hAnsi="宋体" w:eastAsia="宋体" w:cs="宋体"/>
          <w:b/>
          <w:color w:val="auto"/>
          <w:sz w:val="22"/>
          <w:szCs w:val="22"/>
          <w:highlight w:val="none"/>
        </w:rPr>
      </w:pPr>
      <w:bookmarkStart w:id="173" w:name="_Toc441844100"/>
      <w:r>
        <w:rPr>
          <w:rFonts w:hint="eastAsia" w:ascii="宋体" w:hAnsi="宋体" w:eastAsia="宋体" w:cs="宋体"/>
          <w:color w:val="auto"/>
          <w:sz w:val="22"/>
          <w:szCs w:val="22"/>
          <w:highlight w:val="none"/>
        </w:rPr>
        <w:t>评标步骤：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3"/>
    </w:p>
    <w:p>
      <w:pPr>
        <w:pStyle w:val="111"/>
        <w:numPr>
          <w:ilvl w:val="0"/>
          <w:numId w:val="50"/>
        </w:numPr>
        <w:spacing w:line="360" w:lineRule="auto"/>
        <w:ind w:left="426" w:hanging="426"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资格、符合性审查</w:t>
      </w:r>
    </w:p>
    <w:p>
      <w:pPr>
        <w:spacing w:line="360" w:lineRule="auto"/>
        <w:ind w:left="420" w:left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1、资格性审查是指评标委员会依据法律法规和招标文件的规定，对投标文件中的资格要求证明、投标保证金、投标人（含其不具有独立法人资格的分支机构）信用等进行审查，以确定投标人是否具备投标资格。</w:t>
      </w:r>
    </w:p>
    <w:p>
      <w:pPr>
        <w:spacing w:line="360" w:lineRule="auto"/>
        <w:ind w:left="420" w:left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2、符合性审查时，投标人存在下列情况之一的，投标无效：</w:t>
      </w:r>
    </w:p>
    <w:p>
      <w:pPr>
        <w:spacing w:line="360" w:lineRule="auto"/>
        <w:ind w:left="420" w:left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1)投标文件未按招标文件要求签署、盖章的；</w:t>
      </w:r>
    </w:p>
    <w:p>
      <w:pPr>
        <w:spacing w:line="360" w:lineRule="auto"/>
        <w:ind w:left="420" w:left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包括但不限于：</w:t>
      </w:r>
    </w:p>
    <w:p>
      <w:pPr>
        <w:spacing w:line="360" w:lineRule="auto"/>
        <w:ind w:left="420"/>
        <w:rPr>
          <w:rFonts w:ascii="宋体" w:hAnsi="宋体"/>
          <w:color w:val="auto"/>
          <w:sz w:val="22"/>
          <w:szCs w:val="22"/>
          <w:highlight w:val="none"/>
        </w:rPr>
      </w:pPr>
      <w:r>
        <w:rPr>
          <w:rFonts w:hint="eastAsia" w:ascii="宋体" w:hAnsi="宋体"/>
          <w:color w:val="auto"/>
          <w:sz w:val="22"/>
          <w:szCs w:val="22"/>
          <w:highlight w:val="none"/>
        </w:rPr>
        <w:t>①投标文件无法定代表人或其授权代表签字，或签字人无法定代表人有效授权的；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②投标文件签字、盖章不符合招标文件要求的；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③投标文件的关键内容字迹模糊、无法辨认的。</w:t>
      </w:r>
    </w:p>
    <w:p>
      <w:pPr>
        <w:spacing w:line="360" w:lineRule="auto"/>
        <w:ind w:left="420" w:leftChars="200"/>
        <w:rPr>
          <w:rFonts w:ascii="宋体" w:hAnsi="宋体"/>
          <w:b/>
          <w:color w:val="auto"/>
          <w:sz w:val="22"/>
          <w:szCs w:val="22"/>
          <w:highlight w:val="none"/>
        </w:rPr>
      </w:pPr>
      <w:r>
        <w:rPr>
          <w:rFonts w:hint="eastAsia" w:ascii="宋体" w:hAnsi="宋体"/>
          <w:b/>
          <w:color w:val="auto"/>
          <w:sz w:val="22"/>
          <w:szCs w:val="22"/>
          <w:highlight w:val="none"/>
        </w:rPr>
        <w:t>2)报价超过招标文件中规定的预算金额或者最高限价的；</w:t>
      </w:r>
    </w:p>
    <w:p>
      <w:pPr>
        <w:spacing w:line="360" w:lineRule="auto"/>
        <w:ind w:left="420" w:leftChars="200"/>
        <w:rPr>
          <w:rFonts w:ascii="宋体" w:hAnsi="宋体"/>
          <w:b/>
          <w:color w:val="auto"/>
          <w:sz w:val="22"/>
          <w:szCs w:val="22"/>
          <w:highlight w:val="none"/>
        </w:rPr>
      </w:pPr>
      <w:r>
        <w:rPr>
          <w:rFonts w:hint="eastAsia" w:ascii="宋体" w:hAnsi="宋体"/>
          <w:b/>
          <w:color w:val="auto"/>
          <w:sz w:val="22"/>
          <w:szCs w:val="22"/>
          <w:highlight w:val="none"/>
        </w:rPr>
        <w:t>3)投标文件含有招标人不能接受的附加条件的；</w:t>
      </w:r>
    </w:p>
    <w:p>
      <w:pPr>
        <w:spacing w:line="360" w:lineRule="auto"/>
        <w:ind w:left="420" w:leftChars="200"/>
        <w:rPr>
          <w:rFonts w:ascii="宋体" w:hAnsi="宋体"/>
          <w:b/>
          <w:color w:val="auto"/>
          <w:sz w:val="22"/>
          <w:szCs w:val="22"/>
          <w:highlight w:val="none"/>
        </w:rPr>
      </w:pPr>
      <w:r>
        <w:rPr>
          <w:rFonts w:hint="eastAsia" w:ascii="宋体" w:hAnsi="宋体"/>
          <w:b/>
          <w:color w:val="auto"/>
          <w:sz w:val="22"/>
          <w:szCs w:val="22"/>
          <w:highlight w:val="none"/>
        </w:rPr>
        <w:t>4)投标文件未满足招标文件的实质性要求的；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包括但不限于：</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①投标文件不满足招标文件中加注星号（★）的重要条款要求的；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②投标有效期未满足招标文件要求的；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③投标文件商务和技术响应与事实不符或虚假投标的；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④将一个包中的内容拆开投标的；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⑤投标人对同一服务投标时，同时提供两套或两套以上的投标方案的；</w:t>
      </w:r>
    </w:p>
    <w:p>
      <w:pPr>
        <w:spacing w:line="360" w:lineRule="auto"/>
        <w:ind w:left="420" w:leftChars="200"/>
        <w:rPr>
          <w:rFonts w:ascii="宋体" w:hAnsi="宋体"/>
          <w:color w:val="auto"/>
          <w:sz w:val="22"/>
          <w:szCs w:val="22"/>
          <w:highlight w:val="none"/>
        </w:rPr>
      </w:pPr>
      <w:r>
        <w:rPr>
          <w:rFonts w:hint="eastAsia" w:ascii="宋体" w:hAnsi="宋体"/>
          <w:color w:val="auto"/>
          <w:sz w:val="22"/>
          <w:szCs w:val="22"/>
          <w:highlight w:val="none"/>
        </w:rPr>
        <w:t>⑥投标文件份数不满足招标文件要求的；</w:t>
      </w:r>
    </w:p>
    <w:p>
      <w:pPr>
        <w:spacing w:line="360" w:lineRule="auto"/>
        <w:ind w:left="420" w:leftChars="200"/>
        <w:rPr>
          <w:rFonts w:ascii="宋体" w:hAnsi="宋体"/>
          <w:color w:val="auto"/>
          <w:sz w:val="22"/>
          <w:szCs w:val="22"/>
          <w:highlight w:val="none"/>
        </w:rPr>
      </w:pPr>
      <w:r>
        <w:rPr>
          <w:rFonts w:ascii="宋体" w:hAnsi="宋体"/>
          <w:color w:val="auto"/>
          <w:sz w:val="22"/>
          <w:szCs w:val="22"/>
          <w:highlight w:val="none"/>
        </w:rPr>
        <w:fldChar w:fldCharType="begin"/>
      </w:r>
      <w:r>
        <w:rPr>
          <w:rFonts w:ascii="宋体" w:hAnsi="宋体"/>
          <w:color w:val="auto"/>
          <w:sz w:val="22"/>
          <w:szCs w:val="22"/>
          <w:highlight w:val="none"/>
        </w:rPr>
        <w:instrText xml:space="preserve"> </w:instrText>
      </w:r>
      <w:r>
        <w:rPr>
          <w:rFonts w:hint="eastAsia" w:ascii="宋体" w:hAnsi="宋体"/>
          <w:color w:val="auto"/>
          <w:sz w:val="22"/>
          <w:szCs w:val="22"/>
          <w:highlight w:val="none"/>
        </w:rPr>
        <w:instrText xml:space="preserve">= 7 \* GB3</w:instrText>
      </w:r>
      <w:r>
        <w:rPr>
          <w:rFonts w:ascii="宋体" w:hAnsi="宋体"/>
          <w:color w:val="auto"/>
          <w:sz w:val="22"/>
          <w:szCs w:val="22"/>
          <w:highlight w:val="none"/>
        </w:rPr>
        <w:instrText xml:space="preserve"> </w:instrText>
      </w:r>
      <w:r>
        <w:rPr>
          <w:rFonts w:ascii="宋体" w:hAnsi="宋体"/>
          <w:color w:val="auto"/>
          <w:sz w:val="22"/>
          <w:szCs w:val="22"/>
          <w:highlight w:val="none"/>
        </w:rPr>
        <w:fldChar w:fldCharType="separate"/>
      </w:r>
      <w:r>
        <w:rPr>
          <w:rFonts w:hint="eastAsia" w:ascii="宋体" w:hAnsi="宋体"/>
          <w:color w:val="auto"/>
          <w:sz w:val="22"/>
          <w:szCs w:val="22"/>
          <w:highlight w:val="none"/>
        </w:rPr>
        <w:t>⑦</w:t>
      </w:r>
      <w:r>
        <w:rPr>
          <w:rFonts w:ascii="宋体" w:hAnsi="宋体"/>
          <w:color w:val="auto"/>
          <w:sz w:val="22"/>
          <w:szCs w:val="22"/>
          <w:highlight w:val="none"/>
        </w:rPr>
        <w:fldChar w:fldCharType="end"/>
      </w:r>
      <w:r>
        <w:rPr>
          <w:rFonts w:hint="eastAsia" w:ascii="宋体" w:hAnsi="宋体"/>
          <w:color w:val="auto"/>
          <w:sz w:val="22"/>
          <w:szCs w:val="22"/>
          <w:highlight w:val="none"/>
        </w:rPr>
        <w:t>其他未实质性响应招标文件要求的。</w:t>
      </w:r>
    </w:p>
    <w:p>
      <w:pPr>
        <w:spacing w:line="360" w:lineRule="auto"/>
        <w:ind w:left="420" w:leftChars="200"/>
        <w:rPr>
          <w:rFonts w:ascii="宋体" w:hAnsi="宋体"/>
          <w:b/>
          <w:color w:val="auto"/>
          <w:sz w:val="22"/>
          <w:szCs w:val="22"/>
          <w:highlight w:val="none"/>
        </w:rPr>
      </w:pPr>
      <w:r>
        <w:rPr>
          <w:rFonts w:hint="eastAsia" w:ascii="宋体" w:hAnsi="宋体"/>
          <w:b/>
          <w:color w:val="auto"/>
          <w:sz w:val="22"/>
          <w:szCs w:val="22"/>
          <w:highlight w:val="none"/>
        </w:rPr>
        <w:t>5)法律、法规和招标文件规定的其他无效情形。</w:t>
      </w:r>
    </w:p>
    <w:p>
      <w:pPr>
        <w:pStyle w:val="111"/>
        <w:numPr>
          <w:ilvl w:val="0"/>
          <w:numId w:val="50"/>
        </w:numPr>
        <w:spacing w:line="360" w:lineRule="auto"/>
        <w:ind w:left="426" w:hanging="426" w:firstLineChars="0"/>
        <w:rPr>
          <w:rFonts w:ascii="Times New Roman" w:hAnsi="Times New Roman"/>
          <w:b/>
          <w:color w:val="auto"/>
          <w:sz w:val="22"/>
          <w:szCs w:val="22"/>
          <w:highlight w:val="none"/>
        </w:rPr>
      </w:pPr>
      <w:r>
        <w:rPr>
          <w:rFonts w:hint="eastAsia" w:ascii="Times New Roman" w:hAnsi="Times New Roman"/>
          <w:b/>
          <w:color w:val="auto"/>
          <w:sz w:val="22"/>
          <w:szCs w:val="22"/>
          <w:highlight w:val="none"/>
        </w:rPr>
        <w:t>资格、符合性审查表</w:t>
      </w:r>
    </w:p>
    <w:tbl>
      <w:tblPr>
        <w:tblStyle w:val="51"/>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color w:val="auto"/>
                <w:sz w:val="22"/>
                <w:szCs w:val="22"/>
                <w:highlight w:val="none"/>
              </w:rPr>
            </w:pPr>
            <w:r>
              <w:rPr>
                <w:rFonts w:ascii="宋体" w:hAnsi="宋体"/>
                <w:color w:val="auto"/>
                <w:sz w:val="22"/>
                <w:szCs w:val="22"/>
                <w:highlight w:val="none"/>
              </w:rPr>
              <w:t>投标单位</w:t>
            </w:r>
          </w:p>
          <w:p>
            <w:pPr>
              <w:spacing w:line="360" w:lineRule="auto"/>
              <w:rPr>
                <w:rFonts w:ascii="宋体" w:hAnsi="宋体"/>
                <w:b/>
                <w:color w:val="auto"/>
                <w:sz w:val="22"/>
                <w:szCs w:val="22"/>
                <w:highlight w:val="none"/>
              </w:rPr>
            </w:pPr>
            <w:r>
              <w:rPr>
                <w:rFonts w:ascii="宋体" w:hAnsi="宋体"/>
                <w:color w:val="auto"/>
                <w:sz w:val="22"/>
                <w:szCs w:val="22"/>
                <w:highlight w:val="none"/>
              </w:rPr>
              <w:t>评审内容</w:t>
            </w:r>
          </w:p>
        </w:tc>
        <w:tc>
          <w:tcPr>
            <w:tcW w:w="1418" w:type="dxa"/>
          </w:tcPr>
          <w:p>
            <w:pPr>
              <w:spacing w:line="360" w:lineRule="auto"/>
              <w:rPr>
                <w:rFonts w:ascii="宋体" w:hAnsi="宋体"/>
                <w:b/>
                <w:color w:val="auto"/>
                <w:sz w:val="22"/>
                <w:szCs w:val="22"/>
                <w:highlight w:val="none"/>
              </w:rPr>
            </w:pPr>
          </w:p>
        </w:tc>
        <w:tc>
          <w:tcPr>
            <w:tcW w:w="1559" w:type="dxa"/>
          </w:tcPr>
          <w:p>
            <w:pPr>
              <w:spacing w:line="360" w:lineRule="auto"/>
              <w:rPr>
                <w:rFonts w:ascii="宋体" w:hAnsi="宋体"/>
                <w:b/>
                <w:color w:val="auto"/>
                <w:sz w:val="22"/>
                <w:szCs w:val="22"/>
                <w:highlight w:val="none"/>
              </w:rPr>
            </w:pPr>
          </w:p>
        </w:tc>
        <w:tc>
          <w:tcPr>
            <w:tcW w:w="1559" w:type="dxa"/>
          </w:tcPr>
          <w:p>
            <w:pPr>
              <w:spacing w:line="360" w:lineRule="auto"/>
              <w:rPr>
                <w:rFonts w:ascii="宋体" w:hAnsi="宋体"/>
                <w:b/>
                <w:color w:val="auto"/>
                <w:sz w:val="22"/>
                <w:szCs w:val="22"/>
                <w:highlight w:val="none"/>
              </w:rPr>
            </w:pPr>
          </w:p>
        </w:tc>
        <w:tc>
          <w:tcPr>
            <w:tcW w:w="1621" w:type="dxa"/>
          </w:tcPr>
          <w:p>
            <w:pPr>
              <w:spacing w:line="360" w:lineRule="auto"/>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color w:val="auto"/>
                <w:sz w:val="22"/>
                <w:szCs w:val="22"/>
                <w:highlight w:val="none"/>
              </w:rPr>
            </w:pPr>
            <w:r>
              <w:rPr>
                <w:rFonts w:hint="eastAsia" w:ascii="宋体" w:hAnsi="宋体"/>
                <w:b/>
                <w:color w:val="auto"/>
                <w:sz w:val="22"/>
                <w:szCs w:val="22"/>
                <w:highlight w:val="none"/>
              </w:rPr>
              <w:t>资格性审查</w:t>
            </w:r>
          </w:p>
        </w:tc>
        <w:tc>
          <w:tcPr>
            <w:tcW w:w="2126" w:type="dxa"/>
            <w:tcBorders>
              <w:left w:val="single" w:color="auto" w:sz="4" w:space="0"/>
            </w:tcBorders>
            <w:vAlign w:val="center"/>
          </w:tcPr>
          <w:p>
            <w:pPr>
              <w:rPr>
                <w:rFonts w:ascii="宋体" w:hAnsi="宋体"/>
                <w:b/>
                <w:color w:val="auto"/>
                <w:sz w:val="22"/>
                <w:szCs w:val="22"/>
                <w:highlight w:val="none"/>
              </w:rPr>
            </w:pPr>
            <w:r>
              <w:rPr>
                <w:rFonts w:hint="eastAsia" w:ascii="宋体" w:hAnsi="宋体"/>
                <w:b/>
                <w:color w:val="auto"/>
                <w:sz w:val="22"/>
                <w:szCs w:val="22"/>
                <w:highlight w:val="none"/>
              </w:rPr>
              <w:t>1.符合投标人符合合格投标人的基本条件的</w:t>
            </w:r>
            <w:r>
              <w:rPr>
                <w:rFonts w:hint="eastAsia" w:ascii="宋体" w:hAnsi="宋体"/>
                <w:b/>
                <w:color w:val="auto"/>
                <w:sz w:val="22"/>
                <w:szCs w:val="22"/>
                <w:highlight w:val="none"/>
                <w:lang w:eastAsia="zh-CN"/>
              </w:rPr>
              <w:t>，</w:t>
            </w:r>
            <w:r>
              <w:rPr>
                <w:rFonts w:hint="eastAsia" w:ascii="宋体" w:hAnsi="宋体"/>
                <w:b/>
                <w:color w:val="auto"/>
                <w:sz w:val="22"/>
                <w:szCs w:val="22"/>
                <w:highlight w:val="none"/>
                <w:lang w:val="en-US" w:eastAsia="zh-CN"/>
              </w:rPr>
              <w:t>含合格的投标人3.1款至3.4款</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2.</w:t>
            </w:r>
            <w:r>
              <w:rPr>
                <w:rFonts w:hint="eastAsia"/>
                <w:color w:val="auto"/>
                <w:highlight w:val="none"/>
              </w:rPr>
              <w:t xml:space="preserve"> </w:t>
            </w:r>
            <w:r>
              <w:rPr>
                <w:rFonts w:hint="eastAsia" w:ascii="宋体" w:hAnsi="宋体"/>
                <w:b/>
                <w:color w:val="auto"/>
                <w:sz w:val="22"/>
                <w:szCs w:val="22"/>
                <w:highlight w:val="none"/>
              </w:rPr>
              <w:t>未被列入“国家企业信用信息公示系统”网站（http://www.gsxt.gov.cn）严重违法失信企业名单；未被列入“中国执行信息公开网”失信执行人</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hint="eastAsia" w:ascii="宋体" w:hAnsi="宋体"/>
                <w:b/>
                <w:color w:val="auto"/>
                <w:sz w:val="22"/>
                <w:szCs w:val="22"/>
                <w:highlight w:val="none"/>
              </w:rPr>
              <w:t>3</w:t>
            </w:r>
            <w:r>
              <w:rPr>
                <w:rFonts w:ascii="宋体" w:hAnsi="宋体"/>
                <w:b/>
                <w:color w:val="auto"/>
                <w:sz w:val="22"/>
                <w:szCs w:val="22"/>
                <w:highlight w:val="none"/>
              </w:rPr>
              <w:t>.</w:t>
            </w:r>
            <w:r>
              <w:rPr>
                <w:rFonts w:hint="eastAsia" w:ascii="宋体" w:hAnsi="宋体"/>
                <w:b/>
                <w:color w:val="auto"/>
                <w:sz w:val="22"/>
                <w:szCs w:val="22"/>
                <w:highlight w:val="none"/>
              </w:rPr>
              <w:t>不存在大额诉讼或多宗诉讼或其他违法、违约等影响本次招标项目正常履约的情形</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hint="eastAsia" w:ascii="宋体" w:hAnsi="宋体"/>
                <w:b/>
                <w:color w:val="auto"/>
                <w:sz w:val="22"/>
                <w:szCs w:val="22"/>
                <w:highlight w:val="none"/>
              </w:rPr>
              <w:t>4.不存在投标人或其关联公司曾与东莞市交通投资集团有限公司及其下属企业签订合，且正在履约过程中因投标人或其关联公司严重违约而导致合同变更、中止、解除的情形</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5.</w:t>
            </w:r>
            <w:r>
              <w:rPr>
                <w:rFonts w:hint="eastAsia" w:ascii="宋体" w:hAnsi="宋体"/>
                <w:b/>
                <w:color w:val="auto"/>
                <w:sz w:val="22"/>
                <w:szCs w:val="22"/>
                <w:highlight w:val="none"/>
              </w:rPr>
              <w:t>投标人或其关联公司未与东莞市交通投资集团有公司及其下属企业发生诉讼的</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hint="eastAsia" w:ascii="宋体" w:hAnsi="宋体"/>
                <w:b/>
                <w:color w:val="auto"/>
                <w:sz w:val="22"/>
                <w:szCs w:val="22"/>
                <w:highlight w:val="none"/>
              </w:rPr>
              <w:t>6</w:t>
            </w:r>
            <w:r>
              <w:rPr>
                <w:rFonts w:ascii="宋体" w:hAnsi="宋体"/>
                <w:b/>
                <w:color w:val="auto"/>
                <w:sz w:val="22"/>
                <w:szCs w:val="22"/>
                <w:highlight w:val="none"/>
              </w:rPr>
              <w:t>.</w:t>
            </w:r>
            <w:r>
              <w:rPr>
                <w:rFonts w:hint="eastAsia" w:ascii="宋体" w:hAnsi="宋体"/>
                <w:b/>
                <w:color w:val="auto"/>
                <w:sz w:val="22"/>
                <w:szCs w:val="22"/>
                <w:highlight w:val="none"/>
              </w:rPr>
              <w:t>不存在院判决或仲裁裁决认定投标人或其关联公司在与东莞市交通投资集团有限公司及其下属企业履约过程中存在违约或过失责任的情形的</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color w:val="auto"/>
                <w:sz w:val="22"/>
                <w:szCs w:val="22"/>
                <w:highlight w:val="none"/>
              </w:rPr>
            </w:pPr>
            <w:r>
              <w:rPr>
                <w:rFonts w:ascii="宋体" w:hAnsi="宋体"/>
                <w:b/>
                <w:color w:val="auto"/>
                <w:sz w:val="22"/>
                <w:szCs w:val="22"/>
                <w:highlight w:val="none"/>
              </w:rPr>
              <w:t>符合性审查</w:t>
            </w: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1.</w:t>
            </w:r>
            <w:r>
              <w:rPr>
                <w:rFonts w:hint="eastAsia" w:ascii="宋体" w:hAnsi="宋体"/>
                <w:b/>
                <w:color w:val="auto"/>
                <w:sz w:val="22"/>
                <w:szCs w:val="22"/>
                <w:highlight w:val="none"/>
              </w:rPr>
              <w:t>投标文件按招标文件要求签署、盖章的</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2.</w:t>
            </w:r>
            <w:r>
              <w:rPr>
                <w:rFonts w:hint="eastAsia" w:ascii="宋体" w:hAnsi="宋体"/>
                <w:b/>
                <w:color w:val="auto"/>
                <w:sz w:val="22"/>
                <w:szCs w:val="22"/>
                <w:highlight w:val="none"/>
              </w:rPr>
              <w:t>报价未超过招标文件中规定的预算金额或者最高限价的</w:t>
            </w:r>
          </w:p>
        </w:tc>
        <w:tc>
          <w:tcPr>
            <w:tcW w:w="1418"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3.</w:t>
            </w:r>
            <w:r>
              <w:rPr>
                <w:rFonts w:hint="eastAsia" w:ascii="宋体" w:hAnsi="宋体"/>
                <w:b/>
                <w:color w:val="auto"/>
                <w:sz w:val="22"/>
                <w:szCs w:val="22"/>
                <w:highlight w:val="none"/>
              </w:rPr>
              <w:t>投标文件不含有招标人不能接受的附加条件的</w:t>
            </w:r>
          </w:p>
        </w:tc>
        <w:tc>
          <w:tcPr>
            <w:tcW w:w="1418" w:type="dxa"/>
          </w:tcPr>
          <w:p>
            <w:pPr>
              <w:rPr>
                <w:rFonts w:ascii="宋体" w:hAnsi="宋体"/>
                <w:b/>
                <w:color w:val="auto"/>
                <w:sz w:val="22"/>
                <w:szCs w:val="22"/>
                <w:highlight w:val="none"/>
              </w:rPr>
            </w:pPr>
          </w:p>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4.</w:t>
            </w:r>
            <w:r>
              <w:rPr>
                <w:rFonts w:hint="eastAsia" w:ascii="宋体" w:hAnsi="宋体"/>
                <w:b/>
                <w:color w:val="auto"/>
                <w:sz w:val="22"/>
                <w:szCs w:val="22"/>
                <w:highlight w:val="none"/>
              </w:rPr>
              <w:t>投标文件满足招标文件的实质性要求的</w:t>
            </w:r>
          </w:p>
        </w:tc>
        <w:tc>
          <w:tcPr>
            <w:tcW w:w="1418" w:type="dxa"/>
          </w:tcPr>
          <w:p>
            <w:pPr>
              <w:rPr>
                <w:rFonts w:ascii="宋体" w:hAnsi="宋体"/>
                <w:b/>
                <w:color w:val="auto"/>
                <w:sz w:val="22"/>
                <w:szCs w:val="22"/>
                <w:highlight w:val="none"/>
              </w:rPr>
            </w:pPr>
          </w:p>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auto"/>
                <w:sz w:val="22"/>
                <w:szCs w:val="22"/>
                <w:highlight w:val="none"/>
              </w:rPr>
            </w:pPr>
          </w:p>
        </w:tc>
        <w:tc>
          <w:tcPr>
            <w:tcW w:w="2126" w:type="dxa"/>
            <w:tcBorders>
              <w:left w:val="single" w:color="auto" w:sz="4" w:space="0"/>
            </w:tcBorders>
            <w:vAlign w:val="center"/>
          </w:tcPr>
          <w:p>
            <w:pPr>
              <w:rPr>
                <w:rFonts w:ascii="宋体" w:hAnsi="宋体"/>
                <w:b/>
                <w:color w:val="auto"/>
                <w:sz w:val="22"/>
                <w:szCs w:val="22"/>
                <w:highlight w:val="none"/>
              </w:rPr>
            </w:pPr>
            <w:r>
              <w:rPr>
                <w:rFonts w:ascii="宋体" w:hAnsi="宋体"/>
                <w:b/>
                <w:color w:val="auto"/>
                <w:sz w:val="22"/>
                <w:szCs w:val="22"/>
                <w:highlight w:val="none"/>
              </w:rPr>
              <w:t>5.</w:t>
            </w:r>
            <w:r>
              <w:rPr>
                <w:rFonts w:hint="eastAsia" w:ascii="宋体" w:hAnsi="宋体"/>
                <w:b/>
                <w:color w:val="auto"/>
                <w:sz w:val="22"/>
                <w:szCs w:val="22"/>
                <w:highlight w:val="none"/>
              </w:rPr>
              <w:t>无法律、法规和招标文件规定的其他无效情形</w:t>
            </w:r>
          </w:p>
        </w:tc>
        <w:tc>
          <w:tcPr>
            <w:tcW w:w="1418" w:type="dxa"/>
          </w:tcPr>
          <w:p>
            <w:pPr>
              <w:rPr>
                <w:rFonts w:ascii="宋体" w:hAnsi="宋体"/>
                <w:b/>
                <w:color w:val="auto"/>
                <w:sz w:val="22"/>
                <w:szCs w:val="22"/>
                <w:highlight w:val="none"/>
              </w:rPr>
            </w:pPr>
          </w:p>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559" w:type="dxa"/>
          </w:tcPr>
          <w:p>
            <w:pPr>
              <w:rPr>
                <w:rFonts w:ascii="宋体" w:hAnsi="宋体"/>
                <w:b/>
                <w:color w:val="auto"/>
                <w:sz w:val="22"/>
                <w:szCs w:val="22"/>
                <w:highlight w:val="none"/>
              </w:rPr>
            </w:pPr>
          </w:p>
        </w:tc>
        <w:tc>
          <w:tcPr>
            <w:tcW w:w="1621" w:type="dxa"/>
          </w:tcPr>
          <w:p>
            <w:pPr>
              <w:rPr>
                <w:rFonts w:ascii="宋体" w:hAnsi="宋体"/>
                <w:b/>
                <w:color w:val="auto"/>
                <w:sz w:val="22"/>
                <w:szCs w:val="22"/>
                <w:highlight w:val="none"/>
              </w:rPr>
            </w:pPr>
          </w:p>
        </w:tc>
      </w:tr>
    </w:tbl>
    <w:p>
      <w:pPr>
        <w:pStyle w:val="111"/>
        <w:numPr>
          <w:ilvl w:val="0"/>
          <w:numId w:val="50"/>
        </w:numPr>
        <w:spacing w:line="360" w:lineRule="auto"/>
        <w:ind w:firstLineChars="0"/>
        <w:rPr>
          <w:color w:val="auto"/>
          <w:sz w:val="22"/>
          <w:szCs w:val="22"/>
          <w:highlight w:val="none"/>
        </w:rPr>
      </w:pPr>
      <w:r>
        <w:rPr>
          <w:color w:val="auto"/>
          <w:sz w:val="22"/>
          <w:szCs w:val="22"/>
          <w:highlight w:val="none"/>
        </w:rPr>
        <w:t>以上</w:t>
      </w:r>
      <w:r>
        <w:rPr>
          <w:rFonts w:hint="eastAsia"/>
          <w:color w:val="auto"/>
          <w:sz w:val="22"/>
          <w:szCs w:val="22"/>
          <w:highlight w:val="none"/>
        </w:rPr>
        <w:t>资格、</w:t>
      </w:r>
      <w:r>
        <w:rPr>
          <w:color w:val="auto"/>
          <w:sz w:val="22"/>
          <w:szCs w:val="22"/>
          <w:highlight w:val="none"/>
        </w:rPr>
        <w:t>符合性</w:t>
      </w:r>
      <w:r>
        <w:rPr>
          <w:rFonts w:hint="eastAsia"/>
          <w:color w:val="auto"/>
          <w:sz w:val="22"/>
          <w:szCs w:val="22"/>
          <w:highlight w:val="none"/>
        </w:rPr>
        <w:t>审查</w:t>
      </w:r>
      <w:r>
        <w:rPr>
          <w:color w:val="auto"/>
          <w:sz w:val="22"/>
          <w:szCs w:val="22"/>
          <w:highlight w:val="none"/>
        </w:rPr>
        <w:t>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111"/>
        <w:numPr>
          <w:ilvl w:val="0"/>
          <w:numId w:val="50"/>
        </w:numPr>
        <w:spacing w:line="360" w:lineRule="auto"/>
        <w:ind w:firstLineChars="0"/>
        <w:rPr>
          <w:color w:val="auto"/>
          <w:sz w:val="22"/>
          <w:szCs w:val="22"/>
          <w:highlight w:val="none"/>
        </w:rPr>
      </w:pPr>
      <w:r>
        <w:rPr>
          <w:color w:val="auto"/>
          <w:sz w:val="22"/>
          <w:szCs w:val="22"/>
          <w:highlight w:val="none"/>
        </w:rPr>
        <w:t>评标委员会就投标人的投标文件进行</w:t>
      </w:r>
      <w:r>
        <w:rPr>
          <w:rFonts w:hint="eastAsia"/>
          <w:color w:val="auto"/>
          <w:sz w:val="22"/>
          <w:szCs w:val="22"/>
          <w:highlight w:val="none"/>
        </w:rPr>
        <w:t>资格、</w:t>
      </w:r>
      <w:r>
        <w:rPr>
          <w:color w:val="auto"/>
          <w:sz w:val="22"/>
          <w:szCs w:val="22"/>
          <w:highlight w:val="none"/>
        </w:rPr>
        <w:t>符合性</w:t>
      </w:r>
      <w:r>
        <w:rPr>
          <w:rFonts w:hint="eastAsia"/>
          <w:color w:val="auto"/>
          <w:sz w:val="22"/>
          <w:szCs w:val="22"/>
          <w:highlight w:val="none"/>
        </w:rPr>
        <w:t>审查</w:t>
      </w:r>
      <w:r>
        <w:rPr>
          <w:color w:val="auto"/>
          <w:sz w:val="22"/>
          <w:szCs w:val="22"/>
          <w:highlight w:val="none"/>
        </w:rPr>
        <w:t>，经评标委员会确认具有有效投标文件的投标人不足三家时将重新组织</w:t>
      </w:r>
      <w:r>
        <w:rPr>
          <w:rFonts w:hint="eastAsia"/>
          <w:color w:val="auto"/>
          <w:sz w:val="22"/>
          <w:szCs w:val="22"/>
          <w:highlight w:val="none"/>
        </w:rPr>
        <w:t>招标</w:t>
      </w:r>
      <w:r>
        <w:rPr>
          <w:color w:val="auto"/>
          <w:sz w:val="22"/>
          <w:szCs w:val="22"/>
          <w:highlight w:val="none"/>
        </w:rPr>
        <w:t>。</w:t>
      </w:r>
    </w:p>
    <w:p>
      <w:pPr>
        <w:pStyle w:val="111"/>
        <w:numPr>
          <w:ilvl w:val="0"/>
          <w:numId w:val="50"/>
        </w:numPr>
        <w:spacing w:line="360" w:lineRule="auto"/>
        <w:ind w:firstLineChars="0"/>
        <w:rPr>
          <w:color w:val="auto"/>
          <w:sz w:val="22"/>
          <w:szCs w:val="22"/>
          <w:highlight w:val="none"/>
        </w:rPr>
      </w:pPr>
      <w:r>
        <w:rPr>
          <w:color w:val="auto"/>
          <w:sz w:val="22"/>
          <w:szCs w:val="22"/>
          <w:highlight w:val="none"/>
        </w:rPr>
        <w:t>现场澄清：按招标文件第二</w:t>
      </w:r>
      <w:r>
        <w:rPr>
          <w:rFonts w:hint="eastAsia"/>
          <w:color w:val="auto"/>
          <w:sz w:val="22"/>
          <w:szCs w:val="22"/>
          <w:highlight w:val="none"/>
        </w:rPr>
        <w:t>章</w:t>
      </w:r>
      <w:r>
        <w:rPr>
          <w:color w:val="auto"/>
          <w:sz w:val="22"/>
          <w:szCs w:val="22"/>
          <w:highlight w:val="none"/>
        </w:rPr>
        <w:t>。</w:t>
      </w:r>
    </w:p>
    <w:p>
      <w:pPr>
        <w:pStyle w:val="111"/>
        <w:numPr>
          <w:ilvl w:val="0"/>
          <w:numId w:val="50"/>
        </w:numPr>
        <w:spacing w:line="360" w:lineRule="auto"/>
        <w:ind w:firstLineChars="0"/>
        <w:rPr>
          <w:color w:val="auto"/>
          <w:sz w:val="22"/>
          <w:szCs w:val="22"/>
          <w:highlight w:val="none"/>
        </w:rPr>
      </w:pPr>
      <w:r>
        <w:rPr>
          <w:color w:val="auto"/>
          <w:sz w:val="22"/>
          <w:szCs w:val="22"/>
          <w:highlight w:val="none"/>
        </w:rPr>
        <w:t>细微偏差修正</w:t>
      </w:r>
    </w:p>
    <w:p>
      <w:pPr>
        <w:pStyle w:val="46"/>
        <w:widowControl w:val="0"/>
        <w:numPr>
          <w:ilvl w:val="0"/>
          <w:numId w:val="51"/>
        </w:numPr>
        <w:spacing w:before="0" w:beforeAutospacing="0" w:after="0" w:afterAutospacing="0" w:line="360" w:lineRule="auto"/>
        <w:ind w:left="851" w:hanging="567"/>
        <w:rPr>
          <w:color w:val="auto"/>
          <w:sz w:val="22"/>
          <w:szCs w:val="22"/>
          <w:highlight w:val="none"/>
        </w:rPr>
      </w:pPr>
      <w:r>
        <w:rPr>
          <w:color w:val="auto"/>
          <w:sz w:val="22"/>
          <w:szCs w:val="22"/>
          <w:highlight w:val="none"/>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6"/>
        <w:widowControl w:val="0"/>
        <w:numPr>
          <w:ilvl w:val="0"/>
          <w:numId w:val="51"/>
        </w:numPr>
        <w:spacing w:before="0" w:beforeAutospacing="0" w:after="0" w:afterAutospacing="0" w:line="360" w:lineRule="auto"/>
        <w:ind w:left="851" w:hanging="567"/>
        <w:rPr>
          <w:color w:val="auto"/>
          <w:sz w:val="22"/>
          <w:szCs w:val="22"/>
          <w:highlight w:val="none"/>
        </w:rPr>
      </w:pPr>
      <w:r>
        <w:rPr>
          <w:color w:val="auto"/>
          <w:sz w:val="22"/>
          <w:szCs w:val="22"/>
          <w:highlight w:val="none"/>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color w:val="auto"/>
          <w:sz w:val="22"/>
          <w:szCs w:val="22"/>
          <w:highlight w:val="none"/>
        </w:rPr>
      </w:pPr>
      <w:r>
        <w:rPr>
          <w:rFonts w:hint="eastAsia" w:ascii="宋体" w:hAnsi="宋体"/>
          <w:color w:val="auto"/>
          <w:sz w:val="22"/>
          <w:szCs w:val="22"/>
          <w:highlight w:val="none"/>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6"/>
        <w:widowControl w:val="0"/>
        <w:numPr>
          <w:ilvl w:val="0"/>
          <w:numId w:val="51"/>
        </w:numPr>
        <w:spacing w:before="0" w:beforeAutospacing="0" w:after="0" w:afterAutospacing="0" w:line="360" w:lineRule="auto"/>
        <w:ind w:left="851" w:hanging="567"/>
        <w:rPr>
          <w:color w:val="auto"/>
          <w:sz w:val="22"/>
          <w:szCs w:val="22"/>
          <w:highlight w:val="none"/>
        </w:rPr>
      </w:pPr>
      <w:r>
        <w:rPr>
          <w:color w:val="auto"/>
          <w:sz w:val="22"/>
          <w:szCs w:val="22"/>
          <w:highlight w:val="none"/>
        </w:rPr>
        <w:t>按照上述修正调整后的内容经投标人确认后，对投标人起约束作用。</w:t>
      </w:r>
    </w:p>
    <w:p>
      <w:pPr>
        <w:pStyle w:val="46"/>
        <w:widowControl w:val="0"/>
        <w:numPr>
          <w:ilvl w:val="0"/>
          <w:numId w:val="51"/>
        </w:numPr>
        <w:spacing w:before="0" w:beforeAutospacing="0" w:after="0" w:afterAutospacing="0" w:line="360" w:lineRule="auto"/>
        <w:ind w:left="851" w:hanging="567"/>
        <w:rPr>
          <w:color w:val="auto"/>
          <w:sz w:val="22"/>
          <w:szCs w:val="22"/>
          <w:highlight w:val="none"/>
        </w:rPr>
      </w:pPr>
      <w:r>
        <w:rPr>
          <w:color w:val="auto"/>
          <w:sz w:val="22"/>
          <w:szCs w:val="22"/>
          <w:highlight w:val="none"/>
        </w:rPr>
        <w:t>经评标委员会确认存在细微偏差的投标文件，评标委员会可以于评标结果宣布之前要求投标人对投标文件中存在的细微偏差进行修正，若投标人拒绝修正，则其投标文件将被拒绝。</w:t>
      </w:r>
    </w:p>
    <w:p>
      <w:pPr>
        <w:pStyle w:val="111"/>
        <w:numPr>
          <w:ilvl w:val="0"/>
          <w:numId w:val="50"/>
        </w:numPr>
        <w:spacing w:line="360" w:lineRule="auto"/>
        <w:ind w:firstLineChars="0"/>
        <w:rPr>
          <w:rFonts w:ascii="宋体" w:hAnsi="宋体"/>
          <w:color w:val="auto"/>
          <w:sz w:val="22"/>
          <w:szCs w:val="22"/>
          <w:highlight w:val="none"/>
        </w:rPr>
      </w:pPr>
      <w:r>
        <w:rPr>
          <w:rFonts w:ascii="宋体" w:hAnsi="宋体"/>
          <w:color w:val="auto"/>
          <w:sz w:val="22"/>
          <w:szCs w:val="22"/>
          <w:highlight w:val="none"/>
        </w:rPr>
        <w:t>得分统计及推荐中标候选人名单</w:t>
      </w:r>
    </w:p>
    <w:p>
      <w:pPr>
        <w:pStyle w:val="46"/>
        <w:widowControl w:val="0"/>
        <w:numPr>
          <w:ilvl w:val="0"/>
          <w:numId w:val="52"/>
        </w:numPr>
        <w:spacing w:before="0" w:beforeAutospacing="0" w:after="0" w:afterAutospacing="0" w:line="360" w:lineRule="auto"/>
        <w:ind w:left="780" w:hanging="496"/>
        <w:rPr>
          <w:color w:val="auto"/>
          <w:sz w:val="22"/>
          <w:szCs w:val="22"/>
          <w:highlight w:val="none"/>
        </w:rPr>
      </w:pPr>
      <w:r>
        <w:rPr>
          <w:color w:val="auto"/>
          <w:sz w:val="22"/>
          <w:szCs w:val="22"/>
          <w:highlight w:val="none"/>
        </w:rPr>
        <w:t>按照评标程序、评分标准以及权重分配的规定，评标委员会各成员分别首先就各个投标人的</w:t>
      </w:r>
      <w:r>
        <w:rPr>
          <w:rFonts w:hint="eastAsia"/>
          <w:color w:val="auto"/>
          <w:sz w:val="22"/>
          <w:szCs w:val="22"/>
          <w:highlight w:val="none"/>
        </w:rPr>
        <w:t>商务、技术</w:t>
      </w:r>
      <w:r>
        <w:rPr>
          <w:color w:val="auto"/>
          <w:sz w:val="22"/>
          <w:szCs w:val="22"/>
          <w:highlight w:val="none"/>
        </w:rPr>
        <w:t>状况及其对招标文件要求的响应情况进行评议和比较，评出其商务</w:t>
      </w:r>
      <w:r>
        <w:rPr>
          <w:rFonts w:hint="eastAsia"/>
          <w:color w:val="auto"/>
          <w:sz w:val="22"/>
          <w:szCs w:val="22"/>
          <w:highlight w:val="none"/>
        </w:rPr>
        <w:t>、</w:t>
      </w:r>
      <w:r>
        <w:rPr>
          <w:color w:val="auto"/>
          <w:sz w:val="22"/>
          <w:szCs w:val="22"/>
          <w:highlight w:val="none"/>
        </w:rPr>
        <w:t>技术评分，所有评委各投标人的商务</w:t>
      </w:r>
      <w:r>
        <w:rPr>
          <w:rFonts w:hint="eastAsia"/>
          <w:color w:val="auto"/>
          <w:sz w:val="22"/>
          <w:szCs w:val="22"/>
          <w:highlight w:val="none"/>
        </w:rPr>
        <w:t>、</w:t>
      </w:r>
      <w:r>
        <w:rPr>
          <w:color w:val="auto"/>
          <w:sz w:val="22"/>
          <w:szCs w:val="22"/>
          <w:highlight w:val="none"/>
        </w:rPr>
        <w:t>技术得分算术平均，得出平均得分，将各投标人的商务</w:t>
      </w:r>
      <w:r>
        <w:rPr>
          <w:rFonts w:hint="eastAsia"/>
          <w:color w:val="auto"/>
          <w:sz w:val="22"/>
          <w:szCs w:val="22"/>
          <w:highlight w:val="none"/>
        </w:rPr>
        <w:t>、</w:t>
      </w:r>
      <w:r>
        <w:rPr>
          <w:color w:val="auto"/>
          <w:sz w:val="22"/>
          <w:szCs w:val="22"/>
          <w:highlight w:val="none"/>
        </w:rPr>
        <w:t>技术得分</w:t>
      </w:r>
      <w:r>
        <w:rPr>
          <w:rFonts w:hint="eastAsia"/>
          <w:color w:val="auto"/>
          <w:sz w:val="22"/>
          <w:szCs w:val="22"/>
          <w:highlight w:val="none"/>
        </w:rPr>
        <w:t>和价格得分</w:t>
      </w:r>
      <w:r>
        <w:rPr>
          <w:color w:val="auto"/>
          <w:sz w:val="22"/>
          <w:szCs w:val="22"/>
          <w:highlight w:val="none"/>
        </w:rPr>
        <w:t>相加得出其综合得分，按最终综合得分由高向低排序。</w:t>
      </w:r>
    </w:p>
    <w:p>
      <w:pPr>
        <w:pStyle w:val="46"/>
        <w:widowControl w:val="0"/>
        <w:numPr>
          <w:ilvl w:val="0"/>
          <w:numId w:val="52"/>
        </w:numPr>
        <w:spacing w:before="0" w:beforeAutospacing="0" w:after="0" w:afterAutospacing="0" w:line="360" w:lineRule="auto"/>
        <w:ind w:left="780" w:hanging="496"/>
        <w:rPr>
          <w:color w:val="auto"/>
          <w:sz w:val="22"/>
          <w:szCs w:val="22"/>
          <w:highlight w:val="none"/>
        </w:rPr>
      </w:pPr>
      <w:r>
        <w:rPr>
          <w:color w:val="auto"/>
          <w:sz w:val="22"/>
          <w:szCs w:val="22"/>
          <w:highlight w:val="none"/>
        </w:rPr>
        <w:t>投标人的最终评标得分＝商务</w:t>
      </w:r>
      <w:r>
        <w:rPr>
          <w:rFonts w:hint="eastAsia"/>
          <w:color w:val="auto"/>
          <w:sz w:val="22"/>
          <w:szCs w:val="22"/>
          <w:highlight w:val="none"/>
        </w:rPr>
        <w:t>、</w:t>
      </w:r>
      <w:r>
        <w:rPr>
          <w:color w:val="auto"/>
          <w:sz w:val="22"/>
          <w:szCs w:val="22"/>
          <w:highlight w:val="none"/>
        </w:rPr>
        <w:t>技术得分</w:t>
      </w:r>
      <w:r>
        <w:rPr>
          <w:rFonts w:hint="eastAsia"/>
          <w:color w:val="auto"/>
          <w:sz w:val="22"/>
          <w:szCs w:val="22"/>
          <w:highlight w:val="none"/>
        </w:rPr>
        <w:t>+价格得分</w:t>
      </w:r>
      <w:r>
        <w:rPr>
          <w:color w:val="auto"/>
          <w:sz w:val="22"/>
          <w:szCs w:val="22"/>
          <w:highlight w:val="none"/>
        </w:rPr>
        <w:t>,评分统计的结果数据须经评委验算审核并签名确认。</w:t>
      </w:r>
    </w:p>
    <w:p>
      <w:pPr>
        <w:pStyle w:val="46"/>
        <w:widowControl w:val="0"/>
        <w:numPr>
          <w:ilvl w:val="0"/>
          <w:numId w:val="52"/>
        </w:numPr>
        <w:spacing w:before="0" w:beforeAutospacing="0" w:after="0" w:afterAutospacing="0" w:line="360" w:lineRule="auto"/>
        <w:ind w:left="780" w:hanging="496"/>
        <w:rPr>
          <w:color w:val="auto"/>
          <w:sz w:val="22"/>
          <w:szCs w:val="22"/>
          <w:highlight w:val="none"/>
        </w:rPr>
      </w:pPr>
      <w:r>
        <w:rPr>
          <w:rFonts w:hint="eastAsia"/>
          <w:color w:val="auto"/>
          <w:sz w:val="22"/>
          <w:szCs w:val="22"/>
          <w:highlight w:val="none"/>
        </w:rPr>
        <w:t>推荐中标候选人</w:t>
      </w:r>
    </w:p>
    <w:p>
      <w:pPr>
        <w:pStyle w:val="46"/>
        <w:widowControl w:val="0"/>
        <w:spacing w:before="0" w:beforeAutospacing="0" w:after="0" w:afterAutospacing="0" w:line="360" w:lineRule="auto"/>
        <w:ind w:left="850" w:leftChars="405"/>
        <w:rPr>
          <w:b/>
          <w:color w:val="auto"/>
          <w:sz w:val="22"/>
          <w:szCs w:val="22"/>
          <w:highlight w:val="none"/>
        </w:rPr>
      </w:pPr>
      <w:r>
        <w:rPr>
          <w:rFonts w:hint="eastAsia"/>
          <w:color w:val="auto"/>
          <w:sz w:val="22"/>
          <w:szCs w:val="22"/>
          <w:highlight w:val="none"/>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pPr>
        <w:pStyle w:val="111"/>
        <w:numPr>
          <w:ilvl w:val="0"/>
          <w:numId w:val="50"/>
        </w:numPr>
        <w:spacing w:line="360" w:lineRule="auto"/>
        <w:ind w:firstLineChars="0"/>
        <w:rPr>
          <w:rFonts w:ascii="宋体" w:hAnsi="宋体"/>
          <w:color w:val="auto"/>
          <w:sz w:val="22"/>
          <w:szCs w:val="22"/>
          <w:highlight w:val="none"/>
        </w:rPr>
      </w:pPr>
      <w:r>
        <w:rPr>
          <w:rFonts w:ascii="宋体" w:hAnsi="宋体"/>
          <w:color w:val="auto"/>
          <w:sz w:val="22"/>
          <w:szCs w:val="22"/>
          <w:highlight w:val="none"/>
        </w:rPr>
        <w:t>编制评标报告。</w:t>
      </w:r>
    </w:p>
    <w:p>
      <w:pPr>
        <w:spacing w:line="360" w:lineRule="auto"/>
        <w:ind w:left="630" w:leftChars="300" w:firstLine="220" w:firstLineChars="100"/>
        <w:rPr>
          <w:rFonts w:ascii="宋体" w:hAnsi="宋体"/>
          <w:color w:val="auto"/>
          <w:sz w:val="22"/>
          <w:szCs w:val="22"/>
          <w:highlight w:val="none"/>
        </w:rPr>
      </w:pPr>
      <w:r>
        <w:rPr>
          <w:rFonts w:ascii="宋体" w:hAnsi="宋体"/>
          <w:color w:val="auto"/>
          <w:sz w:val="22"/>
          <w:szCs w:val="22"/>
          <w:highlight w:val="none"/>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color w:val="auto"/>
          <w:sz w:val="22"/>
          <w:szCs w:val="22"/>
          <w:highlight w:val="none"/>
        </w:rPr>
      </w:pPr>
      <w:r>
        <w:rPr>
          <w:rFonts w:ascii="宋体" w:hAnsi="宋体"/>
          <w:color w:val="auto"/>
          <w:sz w:val="22"/>
          <w:szCs w:val="22"/>
          <w:highlight w:val="none"/>
        </w:rPr>
        <w:t>　　  1、招标公告刊登的媒体名称、开标日期和地点；</w:t>
      </w:r>
    </w:p>
    <w:p>
      <w:pPr>
        <w:spacing w:line="360" w:lineRule="auto"/>
        <w:ind w:firstLine="220" w:firstLineChars="100"/>
        <w:rPr>
          <w:rFonts w:ascii="宋体" w:hAnsi="宋体"/>
          <w:color w:val="auto"/>
          <w:sz w:val="22"/>
          <w:szCs w:val="22"/>
          <w:highlight w:val="none"/>
        </w:rPr>
      </w:pPr>
      <w:r>
        <w:rPr>
          <w:rFonts w:ascii="宋体" w:hAnsi="宋体"/>
          <w:color w:val="auto"/>
          <w:sz w:val="22"/>
          <w:szCs w:val="22"/>
          <w:highlight w:val="none"/>
        </w:rPr>
        <w:t>　　  2、购买招标文件的投标人名单和评标委员会成员名单；</w:t>
      </w:r>
    </w:p>
    <w:p>
      <w:pPr>
        <w:spacing w:line="360" w:lineRule="auto"/>
        <w:ind w:firstLine="220" w:firstLineChars="100"/>
        <w:rPr>
          <w:rFonts w:ascii="宋体" w:hAnsi="宋体"/>
          <w:color w:val="auto"/>
          <w:sz w:val="22"/>
          <w:szCs w:val="22"/>
          <w:highlight w:val="none"/>
        </w:rPr>
      </w:pPr>
      <w:r>
        <w:rPr>
          <w:rFonts w:ascii="宋体" w:hAnsi="宋体"/>
          <w:color w:val="auto"/>
          <w:sz w:val="22"/>
          <w:szCs w:val="22"/>
          <w:highlight w:val="none"/>
        </w:rPr>
        <w:t>　　  3、评标方法和标准；</w:t>
      </w:r>
    </w:p>
    <w:p>
      <w:pPr>
        <w:spacing w:line="360" w:lineRule="auto"/>
        <w:ind w:firstLine="220" w:firstLineChars="100"/>
        <w:rPr>
          <w:rFonts w:ascii="宋体" w:hAnsi="宋体"/>
          <w:color w:val="auto"/>
          <w:sz w:val="22"/>
          <w:szCs w:val="22"/>
          <w:highlight w:val="none"/>
        </w:rPr>
      </w:pPr>
      <w:r>
        <w:rPr>
          <w:rFonts w:ascii="宋体" w:hAnsi="宋体"/>
          <w:color w:val="auto"/>
          <w:sz w:val="22"/>
          <w:szCs w:val="22"/>
          <w:highlight w:val="none"/>
        </w:rPr>
        <w:t>　　  4、开标记录和评标情况及说明，包括投标无效投标人名单及原因；</w:t>
      </w:r>
    </w:p>
    <w:p>
      <w:pPr>
        <w:spacing w:line="360" w:lineRule="auto"/>
        <w:ind w:firstLine="220" w:firstLineChars="100"/>
        <w:rPr>
          <w:rFonts w:ascii="宋体" w:hAnsi="宋体"/>
          <w:color w:val="auto"/>
          <w:sz w:val="22"/>
          <w:szCs w:val="22"/>
          <w:highlight w:val="none"/>
        </w:rPr>
      </w:pPr>
      <w:r>
        <w:rPr>
          <w:rFonts w:ascii="宋体" w:hAnsi="宋体"/>
          <w:color w:val="auto"/>
          <w:sz w:val="22"/>
          <w:szCs w:val="22"/>
          <w:highlight w:val="none"/>
        </w:rPr>
        <w:t>　　  5、评标结果和中标候选投标人排序表；</w:t>
      </w:r>
    </w:p>
    <w:p>
      <w:pPr>
        <w:spacing w:line="360" w:lineRule="auto"/>
        <w:ind w:firstLine="849" w:firstLineChars="386"/>
        <w:rPr>
          <w:rFonts w:ascii="宋体" w:hAnsi="宋体"/>
          <w:color w:val="auto"/>
          <w:sz w:val="22"/>
          <w:szCs w:val="22"/>
          <w:highlight w:val="none"/>
        </w:rPr>
      </w:pPr>
      <w:r>
        <w:rPr>
          <w:rFonts w:ascii="宋体" w:hAnsi="宋体"/>
          <w:color w:val="auto"/>
          <w:sz w:val="22"/>
          <w:szCs w:val="22"/>
          <w:highlight w:val="none"/>
        </w:rPr>
        <w:t>6、评标委员会的授标建议。</w:t>
      </w:r>
    </w:p>
    <w:p>
      <w:pPr>
        <w:pStyle w:val="5"/>
        <w:tabs>
          <w:tab w:val="left" w:pos="0"/>
          <w:tab w:val="clear" w:pos="1440"/>
        </w:tabs>
        <w:ind w:left="0" w:firstLine="221" w:firstLineChars="100"/>
        <w:rPr>
          <w:rFonts w:ascii="Times New Roman" w:hAnsi="Times New Roman"/>
          <w:b w:val="0"/>
          <w:color w:val="auto"/>
          <w:sz w:val="22"/>
          <w:szCs w:val="22"/>
          <w:highlight w:val="none"/>
        </w:rPr>
      </w:pPr>
      <w:bookmarkStart w:id="174" w:name="_Toc61529860"/>
      <w:bookmarkStart w:id="175" w:name="_Toc425348173"/>
      <w:bookmarkStart w:id="176" w:name="_Toc441844108"/>
      <w:bookmarkStart w:id="177" w:name="_Toc396137265"/>
      <w:r>
        <w:rPr>
          <w:rFonts w:ascii="Times New Roman" w:hAnsi="Times New Roman"/>
          <w:color w:val="auto"/>
          <w:sz w:val="22"/>
          <w:szCs w:val="22"/>
          <w:highlight w:val="none"/>
        </w:rPr>
        <w:t>三、评分标准和细则</w:t>
      </w:r>
      <w:bookmarkEnd w:id="174"/>
      <w:bookmarkEnd w:id="175"/>
      <w:bookmarkEnd w:id="176"/>
      <w:bookmarkEnd w:id="177"/>
    </w:p>
    <w:p>
      <w:pPr>
        <w:pStyle w:val="111"/>
        <w:numPr>
          <w:ilvl w:val="0"/>
          <w:numId w:val="53"/>
        </w:numPr>
        <w:spacing w:line="360" w:lineRule="auto"/>
        <w:ind w:left="0" w:firstLine="0" w:firstLineChars="0"/>
        <w:rPr>
          <w:rFonts w:asciiTheme="minorEastAsia" w:hAnsiTheme="minorEastAsia" w:eastAsiaTheme="minorEastAsia"/>
          <w:color w:val="auto"/>
          <w:sz w:val="22"/>
          <w:szCs w:val="22"/>
          <w:highlight w:val="none"/>
          <w:lang w:val="zh-CN"/>
        </w:rPr>
      </w:pPr>
      <w:r>
        <w:rPr>
          <w:rFonts w:hint="eastAsia" w:asciiTheme="minorEastAsia" w:hAnsiTheme="minorEastAsia" w:eastAsiaTheme="minorEastAsia"/>
          <w:b/>
          <w:color w:val="auto"/>
          <w:sz w:val="22"/>
          <w:szCs w:val="22"/>
          <w:highlight w:val="none"/>
          <w:lang w:val="zh-CN"/>
        </w:rPr>
        <w:t>评分因素及分值</w:t>
      </w:r>
    </w:p>
    <w:p>
      <w:pPr>
        <w:pStyle w:val="111"/>
        <w:widowControl/>
        <w:numPr>
          <w:ilvl w:val="0"/>
          <w:numId w:val="54"/>
        </w:numPr>
        <w:spacing w:line="360" w:lineRule="auto"/>
        <w:ind w:left="709" w:hanging="709" w:firstLineChars="0"/>
        <w:jc w:val="left"/>
        <w:rPr>
          <w:rFonts w:cs="宋体" w:asciiTheme="minorEastAsia" w:hAnsiTheme="minorEastAsia" w:eastAsiaTheme="minorEastAsia"/>
          <w:b/>
          <w:bCs/>
          <w:color w:val="auto"/>
          <w:sz w:val="22"/>
          <w:szCs w:val="22"/>
          <w:highlight w:val="none"/>
          <w:lang w:val="zh-CN"/>
        </w:rPr>
      </w:pPr>
      <w:r>
        <w:rPr>
          <w:rFonts w:hint="eastAsia" w:cs="宋体" w:asciiTheme="minorEastAsia" w:hAnsiTheme="minorEastAsia" w:eastAsiaTheme="minorEastAsia"/>
          <w:b/>
          <w:bCs/>
          <w:color w:val="auto"/>
          <w:sz w:val="22"/>
          <w:szCs w:val="22"/>
          <w:highlight w:val="none"/>
          <w:lang w:val="zh-CN"/>
        </w:rPr>
        <w:t>评委考核打分的评分因素及分值</w:t>
      </w:r>
      <w:r>
        <w:rPr>
          <w:rFonts w:cs="宋体" w:asciiTheme="minorEastAsia" w:hAnsiTheme="minorEastAsia" w:eastAsiaTheme="minorEastAsia"/>
          <w:b/>
          <w:bCs/>
          <w:color w:val="auto"/>
          <w:sz w:val="22"/>
          <w:szCs w:val="22"/>
          <w:highlight w:val="none"/>
          <w:lang w:val="zh-CN"/>
        </w:rPr>
        <w:t>:</w:t>
      </w:r>
      <w:r>
        <w:rPr>
          <w:rFonts w:hint="eastAsia" w:cs="宋体" w:asciiTheme="minorEastAsia" w:hAnsiTheme="minorEastAsia" w:eastAsiaTheme="minorEastAsia"/>
          <w:b/>
          <w:bCs/>
          <w:color w:val="auto"/>
          <w:sz w:val="22"/>
          <w:szCs w:val="22"/>
          <w:highlight w:val="none"/>
          <w:lang w:val="zh-CN"/>
        </w:rPr>
        <w:t>总分</w:t>
      </w:r>
      <w:r>
        <w:rPr>
          <w:rFonts w:cs="宋体" w:asciiTheme="minorEastAsia" w:hAnsiTheme="minorEastAsia" w:eastAsiaTheme="minorEastAsia"/>
          <w:b/>
          <w:bCs/>
          <w:color w:val="auto"/>
          <w:sz w:val="22"/>
          <w:szCs w:val="22"/>
          <w:highlight w:val="none"/>
          <w:lang w:val="zh-CN"/>
        </w:rPr>
        <w:t>100</w:t>
      </w:r>
      <w:r>
        <w:rPr>
          <w:rFonts w:hint="eastAsia" w:cs="宋体" w:asciiTheme="minorEastAsia" w:hAnsiTheme="minorEastAsia" w:eastAsiaTheme="minorEastAsia"/>
          <w:b/>
          <w:bCs/>
          <w:color w:val="auto"/>
          <w:sz w:val="22"/>
          <w:szCs w:val="22"/>
          <w:highlight w:val="none"/>
          <w:lang w:val="zh-CN"/>
        </w:rPr>
        <w:t>分</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2689"/>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8" w:type="pct"/>
            <w:vAlign w:val="center"/>
          </w:tcPr>
          <w:p>
            <w:pPr>
              <w:spacing w:line="360" w:lineRule="auto"/>
              <w:jc w:val="center"/>
              <w:rPr>
                <w:rFonts w:ascii="宋体" w:hAnsi="宋体"/>
                <w:b/>
                <w:color w:val="auto"/>
                <w:sz w:val="22"/>
                <w:szCs w:val="22"/>
                <w:highlight w:val="none"/>
              </w:rPr>
            </w:pPr>
            <w:r>
              <w:rPr>
                <w:rFonts w:hint="eastAsia" w:ascii="宋体" w:hAnsi="宋体"/>
                <w:b/>
                <w:color w:val="auto"/>
                <w:sz w:val="22"/>
                <w:szCs w:val="22"/>
                <w:highlight w:val="none"/>
              </w:rPr>
              <w:t>序号</w:t>
            </w:r>
          </w:p>
        </w:tc>
        <w:tc>
          <w:tcPr>
            <w:tcW w:w="1413" w:type="pct"/>
            <w:vAlign w:val="center"/>
          </w:tcPr>
          <w:p>
            <w:pPr>
              <w:spacing w:line="360" w:lineRule="auto"/>
              <w:jc w:val="center"/>
              <w:rPr>
                <w:rFonts w:ascii="宋体" w:hAnsi="宋体"/>
                <w:b/>
                <w:color w:val="auto"/>
                <w:sz w:val="22"/>
                <w:szCs w:val="22"/>
                <w:highlight w:val="none"/>
              </w:rPr>
            </w:pPr>
            <w:r>
              <w:rPr>
                <w:rFonts w:hint="eastAsia" w:ascii="宋体" w:hAnsi="宋体"/>
                <w:b/>
                <w:color w:val="auto"/>
                <w:sz w:val="22"/>
                <w:szCs w:val="22"/>
                <w:highlight w:val="none"/>
              </w:rPr>
              <w:t>评分因素</w:t>
            </w:r>
          </w:p>
        </w:tc>
        <w:tc>
          <w:tcPr>
            <w:tcW w:w="2839" w:type="pct"/>
          </w:tcPr>
          <w:p>
            <w:pPr>
              <w:spacing w:line="360" w:lineRule="auto"/>
              <w:jc w:val="center"/>
              <w:rPr>
                <w:rFonts w:ascii="宋体" w:hAnsi="宋体"/>
                <w:b/>
                <w:color w:val="auto"/>
                <w:sz w:val="22"/>
                <w:szCs w:val="22"/>
                <w:highlight w:val="none"/>
              </w:rPr>
            </w:pPr>
            <w:r>
              <w:rPr>
                <w:rFonts w:hint="eastAsia" w:ascii="宋体" w:hAnsi="宋体"/>
                <w:b/>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pc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1</w:t>
            </w:r>
          </w:p>
        </w:tc>
        <w:tc>
          <w:tcPr>
            <w:tcW w:w="1413" w:type="pc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商务</w:t>
            </w:r>
          </w:p>
        </w:tc>
        <w:tc>
          <w:tcPr>
            <w:tcW w:w="2839" w:type="pct"/>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lang w:val="en-US" w:eastAsia="zh-CN"/>
              </w:rPr>
              <w:t>25</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2</w:t>
            </w:r>
          </w:p>
        </w:tc>
        <w:tc>
          <w:tcPr>
            <w:tcW w:w="1413" w:type="pc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技术</w:t>
            </w:r>
          </w:p>
        </w:tc>
        <w:tc>
          <w:tcPr>
            <w:tcW w:w="2839" w:type="pct"/>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lang w:val="en-US" w:eastAsia="zh-CN"/>
              </w:rPr>
              <w:t>55</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3</w:t>
            </w:r>
          </w:p>
        </w:tc>
        <w:tc>
          <w:tcPr>
            <w:tcW w:w="1413" w:type="pc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价格</w:t>
            </w:r>
          </w:p>
        </w:tc>
        <w:tc>
          <w:tcPr>
            <w:tcW w:w="2839" w:type="pct"/>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lang w:val="en-US" w:eastAsia="zh-CN"/>
              </w:rPr>
              <w:t>20</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61" w:type="pct"/>
            <w:gridSpan w:val="2"/>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总  分</w:t>
            </w:r>
          </w:p>
        </w:tc>
        <w:tc>
          <w:tcPr>
            <w:tcW w:w="2839" w:type="pct"/>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100分</w:t>
            </w:r>
          </w:p>
        </w:tc>
      </w:tr>
    </w:tbl>
    <w:p>
      <w:pPr>
        <w:pStyle w:val="111"/>
        <w:numPr>
          <w:ilvl w:val="0"/>
          <w:numId w:val="53"/>
        </w:numPr>
        <w:spacing w:line="360" w:lineRule="auto"/>
        <w:ind w:left="0" w:firstLine="0" w:firstLineChars="0"/>
        <w:rPr>
          <w:rFonts w:hAnsi="宋体"/>
          <w:color w:val="auto"/>
          <w:sz w:val="22"/>
          <w:szCs w:val="22"/>
          <w:highlight w:val="none"/>
        </w:rPr>
      </w:pPr>
      <w:r>
        <w:rPr>
          <w:rFonts w:hint="eastAsia" w:hAnsi="宋体"/>
          <w:b/>
          <w:color w:val="auto"/>
          <w:sz w:val="22"/>
          <w:szCs w:val="22"/>
          <w:highlight w:val="none"/>
        </w:rPr>
        <w:t>评分因素分值</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color w:val="auto"/>
          <w:sz w:val="22"/>
          <w:szCs w:val="22"/>
          <w:highlight w:val="none"/>
        </w:rPr>
      </w:pPr>
      <w:r>
        <w:rPr>
          <w:rFonts w:hint="eastAsia" w:ascii="宋体" w:hAnsi="宋体"/>
          <w:b/>
          <w:color w:val="auto"/>
          <w:sz w:val="22"/>
          <w:szCs w:val="22"/>
          <w:highlight w:val="none"/>
        </w:rPr>
        <w:t>商务评分标准：（总分：</w:t>
      </w:r>
      <w:r>
        <w:rPr>
          <w:rFonts w:hint="eastAsia" w:ascii="宋体" w:hAnsi="宋体"/>
          <w:b/>
          <w:color w:val="auto"/>
          <w:sz w:val="22"/>
          <w:szCs w:val="22"/>
          <w:highlight w:val="none"/>
          <w:lang w:val="en-US" w:eastAsia="zh-CN"/>
        </w:rPr>
        <w:t>25</w:t>
      </w:r>
      <w:r>
        <w:rPr>
          <w:rFonts w:hint="eastAsia" w:ascii="宋体" w:hAnsi="宋体"/>
          <w:b/>
          <w:color w:val="auto"/>
          <w:sz w:val="22"/>
          <w:szCs w:val="22"/>
          <w:highlight w:val="none"/>
        </w:rPr>
        <w:t>分）</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序号</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评审内容</w:t>
            </w:r>
          </w:p>
        </w:tc>
        <w:tc>
          <w:tcPr>
            <w:tcW w:w="637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评分细则</w:t>
            </w:r>
          </w:p>
        </w:tc>
        <w:tc>
          <w:tcPr>
            <w:tcW w:w="85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w:t>
            </w:r>
          </w:p>
        </w:tc>
        <w:tc>
          <w:tcPr>
            <w:tcW w:w="138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firstLine="0" w:firstLineChars="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公司实力</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（一）投标人具备以下有效期内的资质证书：</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①信息安全服务资质认证证书；</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②4PS认证证书；</w:t>
            </w:r>
          </w:p>
          <w:p>
            <w:pPr>
              <w:keepNext w:val="0"/>
              <w:keepLines w:val="0"/>
              <w:pageBreakBefore w:val="0"/>
              <w:kinsoku/>
              <w:wordWrap/>
              <w:overflowPunct/>
              <w:topLinePunct w:val="0"/>
              <w:autoSpaceDE/>
              <w:autoSpaceDN/>
              <w:bidi w:val="0"/>
              <w:adjustRightInd/>
              <w:snapToGrid w:val="0"/>
              <w:spacing w:line="440" w:lineRule="exact"/>
              <w:ind w:left="220" w:hanging="220" w:hangingChars="10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③由国家认证认可监督管理部门批准设立的认证机构颁发的质量管理体系认证证书；</w:t>
            </w:r>
          </w:p>
          <w:p>
            <w:pPr>
              <w:keepNext w:val="0"/>
              <w:keepLines w:val="0"/>
              <w:pageBreakBefore w:val="0"/>
              <w:kinsoku/>
              <w:wordWrap/>
              <w:overflowPunct/>
              <w:topLinePunct w:val="0"/>
              <w:autoSpaceDE/>
              <w:autoSpaceDN/>
              <w:bidi w:val="0"/>
              <w:adjustRightInd/>
              <w:snapToGrid w:val="0"/>
              <w:spacing w:line="440" w:lineRule="exact"/>
              <w:ind w:left="220" w:hanging="220" w:hangingChars="10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④由国家认证认可监督管理部门批准设立的认证机构颁发的信息技术服务管理体系认证证书；</w:t>
            </w:r>
          </w:p>
          <w:p>
            <w:pPr>
              <w:keepNext w:val="0"/>
              <w:keepLines w:val="0"/>
              <w:pageBreakBefore w:val="0"/>
              <w:kinsoku/>
              <w:wordWrap/>
              <w:overflowPunct/>
              <w:topLinePunct w:val="0"/>
              <w:autoSpaceDE/>
              <w:autoSpaceDN/>
              <w:bidi w:val="0"/>
              <w:adjustRightInd/>
              <w:snapToGrid w:val="0"/>
              <w:spacing w:line="440" w:lineRule="exact"/>
              <w:ind w:left="220" w:hanging="220" w:hangingChars="10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⑤由国家认证认可监督管理部门批准设立的认证机构颁发的知识产权管理体系认证证书；</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注：须提供有效期内证书的复印件、以及证书信息查询结果截屏图片。每满足一项得1分，不满足不得分；本项满分5分。</w:t>
            </w:r>
          </w:p>
        </w:tc>
        <w:tc>
          <w:tcPr>
            <w:tcW w:w="85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rPr>
            </w:pPr>
          </w:p>
        </w:tc>
        <w:tc>
          <w:tcPr>
            <w:tcW w:w="138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（二）投标人具备国家工业和信息化部颁发的，范围为全国呼叫业务的增值电信业务经营许可证得3分，须提供有效期内证书的复印件，不提供或不满足不得分。</w:t>
            </w:r>
          </w:p>
        </w:tc>
        <w:tc>
          <w:tcPr>
            <w:tcW w:w="85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firstLine="0" w:firstLineChars="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业绩</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投标人累计近3年（2018年1月1日至投标截止时间）全国范围内同类项目的总额，同类项目指呼入型客户热线服务的相关经验。（按合同签订时间为准，须提供合同关键页复印件（包含但不限于合同首页、合同金额页、合同签字页，合同清单）或相关订单、票据、其他证明材料等；如提供的框架合同有具体合同总金额的，则须提供至少一份该框架合同下有具体金额的、双方确认的、符合本项目要求的订单为依据；如提供的框架合同无具体合同总金额的，则须提供该框架合同下有具体金额的、双方确认的、符合本项目要求的订单为依据；证明材料资料不全无法确定为投标业绩，不予认可。合同原件备查。）</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1、单个合同总额达5000万及以上得</w:t>
            </w:r>
            <w:r>
              <w:rPr>
                <w:rFonts w:hint="eastAsia" w:ascii="宋体" w:hAnsi="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rPr>
              <w:t>分；</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2、单个合同总额在1000万至5000万以下得</w:t>
            </w:r>
            <w:r>
              <w:rPr>
                <w:rFonts w:hint="eastAsia" w:ascii="宋体" w:hAnsi="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rPr>
              <w:t>分，最高得</w:t>
            </w:r>
            <w:r>
              <w:rPr>
                <w:rFonts w:hint="eastAsia" w:ascii="宋体" w:hAnsi="宋体" w:cs="宋体"/>
                <w:b w:val="0"/>
                <w:bCs w:val="0"/>
                <w:color w:val="auto"/>
                <w:sz w:val="22"/>
                <w:szCs w:val="22"/>
                <w:highlight w:val="none"/>
                <w:lang w:val="en-US" w:eastAsia="zh-CN"/>
              </w:rPr>
              <w:t>6</w:t>
            </w:r>
            <w:r>
              <w:rPr>
                <w:rFonts w:hint="eastAsia" w:ascii="宋体" w:hAnsi="宋体" w:eastAsia="宋体" w:cs="宋体"/>
                <w:b w:val="0"/>
                <w:bCs w:val="0"/>
                <w:color w:val="auto"/>
                <w:sz w:val="22"/>
                <w:szCs w:val="22"/>
                <w:highlight w:val="none"/>
              </w:rPr>
              <w:t>分；</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3、单个合同总额在1000万以下得</w:t>
            </w:r>
            <w:r>
              <w:rPr>
                <w:rFonts w:hint="eastAsia" w:ascii="宋体" w:hAnsi="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rPr>
              <w:t>分，最高得</w:t>
            </w:r>
            <w:r>
              <w:rPr>
                <w:rFonts w:hint="eastAsia" w:ascii="宋体" w:hAnsi="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分。</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1</w:t>
            </w:r>
            <w:r>
              <w:rPr>
                <w:rFonts w:hint="eastAsia" w:ascii="宋体" w:hAnsi="宋体" w:cs="宋体"/>
                <w:b w:val="0"/>
                <w:bCs w:val="0"/>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firstLine="0" w:firstLineChars="0"/>
              <w:jc w:val="center"/>
              <w:textAlignment w:val="center"/>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售后服务承诺</w:t>
            </w:r>
          </w:p>
        </w:tc>
        <w:tc>
          <w:tcPr>
            <w:tcW w:w="637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投标人承诺接到招标人通知后：</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2小时（含）内到达招标人指定地点的，得2分；</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lang w:val="en-US" w:eastAsia="zh-CN"/>
              </w:rPr>
              <w:t>小时（含）内到达招标人指定地点的，得</w:t>
            </w:r>
            <w:r>
              <w:rPr>
                <w:rFonts w:hint="eastAsia" w:ascii="宋体" w:hAnsi="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val="en-US" w:eastAsia="zh-CN"/>
              </w:rPr>
              <w:t>分；</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其他情况不得分。</w:t>
            </w:r>
          </w:p>
          <w:p>
            <w:pPr>
              <w:pStyle w:val="2"/>
              <w:keepNext w:val="0"/>
              <w:keepLines w:val="0"/>
              <w:pageBreakBefore w:val="0"/>
              <w:kinsoku/>
              <w:wordWrap/>
              <w:overflowPunct/>
              <w:topLinePunct w:val="0"/>
              <w:autoSpaceDE/>
              <w:autoSpaceDN/>
              <w:bidi w:val="0"/>
              <w:adjustRightInd/>
              <w:spacing w:after="0" w:line="440" w:lineRule="exact"/>
              <w:ind w:firstLine="0" w:firstLineChars="0"/>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注：提供承诺函加盖投标人公章。</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0"/>
                <w:tab w:val="left" w:pos="2340"/>
              </w:tabs>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合计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0"/>
                <w:tab w:val="left" w:pos="2340"/>
              </w:tabs>
              <w:kinsoku/>
              <w:wordWrap/>
              <w:overflowPunct/>
              <w:topLinePunct w:val="0"/>
              <w:autoSpaceDE/>
              <w:autoSpaceDN/>
              <w:bidi w:val="0"/>
              <w:adjustRightInd/>
              <w:snapToGrid w:val="0"/>
              <w:spacing w:line="440" w:lineRule="exact"/>
              <w:ind w:firstLine="0" w:firstLineChars="0"/>
              <w:jc w:val="center"/>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lang w:val="en-US" w:eastAsia="zh-CN"/>
              </w:rPr>
              <w:t>2</w:t>
            </w:r>
            <w:r>
              <w:rPr>
                <w:rFonts w:hint="eastAsia" w:ascii="宋体" w:hAnsi="宋体" w:cs="宋体"/>
                <w:b w:val="0"/>
                <w:bCs w:val="0"/>
                <w:color w:val="auto"/>
                <w:kern w:val="0"/>
                <w:sz w:val="22"/>
                <w:szCs w:val="22"/>
                <w:highlight w:val="none"/>
                <w:lang w:val="en-US" w:eastAsia="zh-CN"/>
              </w:rPr>
              <w:t>5</w:t>
            </w:r>
            <w:r>
              <w:rPr>
                <w:rFonts w:hint="eastAsia" w:ascii="宋体" w:hAnsi="宋体" w:eastAsia="宋体" w:cs="宋体"/>
                <w:b w:val="0"/>
                <w:bCs w:val="0"/>
                <w:color w:val="auto"/>
                <w:kern w:val="0"/>
                <w:sz w:val="22"/>
                <w:szCs w:val="22"/>
                <w:highlight w:val="none"/>
              </w:rPr>
              <w:t>分</w:t>
            </w:r>
          </w:p>
        </w:tc>
      </w:tr>
    </w:tbl>
    <w:p>
      <w:pPr>
        <w:spacing w:line="360" w:lineRule="auto"/>
        <w:ind w:firstLine="440" w:firstLineChars="200"/>
        <w:rPr>
          <w:color w:val="auto"/>
          <w:sz w:val="22"/>
          <w:szCs w:val="22"/>
          <w:highlight w:val="none"/>
        </w:rPr>
      </w:pPr>
      <w:r>
        <w:rPr>
          <w:color w:val="auto"/>
          <w:sz w:val="22"/>
          <w:szCs w:val="22"/>
          <w:highlight w:val="none"/>
        </w:rPr>
        <w:t>备注：</w:t>
      </w:r>
    </w:p>
    <w:p>
      <w:pPr>
        <w:spacing w:line="360" w:lineRule="auto"/>
        <w:ind w:firstLine="440" w:firstLineChars="200"/>
        <w:rPr>
          <w:color w:val="auto"/>
          <w:sz w:val="22"/>
          <w:szCs w:val="22"/>
          <w:highlight w:val="none"/>
        </w:rPr>
      </w:pPr>
      <w:r>
        <w:rPr>
          <w:color w:val="auto"/>
          <w:sz w:val="22"/>
          <w:szCs w:val="22"/>
          <w:highlight w:val="none"/>
        </w:rPr>
        <w:t>（1）招标文件要求提交的与评价指标体系相关的各类有效资料，投标人如未按要求提交的，该项评分为零分。</w:t>
      </w:r>
    </w:p>
    <w:p>
      <w:pPr>
        <w:spacing w:line="360" w:lineRule="auto"/>
        <w:ind w:firstLine="440" w:firstLineChars="200"/>
        <w:rPr>
          <w:color w:val="auto"/>
          <w:sz w:val="22"/>
          <w:szCs w:val="22"/>
          <w:highlight w:val="none"/>
        </w:rPr>
      </w:pPr>
      <w:r>
        <w:rPr>
          <w:color w:val="auto"/>
          <w:sz w:val="22"/>
          <w:szCs w:val="22"/>
          <w:highlight w:val="none"/>
        </w:rPr>
        <w:t>（2）商务得分为评委</w:t>
      </w:r>
      <w:r>
        <w:rPr>
          <w:rFonts w:ascii="Times New Roman" w:hAnsi="Times New Roman"/>
          <w:color w:val="auto"/>
          <w:sz w:val="22"/>
          <w:szCs w:val="22"/>
          <w:highlight w:val="none"/>
        </w:rPr>
        <w:t>评分</w:t>
      </w:r>
      <w:r>
        <w:rPr>
          <w:color w:val="auto"/>
          <w:sz w:val="22"/>
          <w:szCs w:val="22"/>
          <w:highlight w:val="none"/>
        </w:rPr>
        <w:t>分值的算术平均值（四舍五入后，小数点后保留两位有效数）。</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color w:val="auto"/>
          <w:sz w:val="22"/>
          <w:szCs w:val="22"/>
          <w:highlight w:val="none"/>
        </w:rPr>
      </w:pPr>
      <w:r>
        <w:rPr>
          <w:rFonts w:hint="eastAsia" w:ascii="宋体" w:hAnsi="宋体"/>
          <w:b/>
          <w:color w:val="auto"/>
          <w:sz w:val="22"/>
          <w:szCs w:val="22"/>
          <w:highlight w:val="none"/>
        </w:rPr>
        <w:t>技术评分标准：（总分：</w:t>
      </w:r>
      <w:r>
        <w:rPr>
          <w:rFonts w:hint="eastAsia" w:ascii="宋体" w:hAnsi="宋体"/>
          <w:b/>
          <w:color w:val="auto"/>
          <w:sz w:val="22"/>
          <w:szCs w:val="22"/>
          <w:highlight w:val="none"/>
          <w:lang w:val="en-US" w:eastAsia="zh-CN"/>
        </w:rPr>
        <w:t>55</w:t>
      </w:r>
      <w:r>
        <w:rPr>
          <w:rFonts w:hint="eastAsia" w:ascii="宋体" w:hAnsi="宋体"/>
          <w:b/>
          <w:color w:val="auto"/>
          <w:sz w:val="22"/>
          <w:szCs w:val="22"/>
          <w:highlight w:val="none"/>
        </w:rPr>
        <w:t xml:space="preserve"> 分）</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评审内容</w:t>
            </w:r>
          </w:p>
        </w:tc>
        <w:tc>
          <w:tcPr>
            <w:tcW w:w="637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评分细则</w:t>
            </w:r>
          </w:p>
        </w:tc>
        <w:tc>
          <w:tcPr>
            <w:tcW w:w="85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383" w:type="dxa"/>
            <w:vMerge w:val="restart"/>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项目系统支撑能力</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①投标人须具备提供用于搭建呼叫中心运营网络配套的数据传输电路能力，可在交投集团场地实施客服中心运作，须提供具体传输方案作为证明材料；满足得2分，不满足不得分。</w:t>
            </w:r>
          </w:p>
        </w:tc>
        <w:tc>
          <w:tcPr>
            <w:tcW w:w="85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p>
        </w:tc>
        <w:tc>
          <w:tcPr>
            <w:tcW w:w="13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②投标人须具备96字头六位数特服号的资源并且全省落地，特服号属投标人企业所有，须提供通管局颁发的使用证书及具体接入号码及显号截图作为证明材料；满足得</w:t>
            </w:r>
            <w:r>
              <w:rPr>
                <w:rFonts w:hint="eastAsia" w:ascii="宋体" w:hAnsi="宋体" w:cs="宋体"/>
                <w:bCs/>
                <w:color w:val="auto"/>
                <w:sz w:val="22"/>
                <w:szCs w:val="22"/>
                <w:highlight w:val="none"/>
                <w:lang w:val="en-US" w:eastAsia="zh-CN"/>
              </w:rPr>
              <w:t>20</w:t>
            </w:r>
            <w:r>
              <w:rPr>
                <w:rFonts w:hint="eastAsia" w:ascii="宋体" w:hAnsi="宋体" w:eastAsia="宋体" w:cs="宋体"/>
                <w:bCs/>
                <w:color w:val="auto"/>
                <w:sz w:val="22"/>
                <w:szCs w:val="22"/>
                <w:highlight w:val="none"/>
                <w:lang w:val="en-US" w:eastAsia="zh-CN"/>
              </w:rPr>
              <w:t>分，不满足不得分。</w:t>
            </w:r>
          </w:p>
        </w:tc>
        <w:tc>
          <w:tcPr>
            <w:tcW w:w="85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13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③投标人须同时具备中国电信、中国移动、中国联通的中继线路资源，可供交投客服现场话务接入，须提供中继线路号码段具体信息和截图等作为证明材料；满足得</w:t>
            </w:r>
            <w:r>
              <w:rPr>
                <w:rFonts w:hint="eastAsia" w:ascii="宋体" w:hAnsi="宋体" w:cs="宋体"/>
                <w:bCs/>
                <w:color w:val="auto"/>
                <w:sz w:val="22"/>
                <w:szCs w:val="22"/>
                <w:highlight w:val="none"/>
                <w:lang w:val="en-US" w:eastAsia="zh-CN"/>
              </w:rPr>
              <w:t>7</w:t>
            </w:r>
            <w:r>
              <w:rPr>
                <w:rFonts w:hint="eastAsia" w:ascii="宋体" w:hAnsi="宋体" w:eastAsia="宋体" w:cs="宋体"/>
                <w:bCs/>
                <w:color w:val="auto"/>
                <w:sz w:val="22"/>
                <w:szCs w:val="22"/>
                <w:highlight w:val="none"/>
                <w:lang w:val="en-US" w:eastAsia="zh-CN"/>
              </w:rPr>
              <w:t>分，不满足不得分。</w:t>
            </w:r>
          </w:p>
        </w:tc>
        <w:tc>
          <w:tcPr>
            <w:tcW w:w="85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13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④投标人须具备自主研发的智慧客服系统服务平台，需具备呼入、呼出、录音、现场监控等功能，并可提供包括交投客服知识库、投诉工单流、实时报表提取及按需二次开发等应用，须提供系统截图以及著作权证书作为证明材料；满足得3分，不满足不得分。</w:t>
            </w:r>
          </w:p>
        </w:tc>
        <w:tc>
          <w:tcPr>
            <w:tcW w:w="85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13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⑤投标人须具备自主研发的即时接入平台，可与用户进行在线的文字及语音沟通能力，具备即时通讯工具坐席设备，须包含PC、APP、微信在线客服的多触点一站式服务系统，须提供系统截图等作为证明材料；满足得3分，不满足不得分。</w:t>
            </w:r>
          </w:p>
        </w:tc>
        <w:tc>
          <w:tcPr>
            <w:tcW w:w="85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13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⑥投标人须具备自主研发的智能流程自动化软件（RPA），可提供交投客服智能场景应用，须提供的证明材料包括但不限于计算机软件著作权登记证书、系统截图等。满足得</w:t>
            </w:r>
            <w:r>
              <w:rPr>
                <w:rFonts w:hint="eastAsia" w:ascii="宋体" w:hAnsi="宋体" w:cs="宋体"/>
                <w:bCs/>
                <w:color w:val="auto"/>
                <w:sz w:val="22"/>
                <w:szCs w:val="22"/>
                <w:highlight w:val="none"/>
                <w:lang w:val="en-US" w:eastAsia="zh-CN"/>
              </w:rPr>
              <w:t>8</w:t>
            </w:r>
            <w:r>
              <w:rPr>
                <w:rFonts w:hint="eastAsia" w:ascii="宋体" w:hAnsi="宋体" w:eastAsia="宋体" w:cs="宋体"/>
                <w:bCs/>
                <w:color w:val="auto"/>
                <w:sz w:val="22"/>
                <w:szCs w:val="22"/>
                <w:highlight w:val="none"/>
                <w:lang w:val="en-US" w:eastAsia="zh-CN"/>
              </w:rPr>
              <w:t>分，不满足不得分。</w:t>
            </w:r>
          </w:p>
        </w:tc>
        <w:tc>
          <w:tcPr>
            <w:tcW w:w="85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138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⑦投标人须具备有系统安全和备份的保障，以及扩展能力和对外接口的呼叫系统和平台，能与现有的系统进行顺畅的对接，须提供系统安全和备份方案，及可扩展能力平台截图等作为证明材料</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满足得2分，不满足不得分。</w:t>
            </w:r>
          </w:p>
        </w:tc>
        <w:tc>
          <w:tcPr>
            <w:tcW w:w="85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bCs/>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项目需求理解及现状分析</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考察投标人对本项目的背景和目标的理解及现状的分析，包括但不限于：1、项目业务的现状分析</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2、对项目目标的理解</w:t>
            </w:r>
            <w:r>
              <w:rPr>
                <w:rFonts w:hint="eastAsia" w:ascii="宋体" w:hAnsi="宋体" w:eastAsia="宋体" w:cs="宋体"/>
                <w:color w:val="auto"/>
                <w:sz w:val="22"/>
                <w:szCs w:val="22"/>
                <w:highlight w:val="none"/>
                <w:lang w:eastAsia="zh-CN"/>
              </w:rPr>
              <w:t>。</w:t>
            </w:r>
          </w:p>
          <w:p>
            <w:pPr>
              <w:pStyle w:val="2"/>
              <w:keepNext w:val="0"/>
              <w:keepLines w:val="0"/>
              <w:pageBreakBefore w:val="0"/>
              <w:kinsoku/>
              <w:wordWrap/>
              <w:overflowPunct/>
              <w:topLinePunct w:val="0"/>
              <w:autoSpaceDE/>
              <w:autoSpaceDN/>
              <w:bidi w:val="0"/>
              <w:adjustRightInd/>
              <w:spacing w:after="0"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投标人提供的方案</w:t>
            </w:r>
            <w:r>
              <w:rPr>
                <w:rFonts w:hint="eastAsia" w:ascii="宋体" w:hAnsi="宋体" w:eastAsia="宋体" w:cs="宋体"/>
                <w:color w:val="auto"/>
                <w:sz w:val="22"/>
                <w:szCs w:val="22"/>
                <w:highlight w:val="none"/>
                <w:lang w:eastAsia="zh-CN"/>
              </w:rPr>
              <w:t>对</w:t>
            </w:r>
            <w:r>
              <w:rPr>
                <w:rFonts w:hint="eastAsia" w:ascii="宋体" w:hAnsi="宋体" w:eastAsia="宋体" w:cs="宋体"/>
                <w:i w:val="0"/>
                <w:color w:val="auto"/>
                <w:kern w:val="0"/>
                <w:sz w:val="22"/>
                <w:szCs w:val="22"/>
                <w:highlight w:val="none"/>
                <w:u w:val="none"/>
                <w:lang w:val="en-US" w:eastAsia="zh-CN" w:bidi="ar"/>
              </w:rPr>
              <w:t>项目需求理解</w:t>
            </w:r>
            <w:r>
              <w:rPr>
                <w:rFonts w:hint="eastAsia" w:ascii="宋体" w:hAnsi="宋体" w:cs="宋体"/>
                <w:i w:val="0"/>
                <w:color w:val="auto"/>
                <w:kern w:val="0"/>
                <w:sz w:val="22"/>
                <w:szCs w:val="22"/>
                <w:highlight w:val="none"/>
                <w:u w:val="none"/>
                <w:lang w:val="en-US" w:eastAsia="zh-CN" w:bidi="ar"/>
              </w:rPr>
              <w:t>全面</w:t>
            </w:r>
            <w:r>
              <w:rPr>
                <w:rFonts w:hint="eastAsia" w:ascii="宋体" w:hAnsi="宋体" w:eastAsia="宋体" w:cs="宋体"/>
                <w:i w:val="0"/>
                <w:color w:val="auto"/>
                <w:kern w:val="0"/>
                <w:sz w:val="22"/>
                <w:szCs w:val="22"/>
                <w:highlight w:val="none"/>
                <w:u w:val="none"/>
                <w:lang w:val="en-US" w:eastAsia="zh-CN" w:bidi="ar"/>
              </w:rPr>
              <w:t>及现状分析</w:t>
            </w:r>
            <w:r>
              <w:rPr>
                <w:rFonts w:hint="eastAsia" w:ascii="宋体" w:hAnsi="宋体" w:cs="宋体"/>
                <w:i w:val="0"/>
                <w:color w:val="auto"/>
                <w:kern w:val="0"/>
                <w:sz w:val="22"/>
                <w:szCs w:val="22"/>
                <w:highlight w:val="none"/>
                <w:u w:val="none"/>
                <w:lang w:val="en-US" w:eastAsia="zh-CN" w:bidi="ar"/>
              </w:rPr>
              <w:t>到位得1分，否则不得分</w:t>
            </w:r>
            <w:r>
              <w:rPr>
                <w:rFonts w:hint="eastAsia" w:ascii="宋体" w:hAnsi="宋体" w:eastAsia="宋体" w:cs="宋体"/>
                <w:color w:val="auto"/>
                <w:sz w:val="22"/>
                <w:szCs w:val="22"/>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项目开展思路、实施关键点及重点难点分析</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考察投标人对项目进行分析，须包括但不限于：</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1、实施的思路分析</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2、实施关键点、重点难点分析</w:t>
            </w:r>
            <w:r>
              <w:rPr>
                <w:rFonts w:hint="eastAsia" w:ascii="宋体" w:hAnsi="宋体" w:eastAsia="宋体" w:cs="宋体"/>
                <w:color w:val="auto"/>
                <w:sz w:val="22"/>
                <w:szCs w:val="22"/>
                <w:highlight w:val="none"/>
                <w:lang w:eastAsia="zh-CN"/>
              </w:rPr>
              <w:t>。</w:t>
            </w:r>
          </w:p>
          <w:p>
            <w:pPr>
              <w:pStyle w:val="2"/>
              <w:keepNext w:val="0"/>
              <w:keepLines w:val="0"/>
              <w:pageBreakBefore w:val="0"/>
              <w:kinsoku/>
              <w:wordWrap/>
              <w:overflowPunct/>
              <w:topLinePunct w:val="0"/>
              <w:autoSpaceDE/>
              <w:autoSpaceDN/>
              <w:bidi w:val="0"/>
              <w:adjustRightInd/>
              <w:spacing w:after="0"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投标人提供方案</w:t>
            </w:r>
            <w:r>
              <w:rPr>
                <w:rFonts w:hint="eastAsia" w:ascii="宋体" w:hAnsi="宋体" w:eastAsia="宋体" w:cs="宋体"/>
                <w:color w:val="auto"/>
                <w:sz w:val="22"/>
                <w:szCs w:val="22"/>
                <w:highlight w:val="none"/>
                <w:lang w:eastAsia="zh-CN"/>
              </w:rPr>
              <w:t>对</w:t>
            </w:r>
            <w:r>
              <w:rPr>
                <w:rFonts w:hint="eastAsia" w:ascii="宋体" w:hAnsi="宋体" w:eastAsia="宋体" w:cs="宋体"/>
                <w:i w:val="0"/>
                <w:color w:val="auto"/>
                <w:kern w:val="0"/>
                <w:sz w:val="22"/>
                <w:szCs w:val="22"/>
                <w:highlight w:val="none"/>
                <w:u w:val="none"/>
                <w:lang w:val="en-US" w:eastAsia="zh-CN" w:bidi="ar"/>
              </w:rPr>
              <w:t>项目开展思路</w:t>
            </w:r>
            <w:r>
              <w:rPr>
                <w:rFonts w:hint="eastAsia" w:ascii="宋体" w:hAnsi="宋体" w:cs="宋体"/>
                <w:i w:val="0"/>
                <w:color w:val="auto"/>
                <w:kern w:val="0"/>
                <w:sz w:val="22"/>
                <w:szCs w:val="22"/>
                <w:highlight w:val="none"/>
                <w:u w:val="none"/>
                <w:lang w:val="en-US" w:eastAsia="zh-CN" w:bidi="ar"/>
              </w:rPr>
              <w:t>准确</w:t>
            </w:r>
            <w:r>
              <w:rPr>
                <w:rFonts w:hint="eastAsia" w:ascii="宋体" w:hAnsi="宋体" w:eastAsia="宋体" w:cs="宋体"/>
                <w:i w:val="0"/>
                <w:color w:val="auto"/>
                <w:kern w:val="0"/>
                <w:sz w:val="22"/>
                <w:szCs w:val="22"/>
                <w:highlight w:val="none"/>
                <w:u w:val="none"/>
                <w:lang w:val="en-US" w:eastAsia="zh-CN" w:bidi="ar"/>
              </w:rPr>
              <w:t>、实施关键点</w:t>
            </w:r>
            <w:r>
              <w:rPr>
                <w:rFonts w:hint="eastAsia" w:ascii="宋体" w:hAnsi="宋体" w:cs="宋体"/>
                <w:i w:val="0"/>
                <w:color w:val="auto"/>
                <w:kern w:val="0"/>
                <w:sz w:val="22"/>
                <w:szCs w:val="22"/>
                <w:highlight w:val="none"/>
                <w:u w:val="none"/>
                <w:lang w:val="en-US" w:eastAsia="zh-CN" w:bidi="ar"/>
              </w:rPr>
              <w:t>精准</w:t>
            </w:r>
            <w:r>
              <w:rPr>
                <w:rFonts w:hint="eastAsia" w:ascii="宋体" w:hAnsi="宋体" w:eastAsia="宋体" w:cs="宋体"/>
                <w:i w:val="0"/>
                <w:color w:val="auto"/>
                <w:kern w:val="0"/>
                <w:sz w:val="22"/>
                <w:szCs w:val="22"/>
                <w:highlight w:val="none"/>
                <w:u w:val="none"/>
                <w:lang w:val="en-US" w:eastAsia="zh-CN" w:bidi="ar"/>
              </w:rPr>
              <w:t>及重点难点分析</w:t>
            </w:r>
            <w:r>
              <w:rPr>
                <w:rFonts w:hint="eastAsia" w:ascii="宋体" w:hAnsi="宋体" w:cs="宋体"/>
                <w:i w:val="0"/>
                <w:color w:val="auto"/>
                <w:kern w:val="0"/>
                <w:sz w:val="22"/>
                <w:szCs w:val="22"/>
                <w:highlight w:val="none"/>
                <w:u w:val="none"/>
                <w:lang w:val="en-US" w:eastAsia="zh-CN" w:bidi="ar"/>
              </w:rPr>
              <w:t>到位得1分，否则不得分</w:t>
            </w:r>
            <w:r>
              <w:rPr>
                <w:rFonts w:hint="eastAsia" w:ascii="宋体" w:hAnsi="宋体" w:eastAsia="宋体" w:cs="宋体"/>
                <w:color w:val="auto"/>
                <w:sz w:val="22"/>
                <w:szCs w:val="22"/>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4</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运营管理规范</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考察投标人的运营管理能力，须提供管理规范及运营支撑方案。包括但不限于：1、话务及现场管理；2、培训管理；3、服务质量管控</w:t>
            </w:r>
            <w:r>
              <w:rPr>
                <w:rFonts w:hint="eastAsia" w:ascii="宋体" w:hAnsi="宋体" w:eastAsia="宋体" w:cs="宋体"/>
                <w:color w:val="auto"/>
                <w:sz w:val="22"/>
                <w:szCs w:val="22"/>
                <w:highlight w:val="none"/>
                <w:lang w:eastAsia="zh-CN"/>
              </w:rPr>
              <w:t>。</w:t>
            </w:r>
          </w:p>
          <w:p>
            <w:pPr>
              <w:pStyle w:val="2"/>
              <w:keepNext w:val="0"/>
              <w:keepLines w:val="0"/>
              <w:pageBreakBefore w:val="0"/>
              <w:kinsoku/>
              <w:wordWrap/>
              <w:overflowPunct/>
              <w:topLinePunct w:val="0"/>
              <w:autoSpaceDE/>
              <w:autoSpaceDN/>
              <w:bidi w:val="0"/>
              <w:adjustRightInd/>
              <w:spacing w:after="0"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投标人能提供管理规范及运营支撑等相关方案且方案合理贴合实际，能反映投标人运营管理能力强的得1分，否则不得分。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统计分析方案</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考察投标人的数据统计及分析能力的优劣，分析方法是否合理，报告展示是否直观，须包括但不限于：1、客服数据分析维度；2、统计分析的工具；3、分析报告的输出</w:t>
            </w:r>
            <w:r>
              <w:rPr>
                <w:rFonts w:hint="eastAsia" w:ascii="宋体" w:hAnsi="宋体" w:eastAsia="宋体" w:cs="宋体"/>
                <w:color w:val="auto"/>
                <w:sz w:val="22"/>
                <w:szCs w:val="22"/>
                <w:highlight w:val="none"/>
                <w:lang w:eastAsia="zh-CN"/>
              </w:rPr>
              <w:t>。</w:t>
            </w:r>
          </w:p>
          <w:p>
            <w:pPr>
              <w:pStyle w:val="2"/>
              <w:keepNext w:val="0"/>
              <w:keepLines w:val="0"/>
              <w:pageBreakBefore w:val="0"/>
              <w:kinsoku/>
              <w:wordWrap/>
              <w:overflowPunct/>
              <w:topLinePunct w:val="0"/>
              <w:autoSpaceDE/>
              <w:autoSpaceDN/>
              <w:bidi w:val="0"/>
              <w:adjustRightInd/>
              <w:spacing w:after="0"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投标人能准确分析客服数据，提供有效直观的报告供招标人决策的得1分，否则不得分。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应急支撑处理方案</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考察投标人的实施质量保证措施，须包括但不限于：</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1、提供业务量突增应急处理方案；2、提供人员稳定性保障措施</w:t>
            </w:r>
            <w:r>
              <w:rPr>
                <w:rFonts w:hint="eastAsia" w:ascii="宋体" w:hAnsi="宋体" w:eastAsia="宋体" w:cs="宋体"/>
                <w:color w:val="auto"/>
                <w:sz w:val="22"/>
                <w:szCs w:val="22"/>
                <w:highlight w:val="none"/>
                <w:lang w:eastAsia="zh-CN"/>
              </w:rPr>
              <w:t>。</w:t>
            </w:r>
          </w:p>
          <w:p>
            <w:pPr>
              <w:pStyle w:val="2"/>
              <w:keepNext w:val="0"/>
              <w:keepLines w:val="0"/>
              <w:pageBreakBefore w:val="0"/>
              <w:kinsoku/>
              <w:wordWrap/>
              <w:overflowPunct/>
              <w:topLinePunct w:val="0"/>
              <w:autoSpaceDE/>
              <w:autoSpaceDN/>
              <w:bidi w:val="0"/>
              <w:adjustRightInd/>
              <w:spacing w:after="0" w:line="440" w:lineRule="exact"/>
              <w:ind w:right="0" w:firstLine="0" w:firstLineChars="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投标人能提供贴合实际可行的应急处理方案，且具备人员稳定性保障措施的得1分，否则不得分。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7</w:t>
            </w:r>
          </w:p>
        </w:tc>
        <w:tc>
          <w:tcPr>
            <w:tcW w:w="1383"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pacing w:line="440" w:lineRule="exact"/>
              <w:ind w:right="0" w:firstLine="0" w:firstLineChars="0"/>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项目团队要求</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①</w:t>
            </w:r>
            <w:r>
              <w:rPr>
                <w:rFonts w:hint="eastAsia" w:ascii="宋体" w:hAnsi="宋体" w:eastAsia="宋体" w:cs="宋体"/>
                <w:color w:val="auto"/>
                <w:sz w:val="22"/>
                <w:szCs w:val="22"/>
                <w:highlight w:val="none"/>
              </w:rPr>
              <w:t>项目负责人须全职驻点并具备5年及以上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以毕业时间起</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项目经验，满足得1分，否则不得分。</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②</w:t>
            </w:r>
            <w:r>
              <w:rPr>
                <w:rFonts w:hint="eastAsia" w:ascii="宋体" w:hAnsi="宋体" w:eastAsia="宋体" w:cs="宋体"/>
                <w:color w:val="auto"/>
                <w:sz w:val="22"/>
                <w:szCs w:val="22"/>
                <w:highlight w:val="none"/>
              </w:rPr>
              <w:t>项目负责人具备硕士或以上学历的1分，本科学历得0.5分，大专及以下不得分，须提供学历（或学位）证明。</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③项目负责人具有CC-CMM ACE资质或4PS认证，</w:t>
            </w:r>
            <w:r>
              <w:rPr>
                <w:rFonts w:hint="eastAsia" w:ascii="宋体" w:hAnsi="宋体" w:eastAsia="宋体" w:cs="宋体"/>
                <w:color w:val="auto"/>
                <w:sz w:val="22"/>
                <w:szCs w:val="22"/>
                <w:highlight w:val="none"/>
              </w:rPr>
              <w:t>满足得1分，无提供或不满足不得分，须均须提供相关认证证书的复印件。</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④</w:t>
            </w:r>
            <w:r>
              <w:rPr>
                <w:rFonts w:hint="eastAsia" w:ascii="宋体" w:hAnsi="宋体" w:eastAsia="宋体" w:cs="宋体"/>
                <w:color w:val="auto"/>
                <w:sz w:val="22"/>
                <w:szCs w:val="22"/>
                <w:highlight w:val="none"/>
              </w:rPr>
              <w:t>团队骨干成员学历（或学位）须本科或以上，全部满足得1分，否则不得分，须提供学历（或学位）证明。</w:t>
            </w:r>
          </w:p>
          <w:p>
            <w:pPr>
              <w:keepNext w:val="0"/>
              <w:keepLines w:val="0"/>
              <w:pageBreakBefore w:val="0"/>
              <w:kinsoku/>
              <w:wordWrap/>
              <w:overflowPunct/>
              <w:topLinePunct w:val="0"/>
              <w:autoSpaceDE/>
              <w:autoSpaceDN/>
              <w:bidi w:val="0"/>
              <w:adjustRightInd/>
              <w:spacing w:line="440" w:lineRule="exact"/>
              <w:ind w:right="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⑤</w:t>
            </w:r>
            <w:r>
              <w:rPr>
                <w:rFonts w:hint="eastAsia" w:ascii="宋体" w:hAnsi="宋体" w:eastAsia="宋体" w:cs="宋体"/>
                <w:color w:val="auto"/>
                <w:sz w:val="22"/>
                <w:szCs w:val="22"/>
                <w:highlight w:val="none"/>
              </w:rPr>
              <w:t>项目团队成员须全部满足同类项目经验，全部满足得1分，否则不得分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须提供</w:t>
            </w:r>
            <w:r>
              <w:rPr>
                <w:rFonts w:hint="eastAsia" w:ascii="宋体" w:hAnsi="宋体" w:eastAsia="宋体" w:cs="宋体"/>
                <w:color w:val="auto"/>
                <w:sz w:val="22"/>
                <w:szCs w:val="22"/>
                <w:highlight w:val="none"/>
              </w:rPr>
              <w:t>相关</w:t>
            </w:r>
            <w:r>
              <w:rPr>
                <w:rFonts w:hint="eastAsia" w:ascii="宋体" w:hAnsi="宋体" w:cs="宋体"/>
                <w:color w:val="auto"/>
                <w:sz w:val="22"/>
                <w:szCs w:val="22"/>
                <w:highlight w:val="none"/>
                <w:lang w:val="en-US" w:eastAsia="zh-CN"/>
              </w:rPr>
              <w:t>证明资料</w:t>
            </w:r>
            <w:r>
              <w:rPr>
                <w:rFonts w:hint="eastAsia" w:ascii="宋体" w:hAnsi="宋体" w:eastAsia="宋体" w:cs="宋体"/>
                <w:color w:val="auto"/>
                <w:sz w:val="22"/>
                <w:szCs w:val="22"/>
                <w:highlight w:val="none"/>
              </w:rPr>
              <w:t>的复印件。</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0"/>
                <w:tab w:val="left" w:pos="2340"/>
              </w:tabs>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合计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0"/>
                <w:tab w:val="left" w:pos="2340"/>
              </w:tabs>
              <w:kinsoku/>
              <w:wordWrap/>
              <w:overflowPunct/>
              <w:topLinePunct w:val="0"/>
              <w:autoSpaceDE/>
              <w:autoSpaceDN/>
              <w:bidi w:val="0"/>
              <w:adjustRightInd/>
              <w:snapToGrid w:val="0"/>
              <w:spacing w:line="440" w:lineRule="exact"/>
              <w:ind w:right="0" w:firstLine="0" w:firstLineChars="0"/>
              <w:jc w:val="center"/>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55</w:t>
            </w:r>
            <w:r>
              <w:rPr>
                <w:rFonts w:hint="eastAsia" w:ascii="宋体" w:hAnsi="宋体" w:eastAsia="宋体" w:cs="宋体"/>
                <w:b/>
                <w:bCs/>
                <w:color w:val="auto"/>
                <w:kern w:val="0"/>
                <w:sz w:val="22"/>
                <w:szCs w:val="22"/>
                <w:highlight w:val="none"/>
              </w:rPr>
              <w:t>分</w:t>
            </w:r>
          </w:p>
        </w:tc>
      </w:tr>
    </w:tbl>
    <w:p>
      <w:pPr>
        <w:spacing w:line="360" w:lineRule="auto"/>
        <w:ind w:firstLine="440" w:firstLineChars="200"/>
        <w:rPr>
          <w:color w:val="auto"/>
          <w:sz w:val="22"/>
          <w:szCs w:val="22"/>
          <w:highlight w:val="none"/>
        </w:rPr>
      </w:pPr>
      <w:r>
        <w:rPr>
          <w:color w:val="auto"/>
          <w:sz w:val="22"/>
          <w:szCs w:val="22"/>
          <w:highlight w:val="none"/>
        </w:rPr>
        <w:t>备注：</w:t>
      </w:r>
    </w:p>
    <w:p>
      <w:pPr>
        <w:spacing w:line="360" w:lineRule="auto"/>
        <w:ind w:firstLine="440" w:firstLineChars="200"/>
        <w:rPr>
          <w:color w:val="auto"/>
          <w:sz w:val="22"/>
          <w:szCs w:val="22"/>
          <w:highlight w:val="none"/>
        </w:rPr>
      </w:pPr>
      <w:r>
        <w:rPr>
          <w:color w:val="auto"/>
          <w:sz w:val="22"/>
          <w:szCs w:val="22"/>
          <w:highlight w:val="none"/>
        </w:rPr>
        <w:t>（1）招标文件要求提交的与评价指标体系相关的各类有效资料，投标人如未按要求提交的，该项评分为零分。</w:t>
      </w:r>
    </w:p>
    <w:p>
      <w:pPr>
        <w:spacing w:line="360" w:lineRule="auto"/>
        <w:ind w:firstLine="440" w:firstLineChars="200"/>
        <w:rPr>
          <w:color w:val="auto"/>
          <w:sz w:val="22"/>
          <w:szCs w:val="22"/>
          <w:highlight w:val="none"/>
        </w:rPr>
      </w:pPr>
      <w:r>
        <w:rPr>
          <w:color w:val="auto"/>
          <w:sz w:val="22"/>
          <w:szCs w:val="22"/>
          <w:highlight w:val="none"/>
        </w:rPr>
        <w:t>（2）</w:t>
      </w:r>
      <w:r>
        <w:rPr>
          <w:rFonts w:hint="eastAsia"/>
          <w:color w:val="auto"/>
          <w:sz w:val="22"/>
          <w:szCs w:val="22"/>
          <w:highlight w:val="none"/>
        </w:rPr>
        <w:t>技术</w:t>
      </w:r>
      <w:r>
        <w:rPr>
          <w:color w:val="auto"/>
          <w:sz w:val="22"/>
          <w:szCs w:val="22"/>
          <w:highlight w:val="none"/>
        </w:rPr>
        <w:t>得分为评委</w:t>
      </w:r>
      <w:r>
        <w:rPr>
          <w:rFonts w:ascii="Times New Roman" w:hAnsi="Times New Roman"/>
          <w:color w:val="auto"/>
          <w:sz w:val="22"/>
          <w:szCs w:val="22"/>
          <w:highlight w:val="none"/>
        </w:rPr>
        <w:t>评分</w:t>
      </w:r>
      <w:r>
        <w:rPr>
          <w:color w:val="auto"/>
          <w:sz w:val="22"/>
          <w:szCs w:val="22"/>
          <w:highlight w:val="none"/>
        </w:rPr>
        <w:t>分值的算术平均值（四舍五入后，小数点后保留两位有效数）。</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color w:val="auto"/>
          <w:sz w:val="22"/>
          <w:szCs w:val="22"/>
          <w:highlight w:val="none"/>
        </w:rPr>
      </w:pPr>
      <w:r>
        <w:rPr>
          <w:rFonts w:ascii="宋体" w:hAnsi="宋体"/>
          <w:b/>
          <w:color w:val="auto"/>
          <w:sz w:val="22"/>
          <w:szCs w:val="22"/>
          <w:highlight w:val="none"/>
        </w:rPr>
        <w:t>价格评分标准：（总分：</w:t>
      </w:r>
      <w:r>
        <w:rPr>
          <w:rFonts w:hint="eastAsia" w:ascii="宋体" w:hAnsi="宋体"/>
          <w:b/>
          <w:color w:val="auto"/>
          <w:sz w:val="22"/>
          <w:szCs w:val="22"/>
          <w:highlight w:val="none"/>
          <w:lang w:val="en-US" w:eastAsia="zh-CN"/>
        </w:rPr>
        <w:t>20</w:t>
      </w:r>
      <w:r>
        <w:rPr>
          <w:rFonts w:ascii="宋体" w:hAnsi="宋体"/>
          <w:b/>
          <w:color w:val="auto"/>
          <w:sz w:val="22"/>
          <w:szCs w:val="22"/>
          <w:highlight w:val="none"/>
        </w:rPr>
        <w:t>分）</w:t>
      </w:r>
    </w:p>
    <w:p>
      <w:pPr>
        <w:pStyle w:val="111"/>
        <w:numPr>
          <w:ilvl w:val="0"/>
          <w:numId w:val="56"/>
        </w:numPr>
        <w:spacing w:line="360" w:lineRule="auto"/>
        <w:ind w:left="851" w:hanging="845" w:firstLineChars="0"/>
        <w:rPr>
          <w:rFonts w:ascii="宋体" w:hAnsi="宋体"/>
          <w:bCs/>
          <w:color w:val="auto"/>
          <w:sz w:val="22"/>
          <w:szCs w:val="22"/>
          <w:highlight w:val="none"/>
        </w:rPr>
      </w:pPr>
      <w:r>
        <w:rPr>
          <w:rFonts w:hint="eastAsia" w:ascii="宋体" w:hAnsi="宋体"/>
          <w:bCs/>
          <w:color w:val="auto"/>
          <w:sz w:val="22"/>
          <w:szCs w:val="22"/>
          <w:highlight w:val="none"/>
        </w:rPr>
        <w:t>综合评分法中的价格分统一采用低价优先法计算，即满足招标文件要求（通过资格性、 符合性审查）且投标价格最低的有效投标报价（指修正后报价，下同）为评标基准价，其价格分为满分。各投标人的价格分统一按照下列公式计算：</w:t>
      </w:r>
    </w:p>
    <w:p>
      <w:pPr>
        <w:spacing w:line="360" w:lineRule="auto"/>
        <w:ind w:left="850" w:leftChars="405"/>
        <w:rPr>
          <w:rFonts w:ascii="宋体" w:hAnsi="宋体"/>
          <w:bCs/>
          <w:color w:val="auto"/>
          <w:sz w:val="22"/>
          <w:szCs w:val="22"/>
          <w:highlight w:val="none"/>
        </w:rPr>
      </w:pPr>
      <w:r>
        <w:rPr>
          <w:rFonts w:hint="eastAsia" w:ascii="宋体" w:hAnsi="宋体"/>
          <w:bCs/>
          <w:color w:val="auto"/>
          <w:sz w:val="22"/>
          <w:szCs w:val="22"/>
          <w:highlight w:val="none"/>
        </w:rPr>
        <w:t>价格得分＝（评标基准价/评标价）×价格分值</w:t>
      </w:r>
    </w:p>
    <w:p>
      <w:pPr>
        <w:spacing w:line="360" w:lineRule="auto"/>
        <w:ind w:firstLine="849" w:firstLineChars="386"/>
        <w:rPr>
          <w:rFonts w:ascii="宋体" w:hAnsi="宋体"/>
          <w:bCs/>
          <w:color w:val="auto"/>
          <w:sz w:val="22"/>
          <w:szCs w:val="22"/>
          <w:highlight w:val="none"/>
        </w:rPr>
      </w:pPr>
      <w:r>
        <w:rPr>
          <w:rFonts w:hint="eastAsia" w:ascii="宋体" w:hAnsi="宋体"/>
          <w:bCs/>
          <w:color w:val="auto"/>
          <w:sz w:val="22"/>
          <w:szCs w:val="22"/>
          <w:highlight w:val="none"/>
        </w:rPr>
        <w:t>评标价：按招标文件规定条款的原则校核修正后的价格；</w:t>
      </w:r>
    </w:p>
    <w:p>
      <w:pPr>
        <w:spacing w:line="360" w:lineRule="auto"/>
        <w:ind w:firstLine="849" w:firstLineChars="386"/>
        <w:rPr>
          <w:rFonts w:ascii="宋体" w:hAnsi="宋体"/>
          <w:bCs/>
          <w:color w:val="auto"/>
          <w:sz w:val="22"/>
          <w:szCs w:val="22"/>
          <w:highlight w:val="none"/>
        </w:rPr>
      </w:pPr>
      <w:r>
        <w:rPr>
          <w:rFonts w:hint="eastAsia" w:ascii="宋体" w:hAnsi="宋体"/>
          <w:bCs/>
          <w:color w:val="auto"/>
          <w:sz w:val="22"/>
          <w:szCs w:val="22"/>
          <w:highlight w:val="none"/>
        </w:rPr>
        <w:t>评标基准价：各有效投标人的最低评标价。</w:t>
      </w:r>
    </w:p>
    <w:p>
      <w:pPr>
        <w:pStyle w:val="111"/>
        <w:numPr>
          <w:ilvl w:val="0"/>
          <w:numId w:val="56"/>
        </w:numPr>
        <w:spacing w:line="360" w:lineRule="auto"/>
        <w:ind w:left="851" w:hanging="845" w:firstLineChars="0"/>
        <w:rPr>
          <w:rFonts w:ascii="宋体" w:hAnsi="宋体" w:cs="宋体"/>
          <w:bCs/>
          <w:color w:val="auto"/>
          <w:sz w:val="22"/>
          <w:szCs w:val="22"/>
          <w:highlight w:val="none"/>
        </w:rPr>
      </w:pPr>
      <w:r>
        <w:rPr>
          <w:rFonts w:hint="eastAsia" w:ascii="宋体" w:hAnsi="宋体" w:cs="宋体"/>
          <w:bCs/>
          <w:color w:val="auto"/>
          <w:sz w:val="22"/>
          <w:szCs w:val="22"/>
          <w:highlight w:val="none"/>
        </w:rPr>
        <w:t>价格核准：评标委员会详细分析、核准价格表，检查其是否存在计算上或累加上的算术错误，对于投标文件中不构成实质性偏差的不正规、不一致或不规则，评标委员会可以接受，但</w:t>
      </w:r>
      <w:r>
        <w:rPr>
          <w:rFonts w:hint="eastAsia" w:ascii="Times New Roman" w:hAnsi="Times New Roman"/>
          <w:color w:val="auto"/>
          <w:sz w:val="22"/>
          <w:szCs w:val="22"/>
          <w:highlight w:val="none"/>
        </w:rPr>
        <w:t>这种</w:t>
      </w:r>
      <w:r>
        <w:rPr>
          <w:rFonts w:hint="eastAsia" w:ascii="宋体" w:hAnsi="宋体" w:cs="宋体"/>
          <w:bCs/>
          <w:color w:val="auto"/>
          <w:sz w:val="22"/>
          <w:szCs w:val="22"/>
          <w:highlight w:val="none"/>
        </w:rPr>
        <w:t>接受不能损害或影响任何投标人的相对排序。如果投标人不接受修正后的投标价格，则其投标将被拒绝。</w:t>
      </w:r>
    </w:p>
    <w:p>
      <w:pPr>
        <w:pStyle w:val="111"/>
        <w:numPr>
          <w:ilvl w:val="0"/>
          <w:numId w:val="56"/>
        </w:numPr>
        <w:spacing w:line="360" w:lineRule="auto"/>
        <w:ind w:left="851" w:hanging="845" w:firstLineChars="0"/>
        <w:rPr>
          <w:rFonts w:ascii="宋体" w:hAnsi="宋体" w:cs="宋体"/>
          <w:bCs/>
          <w:color w:val="auto"/>
          <w:sz w:val="22"/>
          <w:szCs w:val="22"/>
          <w:highlight w:val="none"/>
        </w:rPr>
      </w:pPr>
      <w:r>
        <w:rPr>
          <w:rFonts w:hint="eastAsia" w:ascii="宋体" w:hAnsi="宋体" w:cs="宋体"/>
          <w:bCs/>
          <w:color w:val="auto"/>
          <w:sz w:val="22"/>
          <w:szCs w:val="22"/>
          <w:highlight w:val="none"/>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eastAsiaTheme="minorEastAsia"/>
          <w:color w:val="auto"/>
          <w:highlight w:val="none"/>
        </w:rPr>
      </w:pPr>
      <w:bookmarkStart w:id="178" w:name="_Toc441844109"/>
      <w:r>
        <w:rPr>
          <w:rFonts w:eastAsiaTheme="minorEastAsia"/>
          <w:color w:val="auto"/>
          <w:highlight w:val="none"/>
        </w:rPr>
        <w:br w:type="page"/>
      </w:r>
    </w:p>
    <w:p>
      <w:pPr>
        <w:pStyle w:val="73"/>
        <w:keepNext w:val="0"/>
        <w:tabs>
          <w:tab w:val="left" w:pos="0"/>
        </w:tabs>
        <w:spacing w:after="0" w:line="360" w:lineRule="auto"/>
        <w:rPr>
          <w:rFonts w:eastAsiaTheme="minorEastAsia"/>
          <w:color w:val="auto"/>
          <w:highlight w:val="none"/>
        </w:rPr>
      </w:pPr>
    </w:p>
    <w:p>
      <w:pPr>
        <w:rPr>
          <w:rFonts w:ascii="Times New Roman" w:hAnsi="Times New Roman"/>
          <w:color w:val="auto"/>
          <w:sz w:val="36"/>
          <w:szCs w:val="36"/>
          <w:highlight w:val="none"/>
        </w:rPr>
      </w:pPr>
    </w:p>
    <w:p>
      <w:pPr>
        <w:widowControl/>
        <w:jc w:val="left"/>
        <w:rPr>
          <w:rFonts w:ascii="Times New Roman" w:hAnsi="Times New Roman"/>
          <w:color w:val="auto"/>
          <w:sz w:val="36"/>
          <w:szCs w:val="36"/>
          <w:highlight w:val="none"/>
        </w:rPr>
      </w:pPr>
    </w:p>
    <w:p>
      <w:pPr>
        <w:pStyle w:val="4"/>
        <w:jc w:val="center"/>
        <w:rPr>
          <w:color w:val="auto"/>
          <w:highlight w:val="none"/>
        </w:rPr>
      </w:pPr>
      <w:bookmarkStart w:id="179" w:name="_Toc61529861"/>
      <w:r>
        <w:rPr>
          <w:rFonts w:ascii="Times New Roman" w:hAnsi="Times New Roman" w:eastAsiaTheme="minorEastAsia"/>
          <w:color w:val="auto"/>
          <w:highlight w:val="none"/>
        </w:rPr>
        <w:t>第四章 用户需求书</w:t>
      </w:r>
      <w:bookmarkEnd w:id="178"/>
      <w:bookmarkEnd w:id="179"/>
      <w:r>
        <w:rPr>
          <w:color w:val="auto"/>
          <w:highlight w:val="none"/>
        </w:rPr>
        <w:br w:type="page"/>
      </w:r>
    </w:p>
    <w:p>
      <w:pPr>
        <w:pStyle w:val="2"/>
        <w:keepNext w:val="0"/>
        <w:keepLines w:val="0"/>
        <w:pageBreakBefore w:val="0"/>
        <w:widowControl w:val="0"/>
        <w:kinsoku/>
        <w:wordWrap/>
        <w:overflowPunct/>
        <w:topLinePunct w:val="0"/>
        <w:autoSpaceDE/>
        <w:autoSpaceDN/>
        <w:bidi w:val="0"/>
        <w:adjustRightInd/>
        <w:snapToGrid w:val="0"/>
        <w:spacing w:after="0"/>
        <w:ind w:firstLine="440" w:firstLineChars="200"/>
        <w:jc w:val="left"/>
        <w:textAlignment w:val="auto"/>
        <w:rPr>
          <w:color w:val="auto"/>
          <w:highlight w:val="none"/>
        </w:rPr>
      </w:pPr>
      <w:bookmarkStart w:id="180" w:name="_Toc61529862"/>
      <w:r>
        <w:rPr>
          <w:rFonts w:hint="eastAsia" w:ascii="Times New Roman" w:hAnsi="Times New Roman"/>
          <w:color w:val="auto"/>
          <w:sz w:val="22"/>
          <w:szCs w:val="22"/>
          <w:highlight w:val="none"/>
        </w:rPr>
        <w:t>用户需求</w:t>
      </w:r>
      <w:bookmarkEnd w:id="180"/>
      <w:bookmarkStart w:id="181" w:name="_Toc441844110"/>
    </w:p>
    <w:tbl>
      <w:tblPr>
        <w:tblStyle w:val="50"/>
        <w:tblW w:w="9076" w:type="dxa"/>
        <w:tblCellSpacing w:w="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35"/>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需求名称</w:t>
            </w:r>
          </w:p>
        </w:tc>
        <w:tc>
          <w:tcPr>
            <w:tcW w:w="6641"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★服务期限</w:t>
            </w:r>
          </w:p>
        </w:tc>
        <w:tc>
          <w:tcPr>
            <w:tcW w:w="66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服务期为3年，自2021年4月20日至2024年4月19日止。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验收要求</w:t>
            </w:r>
          </w:p>
        </w:tc>
        <w:tc>
          <w:tcPr>
            <w:tcW w:w="66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应按照</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招标需求按时完成各项工作任务。为确保</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客服呼叫中心顺利衔接上线，</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须于2021年3月20日前完成包括但不限于以下工作：客服系统平台通过</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验收，96字头6位数客服专号投入使用，传输线路搭建完成，</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客服运营团队人员到位；2021年3月20日-4月19日期间为项目准备调试期，客服全员完成培训并具备独立上岗能力，</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须确保各方面具备运营上线条件。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★报价方式</w:t>
            </w:r>
          </w:p>
        </w:tc>
        <w:tc>
          <w:tcPr>
            <w:tcW w:w="6641"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1.投标人报价以人民币为准，投标报价应包含履行合同所有相关服务所需的费用、税金。</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2.不能在报价之外还有其他费用出现。</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cs="宋体"/>
                <w:color w:val="auto"/>
                <w:sz w:val="22"/>
                <w:szCs w:val="22"/>
                <w:highlight w:val="none"/>
                <w:lang w:val="zh-CN"/>
              </w:rPr>
            </w:pPr>
            <w:r>
              <w:rPr>
                <w:rFonts w:hint="eastAsia" w:ascii="宋体" w:hAnsi="宋体" w:eastAsia="宋体" w:cs="宋体"/>
                <w:color w:val="auto"/>
                <w:sz w:val="22"/>
                <w:szCs w:val="22"/>
                <w:highlight w:val="none"/>
                <w:lang w:val="zh-CN"/>
              </w:rPr>
              <w:t>3.投标人报价为合同期内固定不变金额</w:t>
            </w:r>
            <w:r>
              <w:rPr>
                <w:rFonts w:hint="eastAsia" w:ascii="宋体" w:hAnsi="宋体" w:cs="宋体"/>
                <w:color w:val="auto"/>
                <w:sz w:val="22"/>
                <w:szCs w:val="22"/>
                <w:highlight w:val="none"/>
                <w:lang w:val="zh-CN"/>
              </w:rPr>
              <w:t>。</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宋体" w:hAnsi="宋体" w:eastAsia="宋体" w:cs="宋体"/>
                <w:color w:val="auto"/>
                <w:sz w:val="22"/>
                <w:szCs w:val="22"/>
                <w:highlight w:val="none"/>
                <w:lang w:val="en-US"/>
              </w:rPr>
            </w:pPr>
            <w:r>
              <w:rPr>
                <w:rFonts w:hint="eastAsia" w:ascii="宋体" w:hAnsi="宋体" w:cs="宋体"/>
                <w:color w:val="auto"/>
                <w:sz w:val="22"/>
                <w:szCs w:val="22"/>
                <w:highlight w:val="none"/>
                <w:lang w:val="en-US" w:eastAsia="zh-CN"/>
              </w:rPr>
              <w:t>备注：由于本项目服务合同由东莞市交通投资集团有限公司、东莞发展控股股份有限公司分别与中标人签订，故本项目预算金额涵盖此两份合同的全部服务内容。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★付款方法和条件</w:t>
            </w:r>
          </w:p>
        </w:tc>
        <w:tc>
          <w:tcPr>
            <w:tcW w:w="6641" w:type="dxa"/>
            <w:vAlign w:val="center"/>
          </w:tcPr>
          <w:p>
            <w:pPr>
              <w:pStyle w:val="2"/>
              <w:keepNext w:val="0"/>
              <w:keepLines w:val="0"/>
              <w:pageBreakBefore w:val="0"/>
              <w:widowControl w:val="0"/>
              <w:kinsoku/>
              <w:wordWrap/>
              <w:overflowPunct/>
              <w:topLinePunct w:val="0"/>
              <w:autoSpaceDE/>
              <w:autoSpaceDN/>
              <w:bidi w:val="0"/>
              <w:adjustRightInd/>
              <w:spacing w:after="0" w:line="440" w:lineRule="exact"/>
              <w:ind w:left="0" w:leftChars="0"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对</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进行月度考核，并根据季度月均考核情况进行服务费用兑付。</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根据《东莞交投集团客服呼叫中心运营服务外包项目月度考核评分表》（详见附件2）对</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进行月度考核，并计算出本季度月均考核分值，季度结算款=合同总金额/12×季度考核系数。</w:t>
            </w:r>
          </w:p>
          <w:tbl>
            <w:tblPr>
              <w:tblStyle w:val="50"/>
              <w:tblW w:w="4388" w:type="pct"/>
              <w:jc w:val="center"/>
              <w:tblLayout w:type="fixed"/>
              <w:tblCellMar>
                <w:top w:w="0" w:type="dxa"/>
                <w:left w:w="0" w:type="dxa"/>
                <w:bottom w:w="0" w:type="dxa"/>
                <w:right w:w="0" w:type="dxa"/>
              </w:tblCellMar>
            </w:tblPr>
            <w:tblGrid>
              <w:gridCol w:w="2896"/>
              <w:gridCol w:w="2888"/>
            </w:tblGrid>
            <w:tr>
              <w:tblPrEx>
                <w:tblCellMar>
                  <w:top w:w="0" w:type="dxa"/>
                  <w:left w:w="0" w:type="dxa"/>
                  <w:bottom w:w="0" w:type="dxa"/>
                  <w:right w:w="0" w:type="dxa"/>
                </w:tblCellMar>
              </w:tblPrEx>
              <w:trPr>
                <w:trHeight w:val="57" w:hRule="atLeast"/>
                <w:jc w:val="center"/>
              </w:trPr>
              <w:tc>
                <w:tcPr>
                  <w:tcW w:w="2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季度月均考核分值</w:t>
                  </w:r>
                </w:p>
              </w:tc>
              <w:tc>
                <w:tcPr>
                  <w:tcW w:w="2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季度考核系数</w:t>
                  </w:r>
                </w:p>
              </w:tc>
            </w:tr>
            <w:tr>
              <w:tblPrEx>
                <w:tblCellMar>
                  <w:top w:w="0" w:type="dxa"/>
                  <w:left w:w="0" w:type="dxa"/>
                  <w:bottom w:w="0" w:type="dxa"/>
                  <w:right w:w="0" w:type="dxa"/>
                </w:tblCellMar>
              </w:tblPrEx>
              <w:trPr>
                <w:trHeight w:val="57" w:hRule="atLeast"/>
                <w:jc w:val="center"/>
              </w:trPr>
              <w:tc>
                <w:tcPr>
                  <w:tcW w:w="2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考核分值≥90</w:t>
                  </w:r>
                </w:p>
              </w:tc>
              <w:tc>
                <w:tcPr>
                  <w:tcW w:w="2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r>
            <w:tr>
              <w:tblPrEx>
                <w:tblCellMar>
                  <w:top w:w="0" w:type="dxa"/>
                  <w:left w:w="0" w:type="dxa"/>
                  <w:bottom w:w="0" w:type="dxa"/>
                  <w:right w:w="0" w:type="dxa"/>
                </w:tblCellMar>
              </w:tblPrEx>
              <w:trPr>
                <w:trHeight w:val="57" w:hRule="atLeast"/>
                <w:jc w:val="center"/>
              </w:trPr>
              <w:tc>
                <w:tcPr>
                  <w:tcW w:w="2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90＞考核分值≥80</w:t>
                  </w:r>
                </w:p>
              </w:tc>
              <w:tc>
                <w:tcPr>
                  <w:tcW w:w="2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0.9</w:t>
                  </w:r>
                </w:p>
              </w:tc>
            </w:tr>
            <w:tr>
              <w:tblPrEx>
                <w:tblCellMar>
                  <w:top w:w="0" w:type="dxa"/>
                  <w:left w:w="0" w:type="dxa"/>
                  <w:bottom w:w="0" w:type="dxa"/>
                  <w:right w:w="0" w:type="dxa"/>
                </w:tblCellMar>
              </w:tblPrEx>
              <w:trPr>
                <w:trHeight w:val="57" w:hRule="atLeast"/>
                <w:jc w:val="center"/>
              </w:trPr>
              <w:tc>
                <w:tcPr>
                  <w:tcW w:w="2503"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考核分值＜80</w:t>
                  </w:r>
                </w:p>
              </w:tc>
              <w:tc>
                <w:tcPr>
                  <w:tcW w:w="2496"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440" w:lineRule="exact"/>
                    <w:ind w:firstLine="0" w:firstLine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p>
              </w:tc>
            </w:tr>
          </w:tbl>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由</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下属公司按季度分12期向</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付款。</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每期款项由</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按照季度月均考核结果和</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制定的费用分摊方案，并经</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和</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下属公司核对确认后，由</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下属公司直接向</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付款。</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rPr>
              <w:t>款项的季度周期以签订的合同2021年4月20日开始计算，</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下属公司于一个季度周期后，在收到相关支付材料，经审核无误后一个月内支付上一季度的费用。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付款前中标人须先提供符合</w:t>
            </w:r>
            <w:r>
              <w:rPr>
                <w:rFonts w:hint="eastAsia" w:ascii="宋体" w:hAnsi="宋体" w:cs="宋体"/>
                <w:color w:val="auto"/>
                <w:sz w:val="22"/>
                <w:szCs w:val="22"/>
                <w:highlight w:val="none"/>
                <w:lang w:val="en-US" w:eastAsia="zh-CN"/>
              </w:rPr>
              <w:t>招标人</w:t>
            </w:r>
            <w:r>
              <w:rPr>
                <w:rFonts w:hint="eastAsia" w:ascii="宋体" w:hAnsi="宋体" w:eastAsia="宋体" w:cs="宋体"/>
                <w:color w:val="auto"/>
                <w:sz w:val="22"/>
                <w:szCs w:val="22"/>
                <w:highlight w:val="none"/>
              </w:rPr>
              <w:t>要求的同额有效税务发票给</w:t>
            </w:r>
            <w:r>
              <w:rPr>
                <w:rFonts w:hint="eastAsia" w:ascii="宋体" w:hAnsi="宋体" w:cs="宋体"/>
                <w:color w:val="auto"/>
                <w:sz w:val="22"/>
                <w:szCs w:val="22"/>
                <w:highlight w:val="none"/>
                <w:lang w:val="en-US" w:eastAsia="zh-CN"/>
              </w:rPr>
              <w:t>招标人</w:t>
            </w:r>
            <w:r>
              <w:rPr>
                <w:rFonts w:hint="eastAsia" w:ascii="宋体" w:hAnsi="宋体" w:eastAsia="宋体" w:cs="宋体"/>
                <w:color w:val="auto"/>
                <w:sz w:val="22"/>
                <w:szCs w:val="22"/>
                <w:highlight w:val="none"/>
              </w:rPr>
              <w:t>后再付款。中标人提供发票延迟的，</w:t>
            </w:r>
            <w:r>
              <w:rPr>
                <w:rFonts w:hint="eastAsia" w:ascii="宋体" w:hAnsi="宋体" w:cs="宋体"/>
                <w:color w:val="auto"/>
                <w:sz w:val="22"/>
                <w:szCs w:val="22"/>
                <w:highlight w:val="none"/>
                <w:lang w:val="en-US" w:eastAsia="zh-CN"/>
              </w:rPr>
              <w:t>招标人</w:t>
            </w:r>
            <w:r>
              <w:rPr>
                <w:rFonts w:hint="eastAsia" w:ascii="宋体" w:hAnsi="宋体" w:eastAsia="宋体" w:cs="宋体"/>
                <w:color w:val="auto"/>
                <w:sz w:val="22"/>
                <w:szCs w:val="22"/>
                <w:highlight w:val="none"/>
              </w:rPr>
              <w:t>有权延迟支付款项。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★投标有效期</w:t>
            </w:r>
          </w:p>
        </w:tc>
        <w:tc>
          <w:tcPr>
            <w:tcW w:w="6641"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自开标日起</w:t>
            </w:r>
            <w:r>
              <w:rPr>
                <w:rFonts w:hint="eastAsia" w:ascii="宋体" w:hAnsi="宋体" w:eastAsia="宋体" w:cs="宋体"/>
                <w:color w:val="auto"/>
                <w:sz w:val="22"/>
                <w:szCs w:val="22"/>
                <w:highlight w:val="none"/>
                <w:lang w:val="en-US" w:eastAsia="zh-CN"/>
              </w:rPr>
              <w:t>120</w:t>
            </w:r>
            <w:r>
              <w:rPr>
                <w:rFonts w:hint="eastAsia" w:ascii="宋体" w:hAnsi="宋体" w:eastAsia="宋体" w:cs="宋体"/>
                <w:color w:val="auto"/>
                <w:sz w:val="22"/>
                <w:szCs w:val="22"/>
                <w:highlight w:val="none"/>
                <w:lang w:val="zh-CN"/>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招募与培训</w:t>
            </w:r>
          </w:p>
        </w:tc>
        <w:tc>
          <w:tcPr>
            <w:tcW w:w="6641"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kern w:val="0"/>
                <w:sz w:val="22"/>
                <w:szCs w:val="22"/>
                <w:highlight w:val="none"/>
              </w:rPr>
              <w:t>中标人应提供免费招募咨询及培训服务，协助采购人相关人员进行培训。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★合同签署</w:t>
            </w:r>
          </w:p>
        </w:tc>
        <w:tc>
          <w:tcPr>
            <w:tcW w:w="6641"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kern w:val="0"/>
                <w:sz w:val="22"/>
                <w:szCs w:val="22"/>
                <w:highlight w:val="none"/>
              </w:rPr>
              <w:t>本项目中标人与东莞市交通投资集团有限公司签署合同。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★合同条款</w:t>
            </w:r>
          </w:p>
        </w:tc>
        <w:tc>
          <w:tcPr>
            <w:tcW w:w="6641"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★知识产权</w:t>
            </w:r>
          </w:p>
        </w:tc>
        <w:tc>
          <w:tcPr>
            <w:tcW w:w="6641"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中标人应保证其在本项目投入的服务和材料设备上不受第三方提出的侵犯专利权、著作权、商标权和工业设计权等的起诉。如果任何第三方提出侵权指控，中标人须与第三方交涉并承担由此发生的一切责任、费用和经济赔偿，导致采购人不能使用成果的应退还全部项目费用，并承担违约责任及赔偿因此给采购人造成的全部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trPr>
        <w:tc>
          <w:tcPr>
            <w:tcW w:w="2435"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重要说明</w:t>
            </w:r>
          </w:p>
        </w:tc>
        <w:tc>
          <w:tcPr>
            <w:tcW w:w="6641"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招标文件中标注“★”号的为重要要求或关键指标，对这些重要要求或关键指标的任何偏离或不满足将导致废标。</w:t>
            </w:r>
          </w:p>
        </w:tc>
      </w:tr>
    </w:tbl>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42" w:firstLineChars="200"/>
        <w:jc w:val="left"/>
        <w:textAlignment w:val="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lang w:val="en-US" w:eastAsia="zh-CN"/>
        </w:rPr>
        <w:t>一、</w:t>
      </w:r>
      <w:r>
        <w:rPr>
          <w:rFonts w:hint="eastAsia" w:ascii="宋体" w:hAnsi="宋体" w:eastAsia="宋体" w:cs="宋体"/>
          <w:b/>
          <w:color w:val="auto"/>
          <w:sz w:val="22"/>
          <w:szCs w:val="22"/>
          <w:highlight w:val="none"/>
        </w:rPr>
        <w:t>服务范围</w:t>
      </w:r>
    </w:p>
    <w:p>
      <w:pPr>
        <w:pStyle w:val="2"/>
        <w:keepNext w:val="0"/>
        <w:keepLines w:val="0"/>
        <w:pageBreakBefore w:val="0"/>
        <w:widowControl w:val="0"/>
        <w:kinsoku/>
        <w:wordWrap/>
        <w:overflowPunct/>
        <w:topLinePunct w:val="0"/>
        <w:autoSpaceDE/>
        <w:autoSpaceDN/>
        <w:bidi w:val="0"/>
        <w:adjustRightInd/>
        <w:snapToGrid w:val="0"/>
        <w:spacing w:after="0" w:line="440" w:lineRule="exact"/>
        <w:ind w:left="0" w:leftChars="0" w:firstLine="440" w:firstLineChars="200"/>
        <w:jc w:val="left"/>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招标人委托中标人承担东莞交投集团系统内客服业务的外包服务，主要包括承接处理东莞交投集团系统内各渠道的客服业务，以对外打造标准化、智能化、规范化、多样化的客服系统为目标，并适时配合招标人开展与客服相关的营销拓展业务。</w:t>
      </w:r>
    </w:p>
    <w:p>
      <w:pPr>
        <w:pStyle w:val="2"/>
        <w:keepNext w:val="0"/>
        <w:keepLines w:val="0"/>
        <w:pageBreakBefore w:val="0"/>
        <w:widowControl w:val="0"/>
        <w:kinsoku/>
        <w:wordWrap/>
        <w:overflowPunct/>
        <w:topLinePunct w:val="0"/>
        <w:autoSpaceDE/>
        <w:autoSpaceDN/>
        <w:bidi w:val="0"/>
        <w:adjustRightInd/>
        <w:snapToGrid w:val="0"/>
        <w:spacing w:after="0" w:line="440" w:lineRule="exact"/>
        <w:ind w:left="0" w:leftChars="0" w:firstLine="0" w:firstLineChars="0"/>
        <w:jc w:val="left"/>
        <w:textAlignment w:val="auto"/>
        <w:rPr>
          <w:rFonts w:hint="eastAsia" w:ascii="宋体" w:hAnsi="宋体" w:eastAsia="宋体" w:cs="宋体"/>
          <w:b/>
          <w:bCs/>
          <w:color w:val="auto"/>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pacing w:line="440" w:lineRule="exact"/>
        <w:ind w:firstLine="442" w:firstLineChars="200"/>
        <w:jc w:val="left"/>
        <w:textAlignment w:val="auto"/>
        <w:rPr>
          <w:rFonts w:hint="eastAsia" w:ascii="宋体" w:hAnsi="宋体" w:eastAsia="宋体" w:cs="宋体"/>
          <w:color w:val="auto"/>
          <w:sz w:val="22"/>
          <w:szCs w:val="22"/>
          <w:highlight w:val="none"/>
        </w:rPr>
      </w:pPr>
      <w:r>
        <w:rPr>
          <w:rFonts w:hint="eastAsia" w:ascii="宋体" w:hAnsi="宋体" w:cs="宋体"/>
          <w:b/>
          <w:bCs/>
          <w:color w:val="auto"/>
          <w:sz w:val="22"/>
          <w:szCs w:val="22"/>
          <w:highlight w:val="none"/>
          <w:lang w:val="en-US" w:eastAsia="zh-CN"/>
        </w:rPr>
        <w:t>二</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
          <w:color w:val="auto"/>
          <w:sz w:val="22"/>
          <w:szCs w:val="22"/>
          <w:highlight w:val="none"/>
        </w:rPr>
        <w:t>服务内容</w:t>
      </w:r>
    </w:p>
    <w:p>
      <w:pPr>
        <w:keepNext w:val="0"/>
        <w:keepLines w:val="0"/>
        <w:pageBreakBefore w:val="0"/>
        <w:widowControl w:val="0"/>
        <w:kinsoku/>
        <w:wordWrap/>
        <w:overflowPunct/>
        <w:topLinePunct w:val="0"/>
        <w:autoSpaceDE/>
        <w:autoSpaceDN/>
        <w:bidi w:val="0"/>
        <w:adjustRightInd/>
        <w:spacing w:line="440" w:lineRule="exact"/>
        <w:ind w:firstLine="442" w:firstLineChars="200"/>
        <w:jc w:val="lef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1.1服务范围</w:t>
      </w:r>
    </w:p>
    <w:p>
      <w:pPr>
        <w:keepNext w:val="0"/>
        <w:keepLines w:val="0"/>
        <w:pageBreakBefore w:val="0"/>
        <w:widowControl w:val="0"/>
        <w:kinsoku/>
        <w:wordWrap/>
        <w:overflowPunct/>
        <w:topLinePunct w:val="0"/>
        <w:autoSpaceDE/>
        <w:autoSpaceDN/>
        <w:bidi w:val="0"/>
        <w:adjustRightInd/>
        <w:spacing w:line="44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委托</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承担东莞交投集团系统内客服业务的外包服务，主要包括承接处理东莞交投集团系统内各渠道的客服业务，以对外打造标准化、智能化、规范化、多样化的客服系统为目标，并适时配合</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开展与客服相关的营销拓展业务。</w:t>
      </w:r>
    </w:p>
    <w:p>
      <w:pPr>
        <w:keepNext w:val="0"/>
        <w:keepLines w:val="0"/>
        <w:pageBreakBefore w:val="0"/>
        <w:widowControl w:val="0"/>
        <w:kinsoku/>
        <w:wordWrap/>
        <w:overflowPunct/>
        <w:topLinePunct w:val="0"/>
        <w:autoSpaceDE/>
        <w:autoSpaceDN/>
        <w:bidi w:val="0"/>
        <w:adjustRightInd/>
        <w:spacing w:line="440" w:lineRule="exact"/>
        <w:ind w:firstLine="442"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1.2服务内容</w:t>
      </w:r>
    </w:p>
    <w:p>
      <w:pPr>
        <w:keepNext w:val="0"/>
        <w:keepLines w:val="0"/>
        <w:pageBreakBefore w:val="0"/>
        <w:widowControl w:val="0"/>
        <w:kinsoku/>
        <w:wordWrap/>
        <w:overflowPunct/>
        <w:topLinePunct w:val="0"/>
        <w:autoSpaceDE/>
        <w:autoSpaceDN/>
        <w:bidi w:val="0"/>
        <w:adjustRightInd/>
        <w:spacing w:line="44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1.2.1</w:t>
      </w:r>
      <w:r>
        <w:rPr>
          <w:rFonts w:hint="eastAsia" w:ascii="宋体" w:hAnsi="宋体" w:eastAsia="宋体" w:cs="宋体"/>
          <w:b/>
          <w:color w:val="auto"/>
          <w:sz w:val="22"/>
          <w:szCs w:val="22"/>
          <w:highlight w:val="none"/>
        </w:rPr>
        <w:t>提供客服专号</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为</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提供安全可靠的96字头的6位数特服专号，并实现全省三网（电信、联通、移动）中继语音线路的落地；</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须协助配合</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进行企业所属特服号的申请，并配合做好新旧号码转换工作，确保客服号码的平稳过渡切换。</w:t>
      </w:r>
    </w:p>
    <w:p>
      <w:pPr>
        <w:keepNext w:val="0"/>
        <w:keepLines w:val="0"/>
        <w:pageBreakBefore w:val="0"/>
        <w:widowControl w:val="0"/>
        <w:kinsoku/>
        <w:wordWrap/>
        <w:overflowPunct/>
        <w:topLinePunct w:val="0"/>
        <w:autoSpaceDE/>
        <w:autoSpaceDN/>
        <w:bidi w:val="0"/>
        <w:adjustRightInd/>
        <w:spacing w:line="44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1.2.2 </w:t>
      </w:r>
      <w:r>
        <w:rPr>
          <w:rFonts w:hint="eastAsia" w:ascii="宋体" w:hAnsi="宋体" w:eastAsia="宋体" w:cs="宋体"/>
          <w:b/>
          <w:color w:val="auto"/>
          <w:sz w:val="22"/>
          <w:szCs w:val="22"/>
          <w:highlight w:val="none"/>
        </w:rPr>
        <w:t>派驻客服运营团队</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派驻符合条件及具行业经验的专业化运营团队23人，其中包括1名项目负责人、1名现场主管、1名质检兼知识库采编员、2名班长及18名一线话务员；要求运营团队专人专职不得兼任，</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须做好人员的招聘、培训和日常管理等工作，确保运营团队的稳定。（岗位职责及任职要求详见附件1）</w:t>
      </w:r>
    </w:p>
    <w:p>
      <w:pPr>
        <w:pStyle w:val="2"/>
        <w:keepNext w:val="0"/>
        <w:keepLines w:val="0"/>
        <w:pageBreakBefore w:val="0"/>
        <w:widowControl w:val="0"/>
        <w:kinsoku/>
        <w:wordWrap/>
        <w:overflowPunct/>
        <w:topLinePunct w:val="0"/>
        <w:autoSpaceDE/>
        <w:autoSpaceDN/>
        <w:bidi w:val="0"/>
        <w:adjustRightInd/>
        <w:spacing w:after="0" w:line="440" w:lineRule="exact"/>
        <w:ind w:left="0" w:leftChars="0" w:firstLine="64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1.2.3 </w:t>
      </w:r>
      <w:r>
        <w:rPr>
          <w:rFonts w:hint="eastAsia" w:ascii="宋体" w:hAnsi="宋体" w:eastAsia="宋体" w:cs="宋体"/>
          <w:b/>
          <w:color w:val="auto"/>
          <w:sz w:val="22"/>
          <w:szCs w:val="22"/>
          <w:highlight w:val="none"/>
        </w:rPr>
        <w:t>提供完备的客服运营</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需求提供整体客服运营及咨询服务，提供覆盖</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相关企业运营服务时间的7×24小时全天候的人工坐席服务；配套提供保障客服呼叫中心内部有序运行的各项工作机制、培训、考核、管理规范等制度，建立项目现场运营监控体系，不断优化完善项目质量；提供现场运营办公的必要耗材，包括办公用品、饮用水、防疫物资等。</w:t>
      </w:r>
    </w:p>
    <w:p>
      <w:pPr>
        <w:pStyle w:val="2"/>
        <w:keepNext w:val="0"/>
        <w:keepLines w:val="0"/>
        <w:pageBreakBefore w:val="0"/>
        <w:widowControl w:val="0"/>
        <w:kinsoku/>
        <w:wordWrap/>
        <w:overflowPunct/>
        <w:topLinePunct w:val="0"/>
        <w:autoSpaceDE/>
        <w:autoSpaceDN/>
        <w:bidi w:val="0"/>
        <w:adjustRightInd/>
        <w:spacing w:after="0" w:line="440" w:lineRule="exact"/>
        <w:ind w:left="0" w:leftChars="0" w:firstLine="64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1.2.4 </w:t>
      </w:r>
      <w:r>
        <w:rPr>
          <w:rFonts w:hint="eastAsia" w:ascii="宋体" w:hAnsi="宋体" w:eastAsia="宋体" w:cs="宋体"/>
          <w:b/>
          <w:color w:val="auto"/>
          <w:sz w:val="22"/>
          <w:szCs w:val="22"/>
          <w:highlight w:val="none"/>
        </w:rPr>
        <w:t>提供完善的客服系统管理平台</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业务特点配建个性化、智能化的客服系统管理平台，并持续升级维护；客服系统平台可统一接入</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各个渠道的热线事项，以实现呼入、呼出、登记、下单、分派、转派、查询、回访、办结的闭环管理；系统同时具备知识库建立和更新、备份保障、录音、现场监控、数据统计分析等功能。其余对系统配套的需求如下：</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负责提供用于搭建呼叫中心运营网络配套的数据传输电路，可在</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场地实施客服中心运作。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负责提供三网（电信、联通、移动）语音中继线路，可供客服现场话务接入。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负责呼叫中心通讯服务所产生的通讯费。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负责开通一条500M 带宽互联网专线，用于访问政务外网和访问备份服务器等，并承担产生的相关费用。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负责呼叫中心1条10M MSTP带公网IP电路，用于访问</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相关下属企业的白名单专用系统，并承担产生的相关费用。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负责提供呼叫中心数据备份服务器。同时充分考虑容灾备份情况，当主系统发生突然事件导致无法使用时，可以快速启动备用系统，以便服务热线工作正常。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具备拥有系统安全、备份保障、扩展能力以及对外接口的呼叫系统和平台，且能与</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现有客服系统实现对接。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负责提供智能流程自动化软件（RPA），可提供</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客服智能场景应用。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具备即时通讯工具设备，包含PC、APP、微信在线客服的多触点一站式服务系统。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具备报表统计、分析以及导出功能。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具备客服平台系统二次开发能力，能根据</w:t>
            </w:r>
            <w:r>
              <w:rPr>
                <w:rFonts w:hint="eastAsia" w:ascii="宋体" w:hAnsi="宋体" w:eastAsia="宋体" w:cs="宋体"/>
                <w:color w:val="auto"/>
                <w:sz w:val="22"/>
                <w:szCs w:val="22"/>
                <w:highlight w:val="none"/>
                <w:lang w:eastAsia="zh-CN"/>
              </w:rPr>
              <w:t>招标人</w:t>
            </w:r>
            <w:r>
              <w:rPr>
                <w:rFonts w:hint="eastAsia" w:ascii="宋体" w:hAnsi="宋体" w:eastAsia="宋体" w:cs="宋体"/>
                <w:color w:val="auto"/>
                <w:sz w:val="22"/>
                <w:szCs w:val="22"/>
                <w:highlight w:val="none"/>
              </w:rPr>
              <w:t>要求开发应用。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83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在网络资源保障要求上，</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需提供充足可靠的网络资源保障。对端口、设备和电路等资源都有预留，并根据业务的发展情况，实时进行扩容，保持网络良好的冗余能力，确保管理和技术服务。</w:t>
            </w:r>
          </w:p>
        </w:tc>
      </w:tr>
    </w:tbl>
    <w:p>
      <w:pPr>
        <w:pStyle w:val="2"/>
        <w:keepNext w:val="0"/>
        <w:keepLines w:val="0"/>
        <w:pageBreakBefore w:val="0"/>
        <w:widowControl w:val="0"/>
        <w:kinsoku/>
        <w:wordWrap/>
        <w:overflowPunct/>
        <w:topLinePunct w:val="0"/>
        <w:autoSpaceDE/>
        <w:autoSpaceDN/>
        <w:bidi w:val="0"/>
        <w:adjustRightInd/>
        <w:snapToGrid w:val="0"/>
        <w:spacing w:after="0" w:line="440" w:lineRule="exact"/>
        <w:textAlignment w:val="auto"/>
        <w:rPr>
          <w:rFonts w:hint="default"/>
          <w:color w:val="auto"/>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pacing w:line="440" w:lineRule="exact"/>
        <w:ind w:firstLine="442" w:firstLineChars="200"/>
        <w:jc w:val="left"/>
        <w:textAlignment w:val="auto"/>
        <w:rPr>
          <w:rFonts w:hint="eastAsia" w:ascii="宋体" w:hAnsi="宋体" w:eastAsia="宋体" w:cs="宋体"/>
          <w:b/>
          <w:bCs w:val="0"/>
          <w:color w:val="auto"/>
          <w:sz w:val="22"/>
          <w:szCs w:val="22"/>
          <w:highlight w:val="none"/>
        </w:rPr>
      </w:pPr>
      <w:r>
        <w:rPr>
          <w:rFonts w:hint="eastAsia" w:ascii="宋体" w:hAnsi="宋体" w:cs="宋体"/>
          <w:b/>
          <w:bCs/>
          <w:color w:val="auto"/>
          <w:sz w:val="22"/>
          <w:szCs w:val="22"/>
          <w:highlight w:val="none"/>
          <w:lang w:val="en-US" w:eastAsia="zh-CN"/>
        </w:rPr>
        <w:t>三</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
          <w:bCs w:val="0"/>
          <w:color w:val="auto"/>
          <w:sz w:val="22"/>
          <w:szCs w:val="22"/>
          <w:highlight w:val="none"/>
        </w:rPr>
        <w:t>服务质量要求</w:t>
      </w:r>
    </w:p>
    <w:p>
      <w:pPr>
        <w:pStyle w:val="2"/>
        <w:keepNext w:val="0"/>
        <w:keepLines w:val="0"/>
        <w:pageBreakBefore w:val="0"/>
        <w:widowControl w:val="0"/>
        <w:kinsoku/>
        <w:wordWrap/>
        <w:overflowPunct/>
        <w:topLinePunct w:val="0"/>
        <w:autoSpaceDE/>
        <w:autoSpaceDN/>
        <w:bidi w:val="0"/>
        <w:adjustRightInd/>
        <w:spacing w:after="0" w:line="44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拓展优化东莞交投集团客服呼叫中心服务功能，把客服呼叫中心建设成为多渠道受理、多元化服务的综合服务平台，大幅提升服务质量和效能，服务质量核心量化指标包括但不限于以下要求：按规定时限回复率100%，话务接通率高于95%，服务不满意度低于5%。</w:t>
      </w:r>
    </w:p>
    <w:p>
      <w:pPr>
        <w:pStyle w:val="2"/>
        <w:keepNext w:val="0"/>
        <w:keepLines w:val="0"/>
        <w:pageBreakBefore w:val="0"/>
        <w:widowControl w:val="0"/>
        <w:kinsoku/>
        <w:wordWrap/>
        <w:overflowPunct/>
        <w:topLinePunct w:val="0"/>
        <w:autoSpaceDE/>
        <w:autoSpaceDN/>
        <w:bidi w:val="0"/>
        <w:adjustRightInd/>
        <w:spacing w:after="0" w:line="440" w:lineRule="exact"/>
        <w:ind w:firstLine="442" w:firstLineChars="200"/>
        <w:jc w:val="left"/>
        <w:textAlignment w:val="auto"/>
        <w:rPr>
          <w:rFonts w:hint="eastAsia" w:ascii="宋体" w:hAnsi="宋体" w:eastAsia="宋体" w:cs="宋体"/>
          <w:b/>
          <w:bCs/>
          <w:color w:val="auto"/>
          <w:sz w:val="22"/>
          <w:szCs w:val="22"/>
          <w:highlight w:val="none"/>
          <w:lang w:val="en-US" w:eastAsia="zh-CN"/>
        </w:rPr>
      </w:pPr>
    </w:p>
    <w:p>
      <w:pPr>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br w:type="page"/>
      </w:r>
    </w:p>
    <w:p>
      <w:pPr>
        <w:pStyle w:val="2"/>
        <w:keepNext w:val="0"/>
        <w:keepLines w:val="0"/>
        <w:pageBreakBefore w:val="0"/>
        <w:kinsoku/>
        <w:wordWrap/>
        <w:overflowPunct/>
        <w:topLinePunct w:val="0"/>
        <w:autoSpaceDE/>
        <w:autoSpaceDN/>
        <w:bidi w:val="0"/>
        <w:adjustRightInd/>
        <w:spacing w:after="0" w:line="240" w:lineRule="auto"/>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附件1：                </w:t>
      </w:r>
    </w:p>
    <w:tbl>
      <w:tblPr>
        <w:tblStyle w:val="50"/>
        <w:tblW w:w="9870" w:type="dxa"/>
        <w:tblInd w:w="0" w:type="dxa"/>
        <w:tblLayout w:type="fixed"/>
        <w:tblCellMar>
          <w:top w:w="0" w:type="dxa"/>
          <w:left w:w="0" w:type="dxa"/>
          <w:bottom w:w="0" w:type="dxa"/>
          <w:right w:w="0" w:type="dxa"/>
        </w:tblCellMar>
      </w:tblPr>
      <w:tblGrid>
        <w:gridCol w:w="525"/>
        <w:gridCol w:w="1365"/>
        <w:gridCol w:w="4695"/>
        <w:gridCol w:w="3285"/>
      </w:tblGrid>
      <w:tr>
        <w:tblPrEx>
          <w:tblCellMar>
            <w:top w:w="0" w:type="dxa"/>
            <w:left w:w="0" w:type="dxa"/>
            <w:bottom w:w="0" w:type="dxa"/>
            <w:right w:w="0" w:type="dxa"/>
          </w:tblCellMar>
        </w:tblPrEx>
        <w:trPr>
          <w:trHeight w:val="474" w:hRule="atLeast"/>
        </w:trPr>
        <w:tc>
          <w:tcPr>
            <w:tcW w:w="987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东莞交投集团客服呼叫中心岗位职责及任职要求表</w:t>
            </w:r>
          </w:p>
        </w:tc>
      </w:tr>
      <w:tr>
        <w:tblPrEx>
          <w:tblCellMar>
            <w:top w:w="0" w:type="dxa"/>
            <w:left w:w="0" w:type="dxa"/>
            <w:bottom w:w="0" w:type="dxa"/>
            <w:right w:w="0" w:type="dxa"/>
          </w:tblCellMar>
        </w:tblPrEx>
        <w:trPr>
          <w:trHeight w:val="369"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岗位名称</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岗位职责</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任职要求</w:t>
            </w:r>
          </w:p>
        </w:tc>
      </w:tr>
      <w:tr>
        <w:tblPrEx>
          <w:tblCellMar>
            <w:top w:w="0" w:type="dxa"/>
            <w:left w:w="0" w:type="dxa"/>
            <w:bottom w:w="0" w:type="dxa"/>
            <w:right w:w="0" w:type="dxa"/>
          </w:tblCellMar>
        </w:tblPrEx>
        <w:trPr>
          <w:trHeight w:val="192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客服主任</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1.负责与交投集团确定项目运营方向；</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2.统筹项目运营事宜，确保项目相关指标、质量达标；</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3.负责对接、调研交投新增的业务板块内容，制订割接计划；</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4.负责总体人员绩效管理和考核；</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5.集团统一客服平台咨询服务项目费用管控相关工作，</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6.提供整理运营管理咨询服务，优化整体项目运营</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7.协助交投集团对项目的各项指标进行考核；</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8.配合交投集团做好其他临时任务。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1.具备5年以上同类项目管理经验；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2.本科及以上学历（或学位）；</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3.具较强的文字撰写能力。</w:t>
            </w:r>
          </w:p>
        </w:tc>
      </w:tr>
      <w:tr>
        <w:tblPrEx>
          <w:tblCellMar>
            <w:top w:w="0" w:type="dxa"/>
            <w:left w:w="0" w:type="dxa"/>
            <w:bottom w:w="0" w:type="dxa"/>
            <w:right w:w="0" w:type="dxa"/>
          </w:tblCellMar>
        </w:tblPrEx>
        <w:trPr>
          <w:trHeight w:val="224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现场主管</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1.根据客服主任要求落实工作安排，对业务流程进行梳理；</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2.对运营关键指标进行管控；</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3.按话务预测制定排班；</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4.现场人员整体调度；</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5.突发应急事件处理；</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6.负责数据统计、分析，按交投集团要求做好日常周报、月报、季报及年报等；</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7.确保客服现场有序运作；</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8.配合交投集团做好其他临时任务。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1.具备3年以上同类项目主管经验；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2.大专及以上学历（或学位）；</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3.具较强的文字撰写能力。</w:t>
            </w:r>
          </w:p>
        </w:tc>
      </w:tr>
      <w:tr>
        <w:tblPrEx>
          <w:tblCellMar>
            <w:top w:w="0" w:type="dxa"/>
            <w:left w:w="0" w:type="dxa"/>
            <w:bottom w:w="0" w:type="dxa"/>
            <w:right w:w="0" w:type="dxa"/>
          </w:tblCellMar>
        </w:tblPrEx>
        <w:trPr>
          <w:trHeight w:val="21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知识库采编兼</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质检员</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1.负责与下属各企业专职人员对接，及时了解知识库更新内容；</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2.及时更新系统知识库；</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3.将更新后的内容及时列入班前会议程；</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4.现场监听客服话务员工作用语以及服务态度；</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5.每月抽检录音，对客服话务员的用作用语以及服务态度进行检查；</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6.及时将质检结果进行通报，并进行相应辅导。</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1.具备2年以上同类项目支撑经验；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2.大专及以上学历（或学位）。</w:t>
            </w:r>
          </w:p>
        </w:tc>
      </w:tr>
      <w:tr>
        <w:tblPrEx>
          <w:tblCellMar>
            <w:top w:w="0" w:type="dxa"/>
            <w:left w:w="0" w:type="dxa"/>
            <w:bottom w:w="0" w:type="dxa"/>
            <w:right w:w="0" w:type="dxa"/>
          </w:tblCellMar>
        </w:tblPrEx>
        <w:trPr>
          <w:trHeight w:val="3030" w:hRule="atLeast"/>
        </w:trPr>
        <w:tc>
          <w:tcPr>
            <w:tcW w:w="5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客服班长</w:t>
            </w:r>
          </w:p>
        </w:tc>
        <w:tc>
          <w:tcPr>
            <w:tcW w:w="469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1.协助制订现场业务管理规范流程；</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2.对班组人员进行现场管控，保障接通率，及时将质检结果进行通报，并进行相应辅导，提升客服人员工作效率；</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3.负责班组人员考勤情况，制订考勤记录表；</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4.对突发事件进行升级，及时上报并主动协助有关企业进行处理；</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5.对班组人员（包括新增人员）进行业务培训（包括业务知识更新后的培训）</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6.召开班前会，将知识库更新内容落到实处。</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7.负责做好后勤保障相关事项，包括但不限于协助班组人员申请就餐卡、门禁卡，采购办公用品及其他日常事务；</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8.配合交投集团做好其他临时任务。</w:t>
            </w:r>
          </w:p>
        </w:tc>
        <w:tc>
          <w:tcPr>
            <w:tcW w:w="32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1.具备2年以上同类项目班长经验；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2.大专及以上学历（或学位）；</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3.具较强的责任心和凝聚力。</w:t>
            </w:r>
          </w:p>
        </w:tc>
      </w:tr>
      <w:tr>
        <w:tblPrEx>
          <w:tblCellMar>
            <w:top w:w="0" w:type="dxa"/>
            <w:left w:w="0" w:type="dxa"/>
            <w:bottom w:w="0" w:type="dxa"/>
            <w:right w:w="0" w:type="dxa"/>
          </w:tblCellMar>
        </w:tblPrEx>
        <w:trPr>
          <w:trHeight w:val="223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话务员</w:t>
            </w:r>
          </w:p>
        </w:tc>
        <w:tc>
          <w:tcPr>
            <w:tcW w:w="4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1.负责接听群众来电，解答各类咨询问题；</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2.记录投诉问题，并及时派发工单；</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3.处理东莞阳光网、政府热线工单以及东莞通APP、官方微信公众号等渠道接入的投诉、咨询等问题，及时按要求做好统计表；</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4.对各事项进行分类归档。</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5.按业务职能范围下发工单；</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6.对工单进行督办；</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7.在规定的时间内回访市民。</w:t>
            </w:r>
          </w:p>
        </w:tc>
        <w:tc>
          <w:tcPr>
            <w:tcW w:w="32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1.18-35岁;</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2.粤语、普通话标准，声音悦耳、富有感染力、亲和力优先;</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3.良好的表达及沟通能力，掌握基本办公软件操作，打字速度50字/分钟以上;</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4.能接受夜班以及轮班安排;</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5.专业不限，大专及以上学历、有呼叫中心客服 经验优先。</w:t>
            </w:r>
          </w:p>
        </w:tc>
      </w:tr>
    </w:tbl>
    <w:p>
      <w:pPr>
        <w:pStyle w:val="2"/>
        <w:rPr>
          <w:rFonts w:hint="eastAsia" w:ascii="Times New Roman" w:hAnsi="Times New Roman" w:eastAsia="仿宋_GB2312"/>
          <w:color w:val="auto"/>
          <w:sz w:val="32"/>
          <w:szCs w:val="32"/>
          <w:highlight w:val="none"/>
          <w:lang w:val="en-US" w:eastAsia="zh-CN"/>
        </w:rPr>
      </w:pPr>
    </w:p>
    <w:p>
      <w:pPr>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东莞交投集团客服呼叫中心运营服务外包项目月度考核评分表</w:t>
      </w:r>
    </w:p>
    <w:tbl>
      <w:tblPr>
        <w:tblStyle w:val="50"/>
        <w:tblW w:w="109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0"/>
        <w:gridCol w:w="1959"/>
        <w:gridCol w:w="2835"/>
        <w:gridCol w:w="1134"/>
        <w:gridCol w:w="851"/>
        <w:gridCol w:w="31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服务分类</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服务项目</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目标值</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分值</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计分办法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话务指标</w:t>
            </w:r>
          </w:p>
        </w:tc>
        <w:tc>
          <w:tcPr>
            <w:tcW w:w="195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接通指标（二选一）</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人工接通率(%)=人工接通量/人工呼入请求量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≥95%</w:t>
            </w:r>
          </w:p>
        </w:tc>
        <w:tc>
          <w:tcPr>
            <w:tcW w:w="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319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当月指标二选一：低于目标值起扣分，实际值每低1%扣减1分，扣完本项分数为止。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人工接通量=人工呼入请求量-未接通话务量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≥16000</w:t>
            </w:r>
          </w:p>
        </w:tc>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319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5"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多媒体服务接通率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多媒体服务接通率(%)=访客应答量/多媒体访客请求量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≥90%</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平均通话时长</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话务员处理一通电话所需要的平均时长</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≤180秒</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按月度平均值进行考核，高于目标值起扣分，实际值每高10秒扣减1分，扣完本项分数为止。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客户不满意率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客户不满意率（%）=话后选择对服务不满意/客户评价数</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及时回复指标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包括但不限于上级话务、工单等处理的及时率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及时率（%）=按时处理归档工单量/总工单量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处理准确指标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包括但不限于话务、工单处理准确率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准确率（%）=（总量-不合格工单（话务）量）/总工单（话务）量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≥96%</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质量指标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解答问题准确率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准确率（%）=质检解答问题准确数量/质检月数量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工单质检率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月质检率（%）=质检员对工单的质检数量/当月总工单量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人员指标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人员稳定性</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按合同要求提供人员支撑，根据甲方业务量变化安排人员，且每月离职人员不能多于2人</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≤2人</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高于目标值起扣分，实际值每高1人扣减2.5分，扣完本项分数为止。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知识库维护及时率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业务部门提供最新知识库知识点更新申请后，采编员在系统上更新效率情况</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≤1个工作日</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高于目标值起扣分，实际值每高1个工作日扣减1分，扣完本项分数为止。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市民对客服服务投诉量</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市民通过热线、12345、阳光网、信访等渠道的有效投诉数量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不高于1宗</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高于目标值起扣分，实际值每高1宗扣减2.5分，扣完本项分数为止。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故障响应及时率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故障响应及时率=承诺响应时间/实际响应时间*100%。承诺响应时间：10分钟</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 w:hRule="atLeast"/>
          <w:jc w:val="center"/>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场地安全巡查平均分</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对工作场地安全进行检查，包括但不限于用电安全、用水安全以及其他设施的安全使用等。</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≥90分</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合计</w:t>
            </w:r>
          </w:p>
        </w:tc>
        <w:tc>
          <w:tcPr>
            <w:tcW w:w="59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要求达90分</w:t>
            </w:r>
            <w:r>
              <w:rPr>
                <w:rFonts w:hint="eastAsia" w:ascii="宋体" w:hAnsi="宋体" w:eastAsia="宋体" w:cs="宋体"/>
                <w:color w:val="auto"/>
                <w:sz w:val="22"/>
                <w:szCs w:val="22"/>
                <w:highlight w:val="none"/>
                <w:lang w:val="en-US" w:eastAsia="zh-CN"/>
              </w:rPr>
              <w:t>及</w:t>
            </w:r>
            <w:r>
              <w:rPr>
                <w:rFonts w:hint="eastAsia" w:ascii="宋体" w:hAnsi="宋体" w:eastAsia="宋体" w:cs="宋体"/>
                <w:color w:val="auto"/>
                <w:sz w:val="22"/>
                <w:szCs w:val="22"/>
                <w:highlight w:val="none"/>
              </w:rPr>
              <w:t>以上</w:t>
            </w:r>
          </w:p>
        </w:tc>
      </w:tr>
    </w:tbl>
    <w:p>
      <w:pPr>
        <w:pStyle w:val="2"/>
        <w:keepNext w:val="0"/>
        <w:keepLines w:val="0"/>
        <w:pageBreakBefore w:val="0"/>
        <w:widowControl w:val="0"/>
        <w:kinsoku/>
        <w:wordWrap/>
        <w:overflowPunct/>
        <w:topLinePunct w:val="0"/>
        <w:autoSpaceDE/>
        <w:autoSpaceDN/>
        <w:bidi w:val="0"/>
        <w:adjustRightInd/>
        <w:snapToGrid w:val="0"/>
        <w:spacing w:after="0"/>
        <w:ind w:firstLine="560" w:firstLineChars="200"/>
        <w:jc w:val="left"/>
        <w:textAlignment w:val="auto"/>
        <w:rPr>
          <w:color w:val="auto"/>
          <w:highlight w:val="none"/>
        </w:rPr>
      </w:pPr>
    </w:p>
    <w:p>
      <w:pPr>
        <w:rPr>
          <w:rFonts w:ascii="Times New Roman" w:hAnsi="Times New Roman" w:eastAsiaTheme="minorEastAsia"/>
          <w:color w:val="auto"/>
          <w:highlight w:val="none"/>
        </w:rPr>
      </w:pPr>
      <w:bookmarkStart w:id="182" w:name="_Toc61529863"/>
      <w:r>
        <w:rPr>
          <w:rFonts w:ascii="Times New Roman" w:hAnsi="Times New Roman" w:eastAsiaTheme="minorEastAsia"/>
          <w:color w:val="auto"/>
          <w:highlight w:val="none"/>
        </w:rPr>
        <w:br w:type="page"/>
      </w:r>
    </w:p>
    <w:p>
      <w:pPr>
        <w:pStyle w:val="4"/>
        <w:jc w:val="center"/>
        <w:rPr>
          <w:rFonts w:ascii="Times New Roman" w:hAnsi="Times New Roman" w:eastAsiaTheme="minorEastAsia"/>
          <w:color w:val="auto"/>
          <w:highlight w:val="none"/>
        </w:rPr>
      </w:pPr>
    </w:p>
    <w:p>
      <w:pPr>
        <w:pStyle w:val="4"/>
        <w:jc w:val="center"/>
        <w:rPr>
          <w:rFonts w:ascii="Times New Roman" w:hAnsi="Times New Roman" w:eastAsiaTheme="minorEastAsia"/>
          <w:color w:val="auto"/>
          <w:highlight w:val="none"/>
        </w:rPr>
      </w:pPr>
    </w:p>
    <w:p>
      <w:pPr>
        <w:pStyle w:val="4"/>
        <w:jc w:val="center"/>
        <w:rPr>
          <w:rFonts w:ascii="宋体" w:hAnsi="宋体"/>
          <w:color w:val="auto"/>
          <w:sz w:val="22"/>
          <w:szCs w:val="22"/>
          <w:highlight w:val="none"/>
        </w:rPr>
      </w:pPr>
      <w:r>
        <w:rPr>
          <w:rFonts w:ascii="Times New Roman" w:hAnsi="Times New Roman" w:eastAsiaTheme="minorEastAsia"/>
          <w:color w:val="auto"/>
          <w:highlight w:val="none"/>
        </w:rPr>
        <w:t>第五章 合同格式</w:t>
      </w:r>
      <w:bookmarkEnd w:id="181"/>
      <w:bookmarkEnd w:id="182"/>
    </w:p>
    <w:p>
      <w:pPr>
        <w:jc w:val="center"/>
        <w:rPr>
          <w:color w:val="auto"/>
          <w:highlight w:val="none"/>
        </w:rPr>
      </w:pPr>
      <w:r>
        <w:rPr>
          <w:color w:val="auto"/>
          <w:highlight w:val="none"/>
        </w:rPr>
        <w:br w:type="page"/>
      </w:r>
      <w:bookmarkStart w:id="183" w:name="_Toc441844111"/>
    </w:p>
    <w:p>
      <w:pPr>
        <w:spacing w:before="936" w:beforeLines="300" w:after="1872" w:afterLines="60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6"/>
          <w:szCs w:val="56"/>
          <w:highlight w:val="none"/>
        </w:rPr>
        <w:t>东莞交投集团客服呼叫中心运营服务外包项目</w:t>
      </w:r>
    </w:p>
    <w:p>
      <w:pPr>
        <w:jc w:val="center"/>
        <w:rPr>
          <w:rFonts w:hint="eastAsia" w:ascii="宋体" w:hAnsi="宋体" w:eastAsia="宋体" w:cs="宋体"/>
          <w:b/>
          <w:color w:val="auto"/>
          <w:kern w:val="0"/>
          <w:sz w:val="96"/>
          <w:szCs w:val="44"/>
          <w:highlight w:val="none"/>
        </w:rPr>
      </w:pPr>
      <w:r>
        <w:rPr>
          <w:rFonts w:hint="eastAsia" w:ascii="宋体" w:hAnsi="宋体" w:eastAsia="宋体" w:cs="宋体"/>
          <w:b/>
          <w:color w:val="auto"/>
          <w:kern w:val="0"/>
          <w:sz w:val="96"/>
          <w:szCs w:val="44"/>
          <w:highlight w:val="none"/>
        </w:rPr>
        <w:t>合同文件</w:t>
      </w:r>
    </w:p>
    <w:p>
      <w:pPr>
        <w:jc w:val="center"/>
        <w:rPr>
          <w:rFonts w:hint="eastAsia" w:ascii="宋体" w:hAnsi="宋体" w:eastAsia="宋体" w:cs="宋体"/>
          <w:b/>
          <w:color w:val="auto"/>
          <w:kern w:val="0"/>
          <w:sz w:val="96"/>
          <w:szCs w:val="44"/>
          <w:highlight w:val="none"/>
          <w:lang w:eastAsia="zh-CN"/>
        </w:rPr>
      </w:pP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以实际签订为准</w:t>
      </w:r>
      <w:r>
        <w:rPr>
          <w:rFonts w:hint="eastAsia" w:ascii="宋体" w:hAnsi="宋体" w:eastAsia="宋体" w:cs="宋体"/>
          <w:b/>
          <w:color w:val="auto"/>
          <w:kern w:val="0"/>
          <w:sz w:val="24"/>
          <w:szCs w:val="24"/>
          <w:highlight w:val="none"/>
          <w:lang w:eastAsia="zh-CN"/>
        </w:rPr>
        <w:t>）</w:t>
      </w:r>
    </w:p>
    <w:p>
      <w:pPr>
        <w:ind w:firstLine="1619" w:firstLineChars="506"/>
        <w:rPr>
          <w:rFonts w:hint="eastAsia" w:ascii="宋体" w:hAnsi="宋体" w:eastAsia="宋体" w:cs="宋体"/>
          <w:color w:val="auto"/>
          <w:sz w:val="32"/>
          <w:szCs w:val="32"/>
          <w:highlight w:val="none"/>
        </w:rPr>
      </w:pPr>
    </w:p>
    <w:p>
      <w:pPr>
        <w:ind w:firstLine="1619" w:firstLineChars="506"/>
        <w:rPr>
          <w:rFonts w:hint="eastAsia" w:ascii="宋体" w:hAnsi="宋体" w:eastAsia="宋体" w:cs="宋体"/>
          <w:color w:val="auto"/>
          <w:sz w:val="32"/>
          <w:szCs w:val="32"/>
          <w:highlight w:val="none"/>
        </w:rPr>
      </w:pPr>
    </w:p>
    <w:p>
      <w:pPr>
        <w:pStyle w:val="2"/>
        <w:ind w:firstLine="640"/>
        <w:rPr>
          <w:rFonts w:hint="eastAsia" w:ascii="宋体" w:hAnsi="宋体" w:eastAsia="宋体" w:cs="宋体"/>
          <w:color w:val="auto"/>
          <w:sz w:val="32"/>
          <w:szCs w:val="32"/>
          <w:highlight w:val="none"/>
        </w:rPr>
      </w:pPr>
    </w:p>
    <w:p>
      <w:pPr>
        <w:pStyle w:val="2"/>
        <w:ind w:firstLine="640"/>
        <w:rPr>
          <w:rFonts w:hint="eastAsia" w:ascii="宋体" w:hAnsi="宋体" w:eastAsia="宋体" w:cs="宋体"/>
          <w:color w:val="auto"/>
          <w:sz w:val="32"/>
          <w:szCs w:val="32"/>
          <w:highlight w:val="none"/>
        </w:rPr>
      </w:pPr>
    </w:p>
    <w:p>
      <w:pPr>
        <w:ind w:firstLine="1619" w:firstLineChars="506"/>
        <w:rPr>
          <w:rFonts w:hint="eastAsia" w:ascii="宋体" w:hAnsi="宋体" w:eastAsia="宋体" w:cs="宋体"/>
          <w:color w:val="auto"/>
          <w:sz w:val="32"/>
          <w:szCs w:val="32"/>
          <w:highlight w:val="none"/>
        </w:rPr>
      </w:pPr>
    </w:p>
    <w:p>
      <w:pPr>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甲方（委托方）：</w:t>
      </w:r>
      <w:r>
        <w:rPr>
          <w:rFonts w:hint="eastAsia" w:ascii="宋体" w:hAnsi="宋体" w:eastAsia="宋体" w:cs="宋体"/>
          <w:b/>
          <w:color w:val="auto"/>
          <w:sz w:val="32"/>
          <w:szCs w:val="32"/>
          <w:highlight w:val="none"/>
          <w:u w:val="single"/>
        </w:rPr>
        <w:t>东莞市交通投资集团有限公司</w:t>
      </w:r>
    </w:p>
    <w:p>
      <w:pPr>
        <w:ind w:firstLine="643" w:firstLineChars="200"/>
        <w:rPr>
          <w:rFonts w:hint="eastAsia" w:ascii="宋体" w:hAnsi="宋体" w:eastAsia="宋体" w:cs="宋体"/>
          <w:b/>
          <w:color w:val="auto"/>
          <w:sz w:val="32"/>
          <w:szCs w:val="32"/>
          <w:highlight w:val="none"/>
        </w:rPr>
      </w:pPr>
    </w:p>
    <w:p>
      <w:pPr>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乙方（受托方）：</w:t>
      </w:r>
      <w:r>
        <w:rPr>
          <w:rFonts w:hint="eastAsia" w:ascii="宋体" w:hAnsi="宋体" w:eastAsia="宋体" w:cs="宋体"/>
          <w:b/>
          <w:color w:val="auto"/>
          <w:sz w:val="32"/>
          <w:szCs w:val="32"/>
          <w:highlight w:val="none"/>
          <w:u w:val="single"/>
        </w:rPr>
        <w:t xml:space="preserve">                          </w:t>
      </w:r>
    </w:p>
    <w:p>
      <w:pPr>
        <w:ind w:firstLine="1279" w:firstLineChars="398"/>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二Ο二一年</w:t>
      </w:r>
      <w:r>
        <w:rPr>
          <w:rFonts w:hint="eastAsia" w:ascii="宋体" w:hAnsi="宋体" w:eastAsia="宋体" w:cs="宋体"/>
          <w:b/>
          <w:color w:val="auto"/>
          <w:sz w:val="32"/>
          <w:szCs w:val="32"/>
          <w:highlight w:val="none"/>
          <w:u w:val="single"/>
        </w:rPr>
        <w:t xml:space="preserve">   </w:t>
      </w:r>
      <w:r>
        <w:rPr>
          <w:rFonts w:hint="eastAsia" w:ascii="宋体" w:hAnsi="宋体" w:eastAsia="宋体" w:cs="宋体"/>
          <w:b/>
          <w:color w:val="auto"/>
          <w:sz w:val="32"/>
          <w:szCs w:val="32"/>
          <w:highlight w:val="none"/>
        </w:rPr>
        <w:t>月于东莞市</w:t>
      </w:r>
    </w:p>
    <w:p>
      <w:pPr>
        <w:widowControl/>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甲、乙双方根据东莞交投集团客服呼叫中心运营服务外包项目公开招标结果，甲方接受乙方为本项目的供应商。经过双方平等协商，在真实、充分地表达各自意愿的基础上签署本合同，具体约定如下：</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一、服务范围及内容</w:t>
      </w:r>
    </w:p>
    <w:p>
      <w:pPr>
        <w:spacing w:line="560" w:lineRule="exact"/>
        <w:ind w:firstLine="442" w:firstLineChars="200"/>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1.1服务范围</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委托乙方承担东莞交投集团系统内客服业务的外包服务，主要包括承接处理东莞交投集团系统内各渠道的客服业务，以对外打造标准化、智能化、规范化、多样化的客服系统为目标，并适时配合甲方开展与客服相关的营销拓展业务。</w:t>
      </w:r>
    </w:p>
    <w:p>
      <w:pPr>
        <w:spacing w:line="560" w:lineRule="exact"/>
        <w:ind w:firstLine="442" w:firstLineChars="200"/>
        <w:jc w:val="left"/>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1.2服务内容</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1.2.1</w:t>
      </w:r>
      <w:r>
        <w:rPr>
          <w:rFonts w:hint="eastAsia" w:ascii="宋体" w:hAnsi="宋体" w:eastAsia="宋体" w:cs="宋体"/>
          <w:b/>
          <w:color w:val="auto"/>
          <w:sz w:val="22"/>
          <w:szCs w:val="22"/>
          <w:highlight w:val="none"/>
        </w:rPr>
        <w:t>提供客服专号</w:t>
      </w:r>
      <w:r>
        <w:rPr>
          <w:rFonts w:hint="eastAsia" w:ascii="宋体" w:hAnsi="宋体" w:eastAsia="宋体" w:cs="宋体"/>
          <w:color w:val="auto"/>
          <w:sz w:val="22"/>
          <w:szCs w:val="22"/>
          <w:highlight w:val="none"/>
        </w:rPr>
        <w:t>。乙方为甲方提供安全可靠的96字头的6位数特服专号，并实现全省三网（电信、联通、移动）中继语音线路的落地；乙方须协助配合甲方进行企业所属特服号的申请，并配合做好新旧号码转换工作，确保客服号码的平稳过渡切换。</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1.2.2 </w:t>
      </w:r>
      <w:r>
        <w:rPr>
          <w:rFonts w:hint="eastAsia" w:ascii="宋体" w:hAnsi="宋体" w:eastAsia="宋体" w:cs="宋体"/>
          <w:b/>
          <w:color w:val="auto"/>
          <w:sz w:val="22"/>
          <w:szCs w:val="22"/>
          <w:highlight w:val="none"/>
        </w:rPr>
        <w:t>派驻客服运营团队</w:t>
      </w:r>
      <w:r>
        <w:rPr>
          <w:rFonts w:hint="eastAsia" w:ascii="宋体" w:hAnsi="宋体" w:eastAsia="宋体" w:cs="宋体"/>
          <w:color w:val="auto"/>
          <w:sz w:val="22"/>
          <w:szCs w:val="22"/>
          <w:highlight w:val="none"/>
        </w:rPr>
        <w:t>。乙方派驻符合条件及具行业经验的专业化运营团队23人，其中包括1名项目负责人、1名现场主管、1名质检兼知识库采编员、2名班长及18名一线话务员；要求运营团队专人专职不得兼任，乙方须做好人员的招聘、培训和日常管理等工作，确保运营团队的稳定。（岗位职责及任职要求详见附件1）</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1.2.3 </w:t>
      </w:r>
      <w:r>
        <w:rPr>
          <w:rFonts w:hint="eastAsia" w:ascii="宋体" w:hAnsi="宋体" w:eastAsia="宋体" w:cs="宋体"/>
          <w:b/>
          <w:color w:val="auto"/>
          <w:sz w:val="22"/>
          <w:szCs w:val="22"/>
          <w:highlight w:val="none"/>
        </w:rPr>
        <w:t>提供完备的客服运营</w:t>
      </w:r>
      <w:r>
        <w:rPr>
          <w:rFonts w:hint="eastAsia" w:ascii="宋体" w:hAnsi="宋体" w:eastAsia="宋体" w:cs="宋体"/>
          <w:color w:val="auto"/>
          <w:sz w:val="22"/>
          <w:szCs w:val="22"/>
          <w:highlight w:val="none"/>
        </w:rPr>
        <w:t>。乙方根据甲方需求提供整体客服运营及咨询服务，提供覆盖甲方相关企业运营服务时间的7×24小时全天候的人工坐席服务；配套提供保障客服呼叫中心内部有序运行的各项工作机制、培训、考核、管理规范等制度，建立项目现场运营监控体系，不断优化完善项目质量；提供现场运营办公的必要耗材，包括办公用品、饮用水、防疫物资等。</w:t>
      </w:r>
    </w:p>
    <w:p>
      <w:pPr>
        <w:pStyle w:val="2"/>
        <w:spacing w:after="312" w:afterLines="100"/>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1.2.4 </w:t>
      </w:r>
      <w:r>
        <w:rPr>
          <w:rFonts w:hint="eastAsia" w:ascii="宋体" w:hAnsi="宋体" w:eastAsia="宋体" w:cs="宋体"/>
          <w:b/>
          <w:color w:val="auto"/>
          <w:sz w:val="22"/>
          <w:szCs w:val="22"/>
          <w:highlight w:val="none"/>
        </w:rPr>
        <w:t>提供完善的客服系统管理平台</w:t>
      </w:r>
      <w:r>
        <w:rPr>
          <w:rFonts w:hint="eastAsia" w:ascii="宋体" w:hAnsi="宋体" w:eastAsia="宋体" w:cs="宋体"/>
          <w:color w:val="auto"/>
          <w:sz w:val="22"/>
          <w:szCs w:val="22"/>
          <w:highlight w:val="none"/>
        </w:rPr>
        <w:t>。乙方根据甲方业务特点配建个性化、智能化的客服系统管理平台，并持续升级维护；客服系统平台可统一接入甲方各个渠道的热线事项，以实现呼入、呼出、登记、下单、分派、转派、查询、回访、办结的闭环管理；系统同时具备知识库建立和更新、备份保障、录音、现场监控、数据统计分析等功能。其余对系统配套的需求如下：</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noWrap/>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8329" w:type="dxa"/>
            <w:shd w:val="clear" w:color="auto" w:fill="auto"/>
            <w:noWrap/>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noWrap/>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负责提供用于搭建呼叫中心运营网络配套的数据传输电路，可在甲方场地实施客服中心运作。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负责提供三网（电信、联通、移动）语音中继线路，可供客服现场话务接入。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负责呼叫中心通讯服务所产生的通讯费。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负责开通一条500M 带宽互联网专线，用于访问政务外网和访问备份服务器等，并承担产生的相关费用。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负责呼叫中心1条10M MSTP带公网IP电路，用于访问甲方相关下属企业的白名单专用系统，并承担产生的相关费用。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负责提供呼叫中心数据备份服务器。同时充分考虑容灾备份情况，当主系统发生突然事件导致无法使用时，可以快速启动备用系统，以便服务热线工作正常。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具备拥有系统安全、备份保障、扩展能力以及对外接口的呼叫系统和平台，且能与甲方现有客服系统实现对接。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负责提供智能流程自动化软件（RPA），可提供甲方客服智能场景应用。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具备即时通讯工具设备，包含PC、APP、微信在线客服的多触点一站式服务系统。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具备报表统计、分析以及导出功能。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具备客服平台系统二次开发能力，能根据甲方要求开发应用。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shd w:val="clear" w:color="auto" w:fill="auto"/>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8329" w:type="dxa"/>
            <w:shd w:val="clear" w:color="auto" w:fill="auto"/>
            <w:noWrap/>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在网络资源保障要求上，乙方需提供充足可靠的网络资源保障。对端口、设备和电路等资源都有预留，并根据业务的发展情况，实时进行扩容，保持网络良好的冗余能力，确保管理和技术服务。</w:t>
            </w:r>
          </w:p>
        </w:tc>
      </w:tr>
    </w:tbl>
    <w:p>
      <w:pPr>
        <w:spacing w:before="312" w:beforeLines="100" w:line="560" w:lineRule="exact"/>
        <w:ind w:firstLine="61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二、服务质量要求</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拓展优化东莞交投集团客服呼叫中心服务功能，把客服呼叫中心建设成为多渠道受理、多元化服务的综合服务平台，大幅提升服务质量和效能，服务质量核心量化指标包括但不限于以下要求：按规定时限回复率100%，话务接通率高于95%，服务不满意度低于5%。</w:t>
      </w:r>
    </w:p>
    <w:p>
      <w:pPr>
        <w:spacing w:line="560" w:lineRule="exact"/>
        <w:ind w:firstLine="61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三、服务地点和期限</w:t>
      </w:r>
    </w:p>
    <w:p>
      <w:pPr>
        <w:spacing w:line="560" w:lineRule="exact"/>
        <w:ind w:firstLine="442" w:firstLineChars="200"/>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3.1服务地点：</w:t>
      </w:r>
      <w:r>
        <w:rPr>
          <w:rFonts w:hint="eastAsia" w:ascii="宋体" w:hAnsi="宋体" w:eastAsia="宋体" w:cs="宋体"/>
          <w:color w:val="auto"/>
          <w:sz w:val="22"/>
          <w:szCs w:val="22"/>
          <w:highlight w:val="none"/>
        </w:rPr>
        <w:t>由甲方决定。</w:t>
      </w:r>
    </w:p>
    <w:p>
      <w:pPr>
        <w:pStyle w:val="2"/>
        <w:ind w:left="0" w:leftChars="0" w:firstLine="643"/>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3.2服务期限：</w:t>
      </w:r>
      <w:r>
        <w:rPr>
          <w:rFonts w:hint="eastAsia" w:ascii="宋体" w:hAnsi="宋体" w:eastAsia="宋体" w:cs="宋体"/>
          <w:color w:val="auto"/>
          <w:sz w:val="22"/>
          <w:szCs w:val="22"/>
          <w:highlight w:val="none"/>
        </w:rPr>
        <w:t>服务期为3年，自2021年4月20日至2024年4月19日止。</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四、项目验收</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应按照甲方招标需求按时完成各项工作任务。为确保甲方客服呼叫中心顺利衔接上线，乙方须于2021年3月20日前完成包括但不限于以下工作：客服系统平台通过甲方验收，96字头6位数客服专号投入使用，传输线路搭建完成，乙方客服运营团队人员到位；2021年3月20日-4月19日期间为项目准备调试期，客服全员完成培训并具备独立上岗能力，乙方须确保各方面具备运营上线条件。</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五、双方权利与义务</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5.1甲方权利与义务</w:t>
      </w:r>
    </w:p>
    <w:p>
      <w:pPr>
        <w:pStyle w:val="2"/>
        <w:ind w:left="0" w:leftChars="0" w:firstLine="64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5.1.1 甲方有权对乙方的工作进行管理，实施检查、监督、考核。</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5.1.2 乙方员工在从事甲方工作岗位时，甲方有权指导其开展相关工作，乙方应予以配合。</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5.1.3 为保障客服呼叫中心服务的质量和水平，提高客服人员的服务业务素质，甲方可根据业务实际情况要求乙方增加热线服务人员的业务培训或改进培训计划，乙方不得拒绝。</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5.1.4 甲方有权审查乙方员工的劳动合同、身份证明、人员履历等，乙方及员工应配合甲方的审查，如审查不符合要求或实际工作能力与岗位不匹配的，甲方有权要求乙方更换人员。</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5.1.5 甲方有权根据月度考核评分标准对乙方进行考核，并根据考核结果支付服务费用。</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5.1.6 甲方有权开展与客服相关的营销拓展业务，乙方应给予配合实施。</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5.1.7 甲方有权随时调取乙方为甲方建立的所有知识产权及数据信息。</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5.1.8 甲方有义务向乙方提供本合同所涉及工作的相关资料等内容，若有更新及时补充。</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5.1.9 为保障服务质量，甲方可向乙方提供业务骨干进行必要的现场支撑和培训。</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5.1.10 甲方有义务统筹协调各下属企业解决客服业务存在的问题及优化提升服务质量。</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5.2乙方权利与义务</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5.2.1 </w:t>
      </w:r>
      <w:r>
        <w:rPr>
          <w:rFonts w:hint="eastAsia" w:ascii="宋体" w:hAnsi="宋体" w:eastAsia="宋体" w:cs="宋体"/>
          <w:color w:val="auto"/>
          <w:kern w:val="2"/>
          <w:sz w:val="22"/>
          <w:szCs w:val="22"/>
          <w:highlight w:val="none"/>
        </w:rPr>
        <w:t>乙方必须按照甲方要求完成协议规定的各项项目目标及需求。</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5.2.2 乙方成立项目管理组，并提供具有相应专业能力、水平的管理人员进行管理，每季度至少对话务人员开展不低于1次的业务技术培训，对管理人员开展不低于1次的业务培训。</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5.2.3 乙方保证通过甲方相关系统获取用户基本资料及信息仅用于本合同约定的业务内容或实现本合同目的用途。</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5.2.4乙方负责项目有关工作人员的招聘、培训、薪酬、绩效、单项考核等人力资源管理事宜，并确保有效运营及根据甲方要求和建议不断提升服务水平。</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5.2.5 乙方须与被指派的本项目服务的所有员工签订劳动合同并按照本地标准给员工缴纳社会保险（五险一金）。</w:t>
      </w:r>
    </w:p>
    <w:p>
      <w:pPr>
        <w:pStyle w:val="2"/>
        <w:spacing w:after="0" w:line="360" w:lineRule="auto"/>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5.2.6 本合同是客服热线服务外包合同，不是劳务派遣合同，甲方与乙方人员之间不存在劳务派遣用工关系。乙方向其所指派工作人员履行用人单位对劳动者的全部义务。乙方负责规范管理员工，乙方管理员工的范围包括但不仅限于人力资源、福利待遇、工伤、侵权、安全生产等一切与之有关的责任，如履行本合同过程中导致上述责任的发生均由乙方自行承担。</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5.2.7乙方按甲方工作要求和项目服务内容提供相关工作业务外包服务，以及承担相关工作规划、业务保障、工作部署与具体实施工作。</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5.2.8乙方应对客服人员进行相应的业务礼仪培训，确保符合甲方的上岗要求，并配合甲方开展客服呼叫中心的迎检、接待相关工作。</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5.2.9乙方及其指派的服务人员应保守甲方的商业秘密。</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5.2.10 乙方在经营期间内，人员自招，自主经营，自负盈亏。</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5.2.11 未经甲方事先书面同意，乙方不得将本合同项目部分或全部服务工作转由第三人承担。</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六、评价考核</w:t>
      </w:r>
    </w:p>
    <w:p>
      <w:pPr>
        <w:pStyle w:val="2"/>
        <w:spacing w:after="312" w:afterLines="100"/>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甲方对乙方进行月度考核，并根据季度月均考核情况进行服务费用兑付。甲方根据《东莞交投集团客服呼叫中心运营服务外包项目月度考核评分表》（详见附件2）对乙方进行月度考核，并计算出本季度月均考核分值，季度结算款=合同总金额/12×季度考核系数。</w:t>
      </w:r>
    </w:p>
    <w:tbl>
      <w:tblPr>
        <w:tblStyle w:val="50"/>
        <w:tblW w:w="5000" w:type="pct"/>
        <w:jc w:val="center"/>
        <w:tblLayout w:type="autofit"/>
        <w:tblCellMar>
          <w:top w:w="0" w:type="dxa"/>
          <w:left w:w="0" w:type="dxa"/>
          <w:bottom w:w="0" w:type="dxa"/>
          <w:right w:w="0" w:type="dxa"/>
        </w:tblCellMar>
      </w:tblPr>
      <w:tblGrid>
        <w:gridCol w:w="4158"/>
        <w:gridCol w:w="5356"/>
      </w:tblGrid>
      <w:tr>
        <w:tblPrEx>
          <w:tblCellMar>
            <w:top w:w="0" w:type="dxa"/>
            <w:left w:w="0" w:type="dxa"/>
            <w:bottom w:w="0" w:type="dxa"/>
            <w:right w:w="0" w:type="dxa"/>
          </w:tblCellMar>
        </w:tblPrEx>
        <w:trPr>
          <w:trHeight w:val="57" w:hRule="atLeast"/>
          <w:jc w:val="center"/>
        </w:trPr>
        <w:tc>
          <w:tcPr>
            <w:tcW w:w="218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季度月均考核分值</w:t>
            </w:r>
          </w:p>
        </w:tc>
        <w:tc>
          <w:tcPr>
            <w:tcW w:w="281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季度考核系数</w:t>
            </w:r>
          </w:p>
        </w:tc>
      </w:tr>
      <w:tr>
        <w:tblPrEx>
          <w:tblCellMar>
            <w:top w:w="0" w:type="dxa"/>
            <w:left w:w="0" w:type="dxa"/>
            <w:bottom w:w="0" w:type="dxa"/>
            <w:right w:w="0" w:type="dxa"/>
          </w:tblCellMar>
        </w:tblPrEx>
        <w:trPr>
          <w:trHeight w:val="57" w:hRule="atLeast"/>
          <w:jc w:val="center"/>
        </w:trPr>
        <w:tc>
          <w:tcPr>
            <w:tcW w:w="218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考核分值≥90</w:t>
            </w:r>
          </w:p>
        </w:tc>
        <w:tc>
          <w:tcPr>
            <w:tcW w:w="281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r>
      <w:tr>
        <w:tblPrEx>
          <w:tblCellMar>
            <w:top w:w="0" w:type="dxa"/>
            <w:left w:w="0" w:type="dxa"/>
            <w:bottom w:w="0" w:type="dxa"/>
            <w:right w:w="0" w:type="dxa"/>
          </w:tblCellMar>
        </w:tblPrEx>
        <w:trPr>
          <w:trHeight w:val="57" w:hRule="atLeast"/>
          <w:jc w:val="center"/>
        </w:trPr>
        <w:tc>
          <w:tcPr>
            <w:tcW w:w="218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90＞考核分值≥80</w:t>
            </w:r>
          </w:p>
        </w:tc>
        <w:tc>
          <w:tcPr>
            <w:tcW w:w="281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0.9</w:t>
            </w:r>
          </w:p>
        </w:tc>
      </w:tr>
      <w:tr>
        <w:tblPrEx>
          <w:tblCellMar>
            <w:top w:w="0" w:type="dxa"/>
            <w:left w:w="0" w:type="dxa"/>
            <w:bottom w:w="0" w:type="dxa"/>
            <w:right w:w="0" w:type="dxa"/>
          </w:tblCellMar>
        </w:tblPrEx>
        <w:trPr>
          <w:trHeight w:val="57" w:hRule="atLeast"/>
          <w:jc w:val="center"/>
        </w:trPr>
        <w:tc>
          <w:tcPr>
            <w:tcW w:w="218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考核分值＜80</w:t>
            </w:r>
          </w:p>
        </w:tc>
        <w:tc>
          <w:tcPr>
            <w:tcW w:w="2815"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p>
        </w:tc>
      </w:tr>
    </w:tbl>
    <w:p>
      <w:pPr>
        <w:spacing w:before="312" w:beforeLines="100" w:line="560" w:lineRule="exact"/>
        <w:ind w:firstLine="61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七、费用</w:t>
      </w:r>
    </w:p>
    <w:p>
      <w:pPr>
        <w:pStyle w:val="2"/>
        <w:ind w:left="0" w:leftChars="0" w:firstLine="643"/>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7.1合同金额（大写）：</w:t>
      </w:r>
      <w:r>
        <w:rPr>
          <w:rFonts w:hint="eastAsia" w:ascii="宋体" w:hAnsi="宋体" w:eastAsia="宋体" w:cs="宋体"/>
          <w:color w:val="auto"/>
          <w:sz w:val="22"/>
          <w:szCs w:val="22"/>
          <w:highlight w:val="none"/>
        </w:rPr>
        <w:t>[      ]（  ）</w:t>
      </w:r>
    </w:p>
    <w:p>
      <w:pPr>
        <w:pStyle w:val="2"/>
        <w:ind w:left="0" w:leftChars="0" w:firstLine="643"/>
        <w:rPr>
          <w:rFonts w:hint="default"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备注：此合同金额仅仅含东莞市交通投资集团有限公司与乙方签订服务合同内容。</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7.2费用分摊方式</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经双方协商一致，乙方同意合同款项由甲方</w:t>
      </w:r>
      <w:r>
        <w:rPr>
          <w:rFonts w:hint="eastAsia" w:ascii="宋体" w:hAnsi="宋体" w:eastAsia="宋体" w:cs="宋体"/>
          <w:color w:val="auto"/>
          <w:sz w:val="22"/>
          <w:szCs w:val="22"/>
          <w:highlight w:val="none"/>
          <w:u w:val="single"/>
        </w:rPr>
        <w:t>11</w:t>
      </w:r>
      <w:r>
        <w:rPr>
          <w:rFonts w:hint="eastAsia" w:ascii="宋体" w:hAnsi="宋体" w:eastAsia="宋体" w:cs="宋体"/>
          <w:color w:val="auto"/>
          <w:sz w:val="22"/>
          <w:szCs w:val="22"/>
          <w:highlight w:val="none"/>
        </w:rPr>
        <w:t>家下属公司按甲方制定的费用分摊方案进行分摊。其中东莞市轨道交通有限公司、东莞巴士有限公司旗下5家子分公司（东莞巴士有限公司东部分公司、东莞市松山湖公共交通有限公司、东莞市滨海湾公共交通有限公司、东莞市城巴运输有限公司、东莞市小巴运输有限公司）、东莞市东莞通股份有限公司、东莞市路桥建设有限公司常虎高速公路分公司、东莞市虎门港澳客运有限公司、东莞交通实业发展有限公司分别向甲方出具委托书，授权甲方统一与乙方签订服务合同，东莞发展控股股份有限公司与乙方直接签订服务合同。乙方向甲方下属公司开具发票，各下属公司按服务合同直接向乙方支付服务费用。（项目委托书见附件3）</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八、税务及支付方式</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8.1税费和发票</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本合同预算费用已包括甲方就乙方履行本合同所应支付的全部报酬、所需的全部费用及税费。除另有约定外，甲方无需就本合同项下委托事项向乙方支付上述费用之外的任何其他费用及税费。</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8.1.1</w:t>
      </w:r>
      <w:r>
        <w:rPr>
          <w:rFonts w:hint="eastAsia" w:ascii="宋体" w:hAnsi="宋体" w:eastAsia="宋体" w:cs="宋体"/>
          <w:color w:val="auto"/>
          <w:sz w:val="22"/>
          <w:szCs w:val="22"/>
          <w:highlight w:val="none"/>
        </w:rPr>
        <w:t>甲方下属公司在支付合同款前，有权要求乙方按其要求开具符合国家法律法规和标准的增值税发票。乙方承诺其开具发票的形式和内容均合法、有效、完整、准确。若乙方不开具或开具发票不合格的，甲方下属公司有权不予付款直至乙方开具合格发票之日。乙方的各项合同义务仍应按合同约定履行。</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8.1.2</w:t>
      </w:r>
      <w:r>
        <w:rPr>
          <w:rFonts w:hint="eastAsia" w:ascii="宋体" w:hAnsi="宋体" w:eastAsia="宋体" w:cs="宋体"/>
          <w:color w:val="auto"/>
          <w:sz w:val="22"/>
          <w:szCs w:val="22"/>
          <w:highlight w:val="none"/>
        </w:rPr>
        <w:t>乙方应在具备开发票条件且接到甲方下属公司开票指令后开具发票，并应在开具发票之日起10个工作日内将增值税发票送达至甲方下属公司，甲方下属公司有权追究因乙方逾期送达发票而产生的损失。甲方下属公司签收发票的日期为发票的送达日期。若乙方提供的增值税发票不符合法律法规要求或本合同约定，或不能通过税务认证的，甲方下属公司有权拒收或于发现问题后退回，乙方应及时更换，甲方下属公司有权追究由此遭受的损失。</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8.2支付方式</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由甲方下属公司按季度分12期向乙方付款。</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8.2.1</w:t>
      </w:r>
      <w:r>
        <w:rPr>
          <w:rFonts w:hint="eastAsia" w:ascii="宋体" w:hAnsi="宋体" w:eastAsia="宋体" w:cs="宋体"/>
          <w:color w:val="auto"/>
          <w:sz w:val="22"/>
          <w:szCs w:val="22"/>
          <w:highlight w:val="none"/>
        </w:rPr>
        <w:t>每期款项由甲方按照季度月均考核结果和甲方制定的费用分摊方案，并经乙方和甲方下属公司核对确认后，由甲方下属公司直接向乙方付款。</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8.2.2</w:t>
      </w:r>
      <w:r>
        <w:rPr>
          <w:rFonts w:hint="eastAsia" w:ascii="宋体" w:hAnsi="宋体" w:eastAsia="宋体" w:cs="宋体"/>
          <w:color w:val="auto"/>
          <w:sz w:val="22"/>
          <w:szCs w:val="22"/>
          <w:highlight w:val="none"/>
        </w:rPr>
        <w:t>款项的季度周期以签订的合同2021年4月20日开始计算，甲方下属公司于一个季度周期后，在收到相关支付材料，经审核无误后一个月内支付上一季度的费用。</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lang w:eastAsia="zh-CN"/>
        </w:rPr>
        <w:t>8</w:t>
      </w:r>
      <w:r>
        <w:rPr>
          <w:rFonts w:hint="eastAsia" w:ascii="宋体" w:hAnsi="宋体" w:eastAsia="宋体" w:cs="宋体"/>
          <w:color w:val="auto"/>
          <w:kern w:val="2"/>
          <w:sz w:val="22"/>
          <w:szCs w:val="22"/>
          <w:highlight w:val="none"/>
          <w:lang w:val="en-US" w:eastAsia="zh-CN"/>
        </w:rPr>
        <w:t>.2.3</w:t>
      </w:r>
      <w:r>
        <w:rPr>
          <w:rFonts w:hint="eastAsia" w:ascii="宋体" w:hAnsi="宋体" w:eastAsia="宋体" w:cs="宋体"/>
          <w:color w:val="auto"/>
          <w:kern w:val="2"/>
          <w:sz w:val="22"/>
          <w:szCs w:val="22"/>
          <w:highlight w:val="none"/>
        </w:rPr>
        <w:t>本合同费用采取银行转账的支付方式。乙方银行账户信息和纳税人信息：</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开户行：[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银行地址：[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户名：[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账号：[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统一社会信用代码：[    ]</w:t>
      </w:r>
    </w:p>
    <w:p>
      <w:pPr>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地址：[    ]</w:t>
      </w:r>
    </w:p>
    <w:p>
      <w:pPr>
        <w:spacing w:line="360" w:lineRule="auto"/>
        <w:ind w:left="0" w:leftChars="0"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 xml:space="preserve">电话：[    ] </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九、知识产权</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9.1</w:t>
      </w:r>
      <w:r>
        <w:rPr>
          <w:rFonts w:hint="eastAsia" w:ascii="宋体" w:hAnsi="宋体" w:eastAsia="宋体" w:cs="宋体"/>
          <w:color w:val="auto"/>
          <w:sz w:val="22"/>
          <w:szCs w:val="22"/>
          <w:highlight w:val="none"/>
        </w:rPr>
        <w:t>乙方保证提供给甲方的服务或其任何一部分，甲方免受第三方侵犯其知识产权、商标权或工业设计权的起诉；甲方保证提供给乙方的相关技术和本合同项下约定项目的所有材料均具有知识产权所有权或知识产权相关使用权等，保证乙方免受第三方侵犯其知识产权、商标权或工业设计权的起诉。</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9.2</w:t>
      </w:r>
      <w:r>
        <w:rPr>
          <w:rFonts w:hint="eastAsia" w:ascii="宋体" w:hAnsi="宋体" w:eastAsia="宋体" w:cs="宋体"/>
          <w:color w:val="auto"/>
          <w:sz w:val="22"/>
          <w:szCs w:val="22"/>
          <w:highlight w:val="none"/>
        </w:rPr>
        <w:t>乙方履行本合同义务所产生的包括但不限于材料汇编、材料创作、表格编制、所有系统维护和升级、资料填充、开设新户及硬件维护和更新等知识产权均属于甲方；甲方履行本合同义务所产生的材料汇编及创作等知识产权均属于甲方。</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9.3</w:t>
      </w:r>
      <w:r>
        <w:rPr>
          <w:rFonts w:hint="eastAsia" w:ascii="宋体" w:hAnsi="宋体" w:eastAsia="宋体" w:cs="宋体"/>
          <w:color w:val="auto"/>
          <w:sz w:val="22"/>
          <w:szCs w:val="22"/>
          <w:highlight w:val="none"/>
        </w:rPr>
        <w:t>本合同期限内，甲方可在本合同约定项目范围内使用乙方提供给甲方的服务；本合同约定期限届满后，乙方应于十个工作日内将本合同约定项目服务产生的有关材料档案、数据资料等移交甲方。</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十、保密要求</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甲乙双方共同维护本项目的相关保密要求和义务，并共同签订《东莞交投集团客服呼叫中心运营服务外包项目保密协议》（详见附件4）。</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十一、违约责任与赔偿损失</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11.1双方确定，任何一方未履行或未完全履行本合同项下的义务，均构成违约。违约方应赔偿因违约给对方造成的一切损失。</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11.2乙方未能按本合同约定按期提供技术服务的，每逾期[ 1 ]日，乙方应当按照本合同预算费用的[ 0.8 ]%向甲方支付违约金。连续或累计逾期致使违约金数额累计达到本合同预算费用的[ 30 ]%时，甲方有权解除本合同，乙方仍应支付上述违约金、退还甲方已支付款项并赔偿甲方本合同预算费用20%的作为违约金，以上违约金不足以赔偿甲方损失的，乙方的赔偿以甲方损失为准。</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11.3乙方提供技术服务不符合本合同要求的，乙方应当按照甲方要求更正和修改，并承担由此产生的全部费用。因此造成逾期的，甲方有权按照上述第1</w:t>
      </w:r>
      <w:r>
        <w:rPr>
          <w:rFonts w:hint="eastAsia" w:ascii="宋体" w:hAnsi="宋体" w:eastAsia="宋体" w:cs="宋体"/>
          <w:color w:val="auto"/>
          <w:sz w:val="22"/>
          <w:szCs w:val="22"/>
          <w:highlight w:val="none"/>
          <w:lang w:eastAsia="zh-CN"/>
        </w:rPr>
        <w:t>1</w:t>
      </w:r>
      <w:r>
        <w:rPr>
          <w:rFonts w:hint="eastAsia" w:ascii="宋体" w:hAnsi="宋体" w:eastAsia="宋体" w:cs="宋体"/>
          <w:color w:val="auto"/>
          <w:sz w:val="22"/>
          <w:szCs w:val="22"/>
          <w:highlight w:val="none"/>
        </w:rPr>
        <w:t>.2条要求乙方承担违约责任。</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11.4 甲方未按合同约定支付合同费用，自逾期之日起每日按逾期金额的0.3‰向乙方支付违约金。</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11.5乙方违反本合同其他条款约定的，应当按照相应条款承担责任，给甲方造成损失的，乙方承担违约金后，该违约金不足以弥补甲方损失的，还需赔偿甲方的损失。</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11.6因乙方指派工作人员不符合甲方岗位的技能、身体、职业道德素质要求或不适宜在甲方从事相关岗位工作，甲方需退回的，乙方应及时调换符合要求的外包服务人员。对同一工作岗位人员退回超过三次的，或者合同期内，累计发生退回超过10次的，甲方有权解除本合同，未支付的服务费用不予支付，并有权要求乙方支付甲方合同金额20%的违约金。该违约金不足以弥补甲方损失的，还需赔偿甲方的损失。</w:t>
      </w:r>
    </w:p>
    <w:p>
      <w:pPr>
        <w:pStyle w:val="2"/>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11.7本合同履行过程中，乙方指派工作人员与乙方之间的劳动关系引发的所有争议均与甲方无关。乙方不得要求甲方对乙方指派的工作人员承担责任。</w:t>
      </w:r>
    </w:p>
    <w:p>
      <w:pPr>
        <w:pStyle w:val="2"/>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11.8 乙方对本合同中约定的违约行为及违约后果已充分认知，并承诺在违约时，不得请求减免。</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十二、不可抗拒力</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甲乙双方确认，不可抗力是指地震、台风、水灾、火灾、战争、法律法规变化、政府机关要求以及其它本合同各方不能预见，并且对其发生和后果不能防止或不能避免且不可克服的客观情况。发生不可抗力的处理方式如下：</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12.1声称收受到不可抗力影响的一方应在发生不可抗力或知道发生不可抗力之后及时书面通知另一方并详细描述不可抗力的发生情况和可能导致的后果，包括该不可抗力发生的时间和预计停止的时间，以及对该方履行在本协议项下义务的影响，是否存在因不可抗力导致合同目的不能实现的情形，并在另一方合理要求时提供证明。</w:t>
      </w:r>
    </w:p>
    <w:p>
      <w:pPr>
        <w:tabs>
          <w:tab w:val="left" w:pos="7980"/>
        </w:tabs>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12.2.因不可抗力事件导致乙方停工的费用损失（误工损失、停工期间现场管理费、人力资源成本、材料损失费等）由乙方自行承担。</w:t>
      </w:r>
    </w:p>
    <w:p>
      <w:pPr>
        <w:tabs>
          <w:tab w:val="left" w:pos="7980"/>
        </w:tabs>
        <w:spacing w:line="360" w:lineRule="auto"/>
        <w:ind w:firstLine="440" w:firstLineChars="200"/>
        <w:jc w:val="left"/>
        <w:rPr>
          <w:rFonts w:hint="eastAsia" w:ascii="宋体" w:hAnsi="宋体" w:eastAsia="宋体" w:cs="宋体"/>
          <w:b w:val="0"/>
          <w:color w:val="auto"/>
          <w:kern w:val="0"/>
          <w:sz w:val="22"/>
          <w:szCs w:val="22"/>
          <w:highlight w:val="none"/>
        </w:rPr>
      </w:pPr>
      <w:r>
        <w:rPr>
          <w:rFonts w:hint="eastAsia" w:ascii="宋体" w:hAnsi="宋体" w:eastAsia="宋体" w:cs="宋体"/>
          <w:color w:val="auto"/>
          <w:kern w:val="0"/>
          <w:sz w:val="22"/>
          <w:szCs w:val="22"/>
          <w:highlight w:val="none"/>
        </w:rPr>
        <w:t>12.3.因不可抗力导致乙方需要延期提供服务的，经甲方书面认可可相应顺延相应期限。但乙方不得</w:t>
      </w:r>
      <w:r>
        <w:rPr>
          <w:rFonts w:hint="eastAsia" w:ascii="宋体" w:hAnsi="宋体" w:eastAsia="宋体" w:cs="宋体"/>
          <w:b w:val="0"/>
          <w:color w:val="auto"/>
          <w:kern w:val="0"/>
          <w:sz w:val="22"/>
          <w:szCs w:val="22"/>
          <w:highlight w:val="none"/>
        </w:rPr>
        <w:t>向甲方</w:t>
      </w:r>
      <w:r>
        <w:rPr>
          <w:rFonts w:hint="eastAsia" w:ascii="宋体" w:hAnsi="宋体" w:eastAsia="宋体" w:cs="宋体"/>
          <w:color w:val="auto"/>
          <w:kern w:val="0"/>
          <w:sz w:val="22"/>
          <w:szCs w:val="22"/>
          <w:highlight w:val="none"/>
        </w:rPr>
        <w:t>主张</w:t>
      </w:r>
      <w:r>
        <w:rPr>
          <w:rFonts w:hint="eastAsia" w:ascii="宋体" w:hAnsi="宋体" w:eastAsia="宋体" w:cs="宋体"/>
          <w:b w:val="0"/>
          <w:color w:val="auto"/>
          <w:kern w:val="0"/>
          <w:sz w:val="22"/>
          <w:szCs w:val="22"/>
          <w:highlight w:val="none"/>
        </w:rPr>
        <w:t>或向人民法院请求</w:t>
      </w:r>
      <w:r>
        <w:rPr>
          <w:rFonts w:hint="eastAsia" w:ascii="宋体" w:hAnsi="宋体" w:eastAsia="宋体" w:cs="宋体"/>
          <w:color w:val="auto"/>
          <w:kern w:val="0"/>
          <w:sz w:val="22"/>
          <w:szCs w:val="22"/>
          <w:highlight w:val="none"/>
        </w:rPr>
        <w:t>免于履行本合同项下所约定的合同义务，并不得主张解除合同。</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12.4 因不可抗力</w:t>
      </w:r>
      <w:r>
        <w:rPr>
          <w:rFonts w:hint="eastAsia" w:ascii="宋体" w:hAnsi="宋体" w:eastAsia="宋体" w:cs="宋体"/>
          <w:color w:val="auto"/>
          <w:sz w:val="22"/>
          <w:szCs w:val="22"/>
          <w:highlight w:val="none"/>
        </w:rPr>
        <w:t>导致本合同目的不能实现或无履行的必要时，甲方有权选择解除合同。</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十三、争议解决</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甲乙双方在合作期内，如发生分歧、争议或其他纠纷，应首先通过友好协商解决。如双方的分歧纠纷经过协商不能达成一致时，可向甲方所在地有管辖权的人民法院提起诉讼。</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十四、合同生效及其他</w:t>
      </w:r>
    </w:p>
    <w:p>
      <w:pPr>
        <w:pStyle w:val="2"/>
        <w:ind w:left="0"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14.1 本合同自双方签字盖章之日起生效。</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14.2本合同一式[柒]份，甲方执[叁]份，乙方执[叁]份，招标代理执[壹]份，具有同等法律效力。</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本合同附件构成本合同的组成部分，与本合同具有同等法律效力。</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 关于合同调整的触发机制：</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14.3.1 客服业务量大幅增长情形。合同期内如因甲方未来业务发展导致话务量大幅激增，客服月话务量（语音通话量及在线客服量总和，其中在线客服按1客户1接入量统计）达30000通及以上，并连续3个月以上，且乙方与甲方共同确认趋势为持续上升的，经科学研判并充分考虑客服话务员的工作饱和度后，甲乙双方可协商签订补充协议，增加项目金额配置更多客服人手或由乙方采取智能化手段保证合同约定运营指标。</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14.3.2 客服业务量大幅减少情形。合同期内如因甲方未来业务萎缩导致话务量大幅减少，甲方可向乙方提出降低原客服人员配置，经甲乙双方协商签订补充协议，在保证合同约定运营指标的情况下降低项目合同金额。</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14.3.3 甲方由于客服业务量大幅变化或考核标准发生变化时，甲乙双方可协商对《东莞交投集团客服呼叫中心运营服务外包项目月度考核评分表》进行调整修订。</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14.3.4 如果本合同的任何条款在任何时候变成不合法、无效或不可强制执行而不从根本上影响本合同的效力时，本合同的其他条款不受影响。</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14.3.5 本合同各条标题仅为提示之用，应以条文内容确定各方的权利义务。</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14.3.6 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14.3.7 本合同的任何内容不应被视为或解释为双方之间具有合资、合伙、代理关系。</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14.3.8 本合同替代此前双方所有关于本合同事项的口头或书面的纪要、备忘录、合同和协议。</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14.3.9 甲乙双方因履行本合同或与本合同有关的一切通知都必须按照本合同中的地址，以书面信函或者传真或者电子邮件方式进行。</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14.3.10 除本合同另有约定外，有关下述任一事项的通知，均应当采用书面信函形式作出，否则，该通知无效，不产生本合同项下的任何通知效力：</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14.3.10.1</w:t>
      </w:r>
      <w:r>
        <w:rPr>
          <w:rFonts w:hint="eastAsia" w:ascii="宋体" w:hAnsi="宋体" w:eastAsia="宋体" w:cs="宋体"/>
          <w:color w:val="auto"/>
          <w:sz w:val="22"/>
          <w:szCs w:val="22"/>
          <w:highlight w:val="none"/>
        </w:rPr>
        <w:t>与本合同费用及支付事宜有关的通知；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14.3.10.2</w:t>
      </w:r>
      <w:r>
        <w:rPr>
          <w:rFonts w:hint="eastAsia" w:ascii="宋体" w:hAnsi="宋体" w:eastAsia="宋体" w:cs="宋体"/>
          <w:color w:val="auto"/>
          <w:sz w:val="22"/>
          <w:szCs w:val="22"/>
          <w:highlight w:val="none"/>
        </w:rPr>
        <w:t>与本合同违约事宜有关的通知；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14.3.10.3</w:t>
      </w:r>
      <w:r>
        <w:rPr>
          <w:rFonts w:hint="eastAsia" w:ascii="宋体" w:hAnsi="宋体" w:eastAsia="宋体" w:cs="宋体"/>
          <w:color w:val="auto"/>
          <w:sz w:val="22"/>
          <w:szCs w:val="22"/>
          <w:highlight w:val="none"/>
        </w:rPr>
        <w:t>与本合同终止、解除或变更事宜有关的通知；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14.3.10.4</w:t>
      </w:r>
      <w:r>
        <w:rPr>
          <w:rFonts w:hint="eastAsia" w:ascii="宋体" w:hAnsi="宋体" w:eastAsia="宋体" w:cs="宋体"/>
          <w:color w:val="auto"/>
          <w:sz w:val="22"/>
          <w:szCs w:val="22"/>
          <w:highlight w:val="none"/>
        </w:rPr>
        <w:t>与本合同延续/续展有关的通知；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14.3.11 本合同约定的各种通知方式的送达标准如下：</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14.3.11.1</w:t>
      </w:r>
      <w:r>
        <w:rPr>
          <w:rFonts w:hint="eastAsia" w:ascii="宋体" w:hAnsi="宋体" w:eastAsia="宋体" w:cs="宋体"/>
          <w:color w:val="auto"/>
          <w:sz w:val="22"/>
          <w:szCs w:val="22"/>
          <w:highlight w:val="none"/>
        </w:rPr>
        <w:t>如采用书面信函形式，应当使用挂号信或者具有良好信誉的特快专递送达，接受方签收挂号信或特快专递的时间（以邮局或快递公司系统记录为准）为通知送达时间；</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14.3.11.2</w:t>
      </w:r>
      <w:r>
        <w:rPr>
          <w:rFonts w:hint="eastAsia" w:ascii="宋体" w:hAnsi="宋体" w:eastAsia="宋体" w:cs="宋体"/>
          <w:color w:val="auto"/>
          <w:sz w:val="22"/>
          <w:szCs w:val="22"/>
          <w:highlight w:val="none"/>
        </w:rPr>
        <w:t>如采用传真方式，传真到达接受方指定传真系统的时间为通知送达时间；</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14.3.11.3</w:t>
      </w:r>
      <w:r>
        <w:rPr>
          <w:rFonts w:hint="eastAsia" w:ascii="宋体" w:hAnsi="宋体" w:eastAsia="宋体" w:cs="宋体"/>
          <w:color w:val="auto"/>
          <w:sz w:val="22"/>
          <w:szCs w:val="22"/>
          <w:highlight w:val="none"/>
        </w:rPr>
        <w:t>如采用电子邮件方式，电子邮件到达接受方指定电子邮箱的时间为通知送达时间。</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14.3.11.4</w:t>
      </w:r>
      <w:r>
        <w:rPr>
          <w:rFonts w:hint="eastAsia" w:ascii="宋体" w:hAnsi="宋体" w:eastAsia="宋体" w:cs="宋体"/>
          <w:color w:val="auto"/>
          <w:sz w:val="22"/>
          <w:szCs w:val="22"/>
          <w:highlight w:val="none"/>
        </w:rPr>
        <w:t>如果因接受方原因（包括但不限于接受方拒收书面信函、接受方传真机关闭或故障、接受方电子邮箱地址不存在或者邮箱已满或者设置拒收等）导致通知发送失败，视为通知已经送达（发送方侧载明的书面信函寄出时间或者传真发送时间或者电子邮件发送时间视为通知送达时间）。</w:t>
      </w: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widowControl/>
        <w:spacing w:line="560" w:lineRule="exact"/>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（签字页）</w:t>
      </w: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tbl>
      <w:tblPr>
        <w:tblStyle w:val="5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61"/>
        <w:gridCol w:w="3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甲方（盖公章）： 东莞市交通投资集团有限公司 </w:t>
            </w:r>
          </w:p>
        </w:tc>
        <w:tc>
          <w:tcPr>
            <w:tcW w:w="0" w:type="auto"/>
            <w:vAlign w:val="center"/>
          </w:tcPr>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乙方（盖公章）：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法定代表人（签字）： 　　 </w:t>
            </w:r>
          </w:p>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或其授权的代理人（签字）：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法定代表人（签字）： 　　 </w:t>
            </w:r>
          </w:p>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或其授权的代理人（签字）：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单位地址：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单位地址：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邮箱：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邮箱：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帐号：                </w:t>
            </w:r>
          </w:p>
        </w:tc>
        <w:tc>
          <w:tcPr>
            <w:tcW w:w="0" w:type="auto"/>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帐号：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0" w:type="auto"/>
            <w:gridSpan w:val="2"/>
            <w:vAlign w:val="center"/>
          </w:tcPr>
          <w:p>
            <w:pPr>
              <w:spacing w:line="5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签约时间地点：     年   月   日于东莞</w:t>
            </w:r>
          </w:p>
        </w:tc>
      </w:tr>
    </w:tbl>
    <w:p>
      <w:pPr>
        <w:spacing w:line="560" w:lineRule="exact"/>
        <w:ind w:firstLine="640" w:firstLineChars="200"/>
        <w:rPr>
          <w:rFonts w:eastAsia="仿宋_GB2312"/>
          <w:color w:val="auto"/>
          <w:sz w:val="32"/>
          <w:szCs w:val="32"/>
          <w:highlight w:val="none"/>
        </w:rPr>
      </w:pPr>
    </w:p>
    <w:p>
      <w:pPr>
        <w:spacing w:line="560" w:lineRule="exact"/>
        <w:rPr>
          <w:rFonts w:eastAsia="仿宋_GB2312"/>
          <w:color w:val="auto"/>
          <w:sz w:val="32"/>
          <w:szCs w:val="32"/>
          <w:highlight w:val="none"/>
        </w:rPr>
      </w:pPr>
    </w:p>
    <w:p>
      <w:pPr>
        <w:pStyle w:val="2"/>
        <w:spacing w:line="560" w:lineRule="exact"/>
        <w:ind w:firstLine="640"/>
        <w:rPr>
          <w:rFonts w:ascii="Times New Roman" w:hAnsi="Times New Roman" w:eastAsia="仿宋_GB2312"/>
          <w:color w:val="auto"/>
          <w:sz w:val="32"/>
          <w:szCs w:val="3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附件1               </w:t>
      </w:r>
    </w:p>
    <w:tbl>
      <w:tblPr>
        <w:tblStyle w:val="50"/>
        <w:tblW w:w="9870" w:type="dxa"/>
        <w:jc w:val="center"/>
        <w:tblLayout w:type="fixed"/>
        <w:tblCellMar>
          <w:top w:w="0" w:type="dxa"/>
          <w:left w:w="0" w:type="dxa"/>
          <w:bottom w:w="0" w:type="dxa"/>
          <w:right w:w="0" w:type="dxa"/>
        </w:tblCellMar>
      </w:tblPr>
      <w:tblGrid>
        <w:gridCol w:w="525"/>
        <w:gridCol w:w="1365"/>
        <w:gridCol w:w="4695"/>
        <w:gridCol w:w="3285"/>
      </w:tblGrid>
      <w:tr>
        <w:tblPrEx>
          <w:tblCellMar>
            <w:top w:w="0" w:type="dxa"/>
            <w:left w:w="0" w:type="dxa"/>
            <w:bottom w:w="0" w:type="dxa"/>
            <w:right w:w="0" w:type="dxa"/>
          </w:tblCellMar>
        </w:tblPrEx>
        <w:trPr>
          <w:trHeight w:val="474" w:hRule="atLeast"/>
          <w:jc w:val="center"/>
        </w:trPr>
        <w:tc>
          <w:tcPr>
            <w:tcW w:w="987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东莞交投集团客服呼叫中心岗位职责及任职要求表</w:t>
            </w:r>
          </w:p>
        </w:tc>
      </w:tr>
      <w:tr>
        <w:tblPrEx>
          <w:tblCellMar>
            <w:top w:w="0" w:type="dxa"/>
            <w:left w:w="0" w:type="dxa"/>
            <w:bottom w:w="0" w:type="dxa"/>
            <w:right w:w="0" w:type="dxa"/>
          </w:tblCellMar>
        </w:tblPrEx>
        <w:trPr>
          <w:trHeight w:val="369"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岗位名称</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岗位职责</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任职要求</w:t>
            </w:r>
          </w:p>
        </w:tc>
      </w:tr>
      <w:tr>
        <w:tblPrEx>
          <w:tblCellMar>
            <w:top w:w="0" w:type="dxa"/>
            <w:left w:w="0" w:type="dxa"/>
            <w:bottom w:w="0" w:type="dxa"/>
            <w:right w:w="0" w:type="dxa"/>
          </w:tblCellMar>
        </w:tblPrEx>
        <w:trPr>
          <w:trHeight w:val="19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客服主任</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1.负责与交投集团确定项目运营方向；</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2.统筹项目运营事宜，确保项目相关指标、质量达标；</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3.负责对接、调研交投新增的业务板块内容，制订割接计划；</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4.负责总体人员绩效管理和考核；</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5.集团统一客服平台咨询服务项目费用管控相关工作，</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6.提供整理运营管理咨询服务，优化整体项目运营</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7.协助交投集团对项目的各项指标进行考核；</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8.配合交投集团做好其他临时任务。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1.具备5年以上同类项目管理经验；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2.本科及以上学历（或学位）；</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3.具较强的文字撰写能力。</w:t>
            </w:r>
          </w:p>
        </w:tc>
      </w:tr>
      <w:tr>
        <w:tblPrEx>
          <w:tblCellMar>
            <w:top w:w="0" w:type="dxa"/>
            <w:left w:w="0" w:type="dxa"/>
            <w:bottom w:w="0" w:type="dxa"/>
            <w:right w:w="0" w:type="dxa"/>
          </w:tblCellMar>
        </w:tblPrEx>
        <w:trPr>
          <w:trHeight w:val="224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现场主管</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1.根据客服主任要求落实工作安排，对业务流程进行梳理；</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2.对运营关键指标进行管控；</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3.按话务预测制定排班；</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4.现场人员整体调度；</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5.突发应急事件处理；</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6.负责数据统计、分析，按交投集团要求做好日常周报、月报、季报及年报等；</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7.确保客服现场有序运作；</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8.配合交投集团做好其他临时任务。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1.具备3年以上同类项目主管经验；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2.大专及以上学历（或学位）；</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3.具较强的文字撰写能力。</w:t>
            </w:r>
          </w:p>
        </w:tc>
      </w:tr>
      <w:tr>
        <w:tblPrEx>
          <w:tblCellMar>
            <w:top w:w="0" w:type="dxa"/>
            <w:left w:w="0" w:type="dxa"/>
            <w:bottom w:w="0" w:type="dxa"/>
            <w:right w:w="0" w:type="dxa"/>
          </w:tblCellMar>
        </w:tblPrEx>
        <w:trPr>
          <w:trHeight w:val="217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知识库采编兼</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质检员</w:t>
            </w:r>
          </w:p>
        </w:tc>
        <w:tc>
          <w:tcPr>
            <w:tcW w:w="4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1.负责与下属各企业专职人员对接，及时了解知识库更新内容；</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2.及时更新系统知识库；</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3.将更新后的内容及时列入班前会议程；</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4.现场监听客服话务员工作用语以及服务态度；</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5.每月抽检录音，对客服话务员的用作用语以及服务态度进行检查；</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6.及时将质检结果进行通报，并进行相应辅导。</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1.具备2年以上同类项目支撑经验；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2.大专及以上学历（或学位）。</w:t>
            </w:r>
          </w:p>
        </w:tc>
      </w:tr>
      <w:tr>
        <w:tblPrEx>
          <w:tblCellMar>
            <w:top w:w="0" w:type="dxa"/>
            <w:left w:w="0" w:type="dxa"/>
            <w:bottom w:w="0" w:type="dxa"/>
            <w:right w:w="0" w:type="dxa"/>
          </w:tblCellMar>
        </w:tblPrEx>
        <w:trPr>
          <w:trHeight w:val="3030" w:hRule="atLeast"/>
          <w:jc w:val="center"/>
        </w:trPr>
        <w:tc>
          <w:tcPr>
            <w:tcW w:w="5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客服班长</w:t>
            </w:r>
          </w:p>
        </w:tc>
        <w:tc>
          <w:tcPr>
            <w:tcW w:w="469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1.协助制订现场业务管理规范流程；</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2.对班组人员进行现场管控，保障接通率，及时将质检结果进行通报，并进行相应辅导，提升客服人员工作效率；</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3.负责班组人员考勤情况，制订考勤记录表；</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4.对突发事件进行升级，及时上报并主动协助有关企业进行处理；</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5.对班组人员（包括新增人员）进行业务培训（包括业务知识更新后的培训）</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6.召开班前会，将知识库更新内容落到实处。</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7.负责做好后勤保障相关事项，包括但不限于协助班组人员申请就餐卡、门禁卡，采购办公用品及其他日常事务；</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8.配合交投集团做好其他临时任务。</w:t>
            </w:r>
          </w:p>
        </w:tc>
        <w:tc>
          <w:tcPr>
            <w:tcW w:w="32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1.具备2年以上同类项目班长经验；</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2.大专及以上学历（或学位）；</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3.具较强的责任心和凝聚力。</w:t>
            </w:r>
          </w:p>
        </w:tc>
      </w:tr>
      <w:tr>
        <w:tblPrEx>
          <w:tblCellMar>
            <w:top w:w="0" w:type="dxa"/>
            <w:left w:w="0" w:type="dxa"/>
            <w:bottom w:w="0" w:type="dxa"/>
            <w:right w:w="0" w:type="dxa"/>
          </w:tblCellMar>
        </w:tblPrEx>
        <w:trPr>
          <w:trHeight w:val="2230" w:hRule="atLeast"/>
          <w:jc w:val="center"/>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话务员</w:t>
            </w:r>
          </w:p>
        </w:tc>
        <w:tc>
          <w:tcPr>
            <w:tcW w:w="4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1.负责接听群众来电，解答各类咨询问题；</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2.记录投诉问题，并及时派发工单；</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3.处理东莞阳光网、政府热线工单以及东莞通APP、官方微信公众号等渠道接入的投诉、咨询等问题，及时按要求做好统计表；</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4.对各事项进行分类归档。</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5.按业务职能范围下发工单；</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6.对工单进行督办；</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7.在规定的时间内回访市民。</w:t>
            </w:r>
          </w:p>
        </w:tc>
        <w:tc>
          <w:tcPr>
            <w:tcW w:w="32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1.18-35岁;</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2.粤语、普通话标准，声音悦耳、富有感染力、亲和力优先;</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3.良好的表达及沟通能力，掌握基本办公软件操作，打字速度50字/分钟以上;</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4.能接受夜班以及轮班安排;</w:t>
            </w:r>
            <w:r>
              <w:rPr>
                <w:rFonts w:hint="eastAsia" w:ascii="宋体" w:hAnsi="宋体" w:eastAsia="宋体" w:cs="宋体"/>
                <w:color w:val="auto"/>
                <w:kern w:val="0"/>
                <w:sz w:val="22"/>
                <w:szCs w:val="22"/>
                <w:highlight w:val="none"/>
                <w:lang w:bidi="ar"/>
              </w:rPr>
              <w:br w:type="textWrapping"/>
            </w:r>
            <w:r>
              <w:rPr>
                <w:rFonts w:hint="eastAsia" w:ascii="宋体" w:hAnsi="宋体" w:eastAsia="宋体" w:cs="宋体"/>
                <w:color w:val="auto"/>
                <w:kern w:val="0"/>
                <w:sz w:val="22"/>
                <w:szCs w:val="22"/>
                <w:highlight w:val="none"/>
                <w:lang w:bidi="ar"/>
              </w:rPr>
              <w:t>5.专业不限，大专及以上学历、有呼叫中心客服 经验优先。</w:t>
            </w:r>
          </w:p>
        </w:tc>
      </w:tr>
    </w:tbl>
    <w:p>
      <w:pPr>
        <w:keepNext w:val="0"/>
        <w:keepLines w:val="0"/>
        <w:pageBreakBefore w:val="0"/>
        <w:kinsoku/>
        <w:wordWrap/>
        <w:overflowPunct/>
        <w:topLinePunct w:val="0"/>
        <w:autoSpaceDE/>
        <w:autoSpaceDN/>
        <w:bidi w:val="0"/>
        <w:adjustRightInd/>
        <w:snapToGrid w:val="0"/>
        <w:spacing w:line="360" w:lineRule="exact"/>
        <w:jc w:val="left"/>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keepNext w:val="0"/>
        <w:keepLines w:val="0"/>
        <w:pageBreakBefore w:val="0"/>
        <w:kinsoku/>
        <w:wordWrap/>
        <w:overflowPunct/>
        <w:topLinePunct w:val="0"/>
        <w:autoSpaceDE/>
        <w:autoSpaceDN/>
        <w:bidi w:val="0"/>
        <w:adjustRightInd/>
        <w:snapToGrid w:val="0"/>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附件2</w:t>
      </w:r>
    </w:p>
    <w:p>
      <w:pPr>
        <w:keepNext w:val="0"/>
        <w:keepLines w:val="0"/>
        <w:pageBreakBefore w:val="0"/>
        <w:kinsoku/>
        <w:wordWrap/>
        <w:overflowPunct/>
        <w:topLinePunct w:val="0"/>
        <w:autoSpaceDE/>
        <w:autoSpaceDN/>
        <w:bidi w:val="0"/>
        <w:adjustRightInd/>
        <w:snapToGrid w:val="0"/>
        <w:spacing w:line="360" w:lineRule="exact"/>
        <w:ind w:firstLine="1100" w:firstLineChars="5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东莞交投集团客服呼叫中心运营服务外包项目月度考核评分表</w:t>
      </w:r>
    </w:p>
    <w:tbl>
      <w:tblPr>
        <w:tblStyle w:val="50"/>
        <w:tblpPr w:leftFromText="180" w:rightFromText="180" w:vertAnchor="text" w:horzAnchor="page" w:tblpX="702" w:tblpY="133"/>
        <w:tblOverlap w:val="never"/>
        <w:tblW w:w="10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0"/>
        <w:gridCol w:w="1959"/>
        <w:gridCol w:w="2835"/>
        <w:gridCol w:w="1134"/>
        <w:gridCol w:w="851"/>
        <w:gridCol w:w="31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服务分类</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服务项目</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目标值</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分值</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计分办法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话务指标</w:t>
            </w:r>
          </w:p>
        </w:tc>
        <w:tc>
          <w:tcPr>
            <w:tcW w:w="195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接通指标（二选一）</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人工接通率(%)=人工接通量/人工呼入请求量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≥95%</w:t>
            </w:r>
          </w:p>
        </w:tc>
        <w:tc>
          <w:tcPr>
            <w:tcW w:w="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319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当月指标二选一：低于目标值起扣分，实际值每低1%扣减1分，扣完本项分数为止。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人工接通量=人工呼入请求量-未接通话务量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≥16000</w:t>
            </w:r>
          </w:p>
        </w:tc>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319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5"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多媒体服务接通率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多媒体服务接通率(%)=访客应答量/多媒体访客请求量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≥90%</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平均通话时长</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话务员处理一通电话所需要的平均时长</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≤180秒</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按月度平均值进行考核，高于目标值起扣分，实际值每高10秒扣减1分，扣完本项分数为止。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客户不满意率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客户不满意率（%）=话后选择对服务不满意/客户评价数</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及时回复指标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包括但不限于上级话务、工单等处理的及时率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及时率（%）=按时处理归档工单量/总工单量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处理准确指标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包括但不限于话务、工单处理准确率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准确率（%）=（总量-不合格工单（话务）量）/总工单（话务）量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≥96%</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质量指标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解答问题准确率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准确率（%）=质检解答问题准确数量/质检月数量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工单质检率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月质检率（%）=质检员对工单的质检数量/当月总工单量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人员指标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人员稳定性</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按合同要求提供人员支撑，根据甲方业务量变化安排人员，且每月离职人员不能多于2人</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≤2人</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高于目标值起扣分，实际值每高1人扣减2.5分，扣完本项分数为止。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其他指标</w:t>
            </w: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知识库维护及时率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业务部门提供最新知识库知识点更新申请后，采编员在系统上更新效率情况</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≤1个工作日</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高于目标值起扣分，实际值每高1个工作日扣减1分，扣完本项分数为止。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市民对客服服务投诉量</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市民通过热线、12345、阳光网、信访等渠道的有效投诉数量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不高于1宗</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高于目标值起扣分，实际值每高1宗扣减2.5分，扣完本项分数为止。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故障响应及时率</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故障响应及时率=承诺响应时间/实际响应时间*100%。承诺响应时间：10分钟</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≥95%</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 w:hRule="atLeast"/>
        </w:trPr>
        <w:tc>
          <w:tcPr>
            <w:tcW w:w="95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p>
        </w:tc>
        <w:tc>
          <w:tcPr>
            <w:tcW w:w="19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场地安全巡查平均分</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对工作场地安全进行检查，包括但不限于用电安全、用水安全以及其他设施的安全使用等。</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≥90分</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低于目标值起扣分，实际值每低1%扣减1分，扣完本项分数为止。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trPr>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合计</w:t>
            </w:r>
          </w:p>
        </w:tc>
        <w:tc>
          <w:tcPr>
            <w:tcW w:w="5928"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w:t>
            </w:r>
          </w:p>
        </w:tc>
        <w:tc>
          <w:tcPr>
            <w:tcW w:w="31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要求达90分</w:t>
            </w:r>
            <w:r>
              <w:rPr>
                <w:rFonts w:hint="eastAsia" w:ascii="宋体" w:hAnsi="宋体" w:eastAsia="宋体" w:cs="宋体"/>
                <w:color w:val="auto"/>
                <w:sz w:val="22"/>
                <w:szCs w:val="22"/>
                <w:highlight w:val="none"/>
                <w:lang w:val="en-US" w:eastAsia="zh-CN"/>
              </w:rPr>
              <w:t>及</w:t>
            </w:r>
            <w:r>
              <w:rPr>
                <w:rFonts w:hint="eastAsia" w:ascii="宋体" w:hAnsi="宋体" w:eastAsia="宋体" w:cs="宋体"/>
                <w:color w:val="auto"/>
                <w:sz w:val="22"/>
                <w:szCs w:val="22"/>
                <w:highlight w:val="none"/>
              </w:rPr>
              <w:t>以上</w:t>
            </w:r>
          </w:p>
        </w:tc>
      </w:tr>
    </w:tbl>
    <w:p>
      <w:pPr>
        <w:pStyle w:val="2"/>
        <w:keepNext w:val="0"/>
        <w:keepLines w:val="0"/>
        <w:pageBreakBefore w:val="0"/>
        <w:kinsoku/>
        <w:wordWrap/>
        <w:overflowPunct/>
        <w:topLinePunct w:val="0"/>
        <w:autoSpaceDE/>
        <w:autoSpaceDN/>
        <w:bidi w:val="0"/>
        <w:adjustRightInd/>
        <w:spacing w:line="360" w:lineRule="exact"/>
        <w:ind w:firstLine="64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pStyle w:val="2"/>
        <w:keepNext w:val="0"/>
        <w:keepLines w:val="0"/>
        <w:pageBreakBefore w:val="0"/>
        <w:kinsoku/>
        <w:wordWrap/>
        <w:overflowPunct/>
        <w:topLinePunct w:val="0"/>
        <w:autoSpaceDE/>
        <w:autoSpaceDN/>
        <w:bidi w:val="0"/>
        <w:adjustRightInd/>
        <w:spacing w:line="360" w:lineRule="exact"/>
        <w:ind w:firstLine="2200" w:firstLineChars="100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firstLine="2200" w:firstLineChars="100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firstLine="2200" w:firstLineChars="100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firstLine="2200" w:firstLineChars="100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firstLine="2200" w:firstLineChars="100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附件3</w:t>
      </w:r>
    </w:p>
    <w:p>
      <w:pPr>
        <w:pStyle w:val="2"/>
        <w:keepNext w:val="0"/>
        <w:keepLines w:val="0"/>
        <w:pageBreakBefore w:val="0"/>
        <w:kinsoku/>
        <w:wordWrap/>
        <w:overflowPunct/>
        <w:topLinePunct w:val="0"/>
        <w:autoSpaceDE/>
        <w:autoSpaceDN/>
        <w:bidi w:val="0"/>
        <w:adjustRightInd/>
        <w:spacing w:line="360" w:lineRule="exact"/>
        <w:ind w:firstLine="2200" w:firstLineChars="1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项目委托书</w:t>
      </w: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委托单位：</w:t>
      </w: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被委托单位：东莞市交通投资集团有限公司</w:t>
      </w: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为做好项目招标及项目费用支付工作，我司委托东莞市交通投资集团有限公司以公开招标的方式招1家符合条件、有经验的公司负责我司为期3年的客服业务运营，并授权东莞市交通投资集团有限公司完成合同签订等相关工作。我司产生的费用根据集团公司总办会确定的分摊原则进行摊分，由我司按合同直接向乙方支付。</w:t>
      </w: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特此委托。</w:t>
      </w: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委托单位：（盖章）</w:t>
      </w: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年   月   日</w:t>
      </w:r>
    </w:p>
    <w:p>
      <w:pPr>
        <w:pStyle w:val="2"/>
        <w:keepNext w:val="0"/>
        <w:keepLines w:val="0"/>
        <w:pageBreakBefore w:val="0"/>
        <w:kinsoku/>
        <w:wordWrap/>
        <w:overflowPunct/>
        <w:topLinePunct w:val="0"/>
        <w:autoSpaceDE/>
        <w:autoSpaceDN/>
        <w:bidi w:val="0"/>
        <w:adjustRightInd/>
        <w:spacing w:line="360" w:lineRule="exact"/>
        <w:ind w:left="0" w:leftChars="0" w:firstLine="640"/>
        <w:rPr>
          <w:rFonts w:hint="eastAsia" w:ascii="宋体" w:hAnsi="宋体" w:eastAsia="宋体" w:cs="宋体"/>
          <w:color w:val="auto"/>
          <w:sz w:val="22"/>
          <w:szCs w:val="22"/>
          <w:highlight w:val="none"/>
        </w:rPr>
      </w:pPr>
    </w:p>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附件4</w:t>
      </w:r>
    </w:p>
    <w:p>
      <w:pPr>
        <w:pStyle w:val="2"/>
        <w:keepNext w:val="0"/>
        <w:keepLines w:val="0"/>
        <w:pageBreakBefore w:val="0"/>
        <w:kinsoku/>
        <w:wordWrap/>
        <w:overflowPunct/>
        <w:topLinePunct w:val="0"/>
        <w:autoSpaceDE/>
        <w:autoSpaceDN/>
        <w:bidi w:val="0"/>
        <w:adjustRightInd/>
        <w:spacing w:line="3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东莞交投集团客服呼叫中心运营服务外包项目保密协议</w:t>
      </w:r>
    </w:p>
    <w:p>
      <w:pPr>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甲方： 东莞市交通投资集团有限公司   </w:t>
      </w:r>
    </w:p>
    <w:p>
      <w:pPr>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乙方：                              </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经甲、乙双方协商一致，乙方在完成合作项目期间，乙方人员就保守甲方的商业秘密保密事项达成如下协议：</w:t>
      </w:r>
    </w:p>
    <w:p>
      <w:pPr>
        <w:keepNext w:val="0"/>
        <w:keepLines w:val="0"/>
        <w:pageBreakBefore w:val="0"/>
        <w:numPr>
          <w:ilvl w:val="0"/>
          <w:numId w:val="57"/>
        </w:numPr>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乙方在与甲方交流与合作期间必须遵守《中华人民共和国保守国家秘密法》、《中华人民共和国反不正当竞争法》《中华人民共和国保守国家秘密法实施条例》等相关规定和甲方的保密要求。</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保密信息是指乙方从甲方及其关联公司获得的保密信息、资料，包括但不限于以下内容：业务数据、市场分析报表、用户行为分析数据、用户信息数据、工单记录、系统设计文档、程序代码、系统日志等。上述保密信息可以以数据、文字及记载上述内容的文档、光盘、软件、图书等有形介质体现，也可通过口头等视听方式传递。且不论在披露时是否以口头、图像或以书面方式表明其具有保密性。</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四、不得将保密信息用于项目以外的任何用途。除为执行项目目的外，不对保密信息进行复制。未经甲方同意，不得利用保密信息进行新的研究或开发。</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乙方必须对保密信息予以妥善保管，不得向本项目之外的任何第三方泄漏所掌握的这些保密信息。在保密期间如发生保密信息被盗、泄露，或者其他方式的泄露及/或毁损、灭失的，由乙方承担全部责任，并应当赔偿甲方及甲方关联方的一切损失。</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六、除执行项目相关的工作人员（雇员、股东、董事、顾问和/或咨询人员），不得向其他人披露保密信息，乙方同时须对上述人员作出相关保密要求，并对上述人员的保密行为进行有效的监督管理。</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七、项目终止后，乙方应及时将承载保密信息的介质原件及复制件全部返还甲方，最迟不得超过甲方发出交还通知之日起[三十]日。上述限制条款不适用于以下情况：</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（一）在依本合同披露之时，该保密信息已经公开或能从公开领域获得。</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（二）经甲方书面同意对外披露，但仅限于甲方书面同意的范围、方式且遵循书面同意中规定的其他前提条件。</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（三）乙方应法律、行政法规要求披露的信息（通过口头提问、询问、要求资料或文件、传唤、民事或刑事调查或其他程序披露保密信息）。</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乙方以第（三）条规定作出披露的，至少于实际作出披露行为前[五]个工作日通知甲方，说明其拟根据上述约定披露有关的保密信息，并就披露对象和披露范围、方式等作出说明，并在要求范围内进行合理披露。</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八、乙方未履行或未完全履行本合同项下的条款均构成违约，应赔偿因此而给甲方造成的一切损失（包括直接和间接损失），包括但不限于甲方因调查违约行为而支付的合理费用。并且乙方还应采取各种合理方法挽回泄密造成的影响，尽可能使秘密信息继续处于保密状态；同时，本协议继续有效。</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九、甲方在履行本合同的任何条款时，如有放松、放弃或迟延，均不构成对甲方在本合同下任何权利的不利影响或限制。如果甲方对某一违约行为免予追究，并不构成放弃追究乙方随后或持续违约行为的权利。</w:t>
      </w:r>
    </w:p>
    <w:p>
      <w:pPr>
        <w:keepNext w:val="0"/>
        <w:keepLines w:val="0"/>
        <w:pageBreakBefore w:val="0"/>
        <w:numPr>
          <w:ilvl w:val="255"/>
          <w:numId w:val="0"/>
        </w:numPr>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十、乙方未经甲方同意不得向第三方转让甲方招标的相关资料。不得随意向第三方披露双方合作的内容。</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一、乙方在代理招标过程中，对知悉的甲方技术和商业秘密，一定严格保密。对在代理招标过程中取得的相关资料不用于与本项目招标无关的事项，招标代理工作结束后形成的工作资料要及时交给甲方。乙方不得利用以上资料为公开报刊及其他媒体撰写稿件，完成代理工作后及时将保密资料删除。</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二、乙方未履行本协议或违反本协议的有关要求均应视为违约，应当承担违约责任。甲方可以视情要求乙方限期整改或停止与乙方的技术合作。整改期间，乙方不得承接任何工作。造成泄密后果的按《保密法》及其他有关规定处理。</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三、为更好地履行本协议的要求、双方约定，乙方违反协议，应向甲方支付违约金：第一次违反行为，乙方的违约金为《东莞交投集团客服呼叫中心运营服务外包项目合同》合同金额的20%；第二次违反行为，违约金则在第一次的基础上相应加倍，以此类推。上述违约金不足以弥补甲方损失的（包括直接和间接损失），甲方还有权要求乙方赔偿损失。</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十四、本协议作为《东莞交投集团客服呼叫中心运营服务外包项目合同》的附件，与《东莞交投集团客服呼叫中心运营服务外包项目合同》具有同等效力，经双方签署后立即生效。</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十五、本保密协议书自双方签字盖章之日起生效，乙方保密义务的期限为长期，直至该等信息经甲方书面确认不再构成商业秘密时为止。</w:t>
      </w: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十六、本协议受中华人民共和国的法律管辖。在本协议履行中所产生的争议，由双方通过协商解决；协商不成时，任何一方均应向甲方住所地有管辖权的人民法院起诉。</w:t>
      </w:r>
    </w:p>
    <w:p>
      <w:pPr>
        <w:pStyle w:val="2"/>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adjustRightInd/>
        <w:spacing w:line="360" w:lineRule="exact"/>
        <w:ind w:firstLine="440" w:firstLineChars="200"/>
        <w:jc w:val="left"/>
        <w:rPr>
          <w:rFonts w:hint="eastAsia" w:ascii="宋体" w:hAnsi="宋体" w:eastAsia="宋体" w:cs="宋体"/>
          <w:color w:val="auto"/>
          <w:sz w:val="22"/>
          <w:szCs w:val="22"/>
          <w:highlight w:val="none"/>
        </w:rPr>
      </w:pPr>
    </w:p>
    <w:tbl>
      <w:tblPr>
        <w:tblStyle w:val="5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8"/>
        <w:gridCol w:w="4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4258" w:type="dxa"/>
          </w:tcPr>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甲方单位（盖章）：东莞市交通投资集团有限公司 </w:t>
            </w:r>
          </w:p>
        </w:tc>
        <w:tc>
          <w:tcPr>
            <w:tcW w:w="4258" w:type="dxa"/>
          </w:tcPr>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4258" w:type="dxa"/>
          </w:tcPr>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（或受权代理人）签字：</w:t>
            </w:r>
          </w:p>
        </w:tc>
        <w:tc>
          <w:tcPr>
            <w:tcW w:w="4258" w:type="dxa"/>
          </w:tcPr>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（或受权代理人）签字：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jc w:val="center"/>
        </w:trPr>
        <w:tc>
          <w:tcPr>
            <w:tcW w:w="4258" w:type="dxa"/>
            <w:vAlign w:val="center"/>
          </w:tcPr>
          <w:p>
            <w:pPr>
              <w:keepNext w:val="0"/>
              <w:keepLines w:val="0"/>
              <w:pageBreakBefore w:val="0"/>
              <w:kinsoku/>
              <w:wordWrap/>
              <w:overflowPunct/>
              <w:topLinePunct w:val="0"/>
              <w:autoSpaceDE/>
              <w:autoSpaceDN/>
              <w:bidi w:val="0"/>
              <w:adjustRightInd/>
              <w:spacing w:line="36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tc>
        <w:tc>
          <w:tcPr>
            <w:tcW w:w="4258" w:type="dxa"/>
            <w:vAlign w:val="center"/>
          </w:tcPr>
          <w:p>
            <w:pPr>
              <w:keepNext w:val="0"/>
              <w:keepLines w:val="0"/>
              <w:pageBreakBefore w:val="0"/>
              <w:kinsoku/>
              <w:wordWrap/>
              <w:overflowPunct/>
              <w:topLinePunct w:val="0"/>
              <w:autoSpaceDE/>
              <w:autoSpaceDN/>
              <w:bidi w:val="0"/>
              <w:adjustRightInd/>
              <w:spacing w:line="36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tc>
      </w:tr>
    </w:tbl>
    <w:p>
      <w:pPr>
        <w:widowControl/>
        <w:jc w:val="left"/>
        <w:rPr>
          <w:rFonts w:ascii="宋体" w:hAnsi="宋体"/>
          <w:color w:val="auto"/>
          <w:sz w:val="22"/>
          <w:szCs w:val="22"/>
          <w:highlight w:val="none"/>
        </w:rPr>
      </w:pPr>
    </w:p>
    <w:p>
      <w:pPr>
        <w:widowControl/>
        <w:jc w:val="left"/>
        <w:rPr>
          <w:rFonts w:ascii="宋体" w:hAnsi="宋体"/>
          <w:color w:val="auto"/>
          <w:sz w:val="22"/>
          <w:szCs w:val="22"/>
          <w:highlight w:val="none"/>
        </w:rPr>
      </w:pPr>
    </w:p>
    <w:p>
      <w:pPr>
        <w:widowControl/>
        <w:jc w:val="left"/>
        <w:rPr>
          <w:rFonts w:ascii="宋体" w:hAnsi="宋体"/>
          <w:color w:val="auto"/>
          <w:sz w:val="22"/>
          <w:szCs w:val="22"/>
          <w:highlight w:val="none"/>
        </w:rPr>
      </w:pPr>
    </w:p>
    <w:p>
      <w:pPr>
        <w:spacing w:before="936" w:beforeLines="300" w:after="1872" w:afterLines="60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6"/>
          <w:szCs w:val="56"/>
          <w:highlight w:val="none"/>
        </w:rPr>
        <w:t>客服呼叫中心运营服务外包项目</w:t>
      </w:r>
    </w:p>
    <w:p>
      <w:pPr>
        <w:jc w:val="center"/>
        <w:rPr>
          <w:rFonts w:hint="eastAsia" w:ascii="宋体" w:hAnsi="宋体" w:eastAsia="宋体" w:cs="宋体"/>
          <w:b/>
          <w:color w:val="auto"/>
          <w:kern w:val="0"/>
          <w:sz w:val="96"/>
          <w:szCs w:val="44"/>
          <w:highlight w:val="none"/>
        </w:rPr>
      </w:pPr>
      <w:r>
        <w:rPr>
          <w:rFonts w:hint="eastAsia" w:ascii="宋体" w:hAnsi="宋体" w:eastAsia="宋体" w:cs="宋体"/>
          <w:b/>
          <w:color w:val="auto"/>
          <w:kern w:val="0"/>
          <w:sz w:val="96"/>
          <w:szCs w:val="44"/>
          <w:highlight w:val="none"/>
        </w:rPr>
        <w:t>合同文件</w:t>
      </w:r>
    </w:p>
    <w:p>
      <w:pPr>
        <w:ind w:firstLine="1619" w:firstLineChars="506"/>
        <w:rPr>
          <w:rFonts w:hint="eastAsia" w:ascii="宋体" w:hAnsi="宋体" w:eastAsia="宋体" w:cs="宋体"/>
          <w:color w:val="auto"/>
          <w:sz w:val="32"/>
          <w:szCs w:val="32"/>
          <w:highlight w:val="none"/>
        </w:rPr>
      </w:pPr>
    </w:p>
    <w:p>
      <w:pPr>
        <w:ind w:firstLine="1619" w:firstLineChars="506"/>
        <w:rPr>
          <w:rFonts w:hint="eastAsia" w:ascii="宋体" w:hAnsi="宋体" w:eastAsia="宋体" w:cs="宋体"/>
          <w:color w:val="auto"/>
          <w:sz w:val="32"/>
          <w:szCs w:val="32"/>
          <w:highlight w:val="none"/>
        </w:rPr>
      </w:pPr>
    </w:p>
    <w:p>
      <w:pPr>
        <w:pStyle w:val="2"/>
        <w:ind w:firstLine="640"/>
        <w:rPr>
          <w:rFonts w:hint="eastAsia" w:ascii="宋体" w:hAnsi="宋体" w:eastAsia="宋体" w:cs="宋体"/>
          <w:color w:val="auto"/>
          <w:sz w:val="32"/>
          <w:szCs w:val="32"/>
          <w:highlight w:val="none"/>
        </w:rPr>
      </w:pPr>
    </w:p>
    <w:p>
      <w:pPr>
        <w:pStyle w:val="2"/>
        <w:ind w:firstLine="640"/>
        <w:rPr>
          <w:rFonts w:hint="eastAsia" w:ascii="宋体" w:hAnsi="宋体" w:eastAsia="宋体" w:cs="宋体"/>
          <w:color w:val="auto"/>
          <w:sz w:val="32"/>
          <w:szCs w:val="32"/>
          <w:highlight w:val="none"/>
        </w:rPr>
      </w:pPr>
    </w:p>
    <w:p>
      <w:pPr>
        <w:ind w:firstLine="1619" w:firstLineChars="506"/>
        <w:rPr>
          <w:rFonts w:hint="eastAsia" w:ascii="宋体" w:hAnsi="宋体" w:eastAsia="宋体" w:cs="宋体"/>
          <w:color w:val="auto"/>
          <w:sz w:val="32"/>
          <w:szCs w:val="32"/>
          <w:highlight w:val="none"/>
        </w:rPr>
      </w:pPr>
    </w:p>
    <w:p>
      <w:pPr>
        <w:ind w:firstLine="643" w:firstLineChars="200"/>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甲方（委托方）：</w:t>
      </w:r>
      <w:r>
        <w:rPr>
          <w:rFonts w:hint="eastAsia" w:ascii="宋体" w:hAnsi="宋体" w:eastAsia="宋体" w:cs="宋体"/>
          <w:b/>
          <w:color w:val="auto"/>
          <w:sz w:val="32"/>
          <w:szCs w:val="32"/>
          <w:highlight w:val="none"/>
          <w:u w:val="single"/>
          <w:lang w:eastAsia="zh-CN"/>
        </w:rPr>
        <w:t>东莞发展控股股份有限公司</w:t>
      </w:r>
    </w:p>
    <w:p>
      <w:pPr>
        <w:ind w:firstLine="643" w:firstLineChars="20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乙方（受托方）：</w:t>
      </w:r>
      <w:r>
        <w:rPr>
          <w:rFonts w:hint="eastAsia" w:ascii="宋体" w:hAnsi="宋体" w:eastAsia="宋体" w:cs="宋体"/>
          <w:b/>
          <w:color w:val="auto"/>
          <w:sz w:val="32"/>
          <w:szCs w:val="32"/>
          <w:highlight w:val="none"/>
          <w:u w:val="single"/>
        </w:rPr>
        <w:t xml:space="preserve">                          </w:t>
      </w:r>
    </w:p>
    <w:p>
      <w:pPr>
        <w:ind w:firstLine="1279" w:firstLineChars="398"/>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二Ο二一年</w:t>
      </w:r>
      <w:r>
        <w:rPr>
          <w:rFonts w:hint="eastAsia" w:ascii="宋体" w:hAnsi="宋体" w:eastAsia="宋体" w:cs="宋体"/>
          <w:b/>
          <w:color w:val="auto"/>
          <w:sz w:val="32"/>
          <w:szCs w:val="32"/>
          <w:highlight w:val="none"/>
          <w:u w:val="single"/>
        </w:rPr>
        <w:t xml:space="preserve">   </w:t>
      </w:r>
      <w:r>
        <w:rPr>
          <w:rFonts w:hint="eastAsia" w:ascii="宋体" w:hAnsi="宋体" w:eastAsia="宋体" w:cs="宋体"/>
          <w:b/>
          <w:color w:val="auto"/>
          <w:sz w:val="32"/>
          <w:szCs w:val="32"/>
          <w:highlight w:val="none"/>
        </w:rPr>
        <w:t>月于东莞市</w:t>
      </w:r>
    </w:p>
    <w:p>
      <w:pPr>
        <w:widowControl/>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甲、乙双方经过平等协商，在真实、充分地表达各自意愿的基础上签署本合同，具体约定如下：</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一、服务范围及内容</w:t>
      </w:r>
    </w:p>
    <w:p>
      <w:pPr>
        <w:spacing w:line="560" w:lineRule="exact"/>
        <w:ind w:firstLine="442" w:firstLineChars="200"/>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1.1服务范围</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甲方委托乙方承担客服业务的外包服务，主要包括承接处理</w:t>
      </w:r>
      <w:r>
        <w:rPr>
          <w:rFonts w:hint="eastAsia" w:ascii="宋体" w:hAnsi="宋体" w:eastAsia="宋体" w:cs="宋体"/>
          <w:color w:val="auto"/>
          <w:sz w:val="22"/>
          <w:szCs w:val="22"/>
          <w:highlight w:val="none"/>
          <w:lang w:val="en-US" w:eastAsia="zh-CN"/>
        </w:rPr>
        <w:t>甲方</w:t>
      </w:r>
      <w:r>
        <w:rPr>
          <w:rFonts w:hint="eastAsia" w:ascii="宋体" w:hAnsi="宋体" w:eastAsia="宋体" w:cs="宋体"/>
          <w:color w:val="auto"/>
          <w:sz w:val="22"/>
          <w:szCs w:val="22"/>
          <w:highlight w:val="none"/>
        </w:rPr>
        <w:t>各渠道的客服业务，以对外打造标准化、智能化、规范化、多样化的客服系统为目标，并适时配合甲方开展与客服相关的营销拓展业务。</w:t>
      </w:r>
    </w:p>
    <w:p>
      <w:pPr>
        <w:spacing w:line="560" w:lineRule="exact"/>
        <w:ind w:firstLine="442" w:firstLineChars="200"/>
        <w:jc w:val="left"/>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1.2服务内容</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1.2.1</w:t>
      </w:r>
      <w:r>
        <w:rPr>
          <w:rFonts w:hint="eastAsia" w:ascii="宋体" w:hAnsi="宋体" w:eastAsia="宋体" w:cs="宋体"/>
          <w:b/>
          <w:color w:val="auto"/>
          <w:sz w:val="22"/>
          <w:szCs w:val="22"/>
          <w:highlight w:val="none"/>
        </w:rPr>
        <w:t>提供客服专号</w:t>
      </w:r>
      <w:r>
        <w:rPr>
          <w:rFonts w:hint="eastAsia" w:ascii="宋体" w:hAnsi="宋体" w:eastAsia="宋体" w:cs="宋体"/>
          <w:color w:val="auto"/>
          <w:sz w:val="22"/>
          <w:szCs w:val="22"/>
          <w:highlight w:val="none"/>
        </w:rPr>
        <w:t>。乙方为甲方提供安全可靠的96字头的6位数特服专号，并实现全省三网（电信、联通、移动）中继语音线路的落地；乙方须协助配合甲方进行企业所属特服号的申请，并配合做好新旧号码转换工作，确保客服号码的平稳过渡切换。</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1.2.2 </w:t>
      </w:r>
      <w:r>
        <w:rPr>
          <w:rFonts w:hint="eastAsia" w:ascii="宋体" w:hAnsi="宋体" w:eastAsia="宋体" w:cs="宋体"/>
          <w:b/>
          <w:color w:val="auto"/>
          <w:sz w:val="22"/>
          <w:szCs w:val="22"/>
          <w:highlight w:val="none"/>
        </w:rPr>
        <w:t>派驻客服运营团队</w:t>
      </w:r>
      <w:r>
        <w:rPr>
          <w:rFonts w:hint="eastAsia" w:ascii="宋体" w:hAnsi="宋体" w:eastAsia="宋体" w:cs="宋体"/>
          <w:color w:val="auto"/>
          <w:sz w:val="22"/>
          <w:szCs w:val="22"/>
          <w:highlight w:val="none"/>
        </w:rPr>
        <w:t>。乙方派驻符合条件及具行业经验的专业化运营团队</w:t>
      </w:r>
      <w:r>
        <w:rPr>
          <w:rFonts w:hint="eastAsia" w:ascii="宋体" w:hAnsi="宋体" w:eastAsia="宋体" w:cs="宋体"/>
          <w:color w:val="auto"/>
          <w:sz w:val="22"/>
          <w:szCs w:val="22"/>
          <w:highlight w:val="none"/>
          <w:lang w:val="en-US" w:eastAsia="zh-CN"/>
        </w:rPr>
        <w:t>承接甲方客服业务</w:t>
      </w:r>
      <w:r>
        <w:rPr>
          <w:rFonts w:hint="eastAsia" w:ascii="宋体" w:hAnsi="宋体" w:eastAsia="宋体" w:cs="宋体"/>
          <w:color w:val="auto"/>
          <w:sz w:val="22"/>
          <w:szCs w:val="22"/>
          <w:highlight w:val="none"/>
        </w:rPr>
        <w:t>，乙方须做好人员的招聘、培训和日常管理等工作，确保运营团队的稳定。（岗位职责及任职要求详见附件1）</w:t>
      </w:r>
    </w:p>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1.2.3 </w:t>
      </w:r>
      <w:r>
        <w:rPr>
          <w:rFonts w:hint="eastAsia" w:ascii="宋体" w:hAnsi="宋体" w:eastAsia="宋体" w:cs="宋体"/>
          <w:b/>
          <w:color w:val="auto"/>
          <w:sz w:val="22"/>
          <w:szCs w:val="22"/>
          <w:highlight w:val="none"/>
        </w:rPr>
        <w:t>提供完备的客服运营</w:t>
      </w:r>
      <w:r>
        <w:rPr>
          <w:rFonts w:hint="eastAsia" w:ascii="宋体" w:hAnsi="宋体" w:eastAsia="宋体" w:cs="宋体"/>
          <w:color w:val="auto"/>
          <w:sz w:val="22"/>
          <w:szCs w:val="22"/>
          <w:highlight w:val="none"/>
        </w:rPr>
        <w:t>。乙方根据甲方需求提供整体客服运营及咨询服务，提供覆盖甲方运营服务时间的7×24小时全天候的人工坐席服务；配套提供保障客服呼叫中心内部有序运行的各项工作机制、培训、考核、管理规范等制度，建立项目现场运营监控体系，不断优化完善项目质量；提供现场运营办公的必要耗材，包括办公用品、饮用水、防疫物资等。</w:t>
      </w:r>
    </w:p>
    <w:p>
      <w:pPr>
        <w:pStyle w:val="2"/>
        <w:spacing w:afterLines="100"/>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1.2.4 </w:t>
      </w:r>
      <w:r>
        <w:rPr>
          <w:rFonts w:hint="eastAsia" w:ascii="宋体" w:hAnsi="宋体" w:eastAsia="宋体" w:cs="宋体"/>
          <w:b/>
          <w:color w:val="auto"/>
          <w:sz w:val="22"/>
          <w:szCs w:val="22"/>
          <w:highlight w:val="none"/>
        </w:rPr>
        <w:t>提供完善的客服系统管理平台</w:t>
      </w:r>
      <w:r>
        <w:rPr>
          <w:rFonts w:hint="eastAsia" w:ascii="宋体" w:hAnsi="宋体" w:eastAsia="宋体" w:cs="宋体"/>
          <w:color w:val="auto"/>
          <w:sz w:val="22"/>
          <w:szCs w:val="22"/>
          <w:highlight w:val="none"/>
        </w:rPr>
        <w:t>。乙方根据甲方业务特点配建个性化、智能化的客服系统管理平台，并持续升级维护；客服系统平台可统一接入甲方各个渠道的热线事项，以实现呼入、呼出、登记、下单、分派、转派、查询、回访、办结的闭环管理；系统同时具备知识库建立和更新、备份保障、录音、现场监控、数据统计分析等功能。其余对系统配套的需求如下：</w:t>
      </w:r>
    </w:p>
    <w:tbl>
      <w:tblPr>
        <w:tblStyle w:val="5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832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负责提供用于搭建呼叫中心运营网络配套的数据传输电路，可在甲方场地实施客服中心运作。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负责提供三网（电信、联通、移动）语音中继线路，可供客服现场话务接入。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负责呼叫中心通讯服务所产生的通讯费。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负责开通一条500M 带宽互联网专线，用于访问政务外网和访问备份服务器等，并承担产生的相关费用。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负责呼叫中心1条10M MSTP带公网IP电路，用于访问甲方相关下属企业的白名单专用系统，并承担产生的相关费用。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负责提供呼叫中心数据备份服务器。同时充分考虑容灾备份情况，当主系统发生突然事件导致无法使用时，可以快速启动备用系统，以便服务热线工作正常。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具备拥有系统安全、备份保障、扩展能力以及对外接口的呼叫系统和平台，且能与甲方现有客服系统实现对接。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负责提供智能流程自动化软件（RPA），可提供甲方客服智能场景应用。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具备即时通讯工具设备，包含PC、APP、微信在线客服的多触点一站式服务系统。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具备报表统计、分析以及导出功能。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具备客服平台系统二次开发能力，能根据甲方要求开发应用。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9" w:type="dxa"/>
            <w:vAlign w:val="center"/>
          </w:tcPr>
          <w:p>
            <w:pPr>
              <w:widowControl/>
              <w:spacing w:line="5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8329" w:type="dxa"/>
            <w:vAlign w:val="center"/>
          </w:tcPr>
          <w:p>
            <w:pPr>
              <w:widowControl/>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在网络资源保障要求上，乙方需提供充足可靠的网络资源保障。对端口、设备和电路等资源都有预留，并根据业务的发展情况，实时进行扩容，保持网络良好的冗余能力，确保管理和技术服务。</w:t>
            </w:r>
          </w:p>
        </w:tc>
      </w:tr>
    </w:tbl>
    <w:p>
      <w:pPr>
        <w:spacing w:beforeLines="100" w:line="560" w:lineRule="exact"/>
        <w:ind w:firstLine="61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二、服务质量要求</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服务质量核心量化指标包括但不限于以下要求：按规定时限回复率100%，话务接通率高于95%，服务不满意度低于5%。</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三、服务地点和期限</w:t>
      </w:r>
    </w:p>
    <w:p>
      <w:pPr>
        <w:spacing w:line="560" w:lineRule="exact"/>
        <w:ind w:firstLine="442" w:firstLineChars="200"/>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3.1服务地点：</w:t>
      </w:r>
      <w:r>
        <w:rPr>
          <w:rFonts w:hint="eastAsia" w:ascii="宋体" w:hAnsi="宋体" w:eastAsia="宋体" w:cs="宋体"/>
          <w:color w:val="auto"/>
          <w:sz w:val="22"/>
          <w:szCs w:val="22"/>
          <w:highlight w:val="none"/>
        </w:rPr>
        <w:t>由甲方决定。</w:t>
      </w:r>
    </w:p>
    <w:p>
      <w:pPr>
        <w:pStyle w:val="2"/>
        <w:ind w:left="0" w:leftChars="0" w:firstLine="643"/>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3.2服务期限：</w:t>
      </w:r>
      <w:r>
        <w:rPr>
          <w:rFonts w:hint="eastAsia" w:ascii="宋体" w:hAnsi="宋体" w:eastAsia="宋体" w:cs="宋体"/>
          <w:color w:val="auto"/>
          <w:sz w:val="22"/>
          <w:szCs w:val="22"/>
          <w:highlight w:val="none"/>
        </w:rPr>
        <w:t>服务期为3年，自2021年4月20日至2024年4月19日止。</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四、项目验收</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应按照甲方需求按时完成各项工作任务。为确保甲方客服呼叫中心顺利衔接上线，乙方须于2021年3月20日前完成包括但不限于以下工作：客服系统平台通过甲方验收，96字头6位数客服专号投入使用，传输线路搭建完成，乙方客服运营团队人员到位；2021年3月20日-4月19日期间为项目准备调试期，客服全员完成培训并具备独立上岗能力，乙方须确保各方面具备运营上线条件。</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五、双方权利与义务</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5.1甲方权利与义务</w:t>
      </w:r>
    </w:p>
    <w:p>
      <w:pPr>
        <w:pStyle w:val="2"/>
        <w:ind w:left="0" w:leftChars="0" w:firstLine="64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5.1.1 甲方有权对乙方的工作进行管理，实施检查、监督、考核。</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5.1.2 乙方员工在从事甲方工作岗位时，甲方有权指导其开展相关工作，乙方应予以配合。</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5.1.3 为保障客服呼叫中心服务的质量和水平，提高客服人员的服务业务素质，甲方可根据业务实际情况要求乙方增加热线服务人员的业务培训或改进培训计划，乙方不得拒绝。</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5.1.4 甲方有权审查乙方员工的劳动合同、身份证明、人员履历等，乙方及员工应配合甲方的审查，如审查不符合要求或实际工作能力与岗位不匹配的，甲方有权要求乙方更换人员。</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5.1.5 甲方有权根据月度考核评分标准对乙方进行考核，并根据考核结果支付服务费用。</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5.1.6 甲方有权开展与客服相关的营销拓展业务，乙方应给予配合实施。</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5.1.7 甲方有权随时调取乙方为甲方建立的所有知识产权及数据信息。</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5.1.8 甲方有义务向乙方提供本合同所涉及工作的相关资料等内容，若有更新及时补充。</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5.1.9 为保障服务质量，甲方</w:t>
      </w:r>
      <w:r>
        <w:rPr>
          <w:rFonts w:hint="eastAsia" w:ascii="宋体" w:hAnsi="宋体" w:eastAsia="宋体" w:cs="宋体"/>
          <w:color w:val="auto"/>
          <w:sz w:val="22"/>
          <w:szCs w:val="22"/>
          <w:highlight w:val="none"/>
          <w:lang w:eastAsia="zh-CN"/>
        </w:rPr>
        <w:t>可</w:t>
      </w:r>
      <w:r>
        <w:rPr>
          <w:rFonts w:hint="eastAsia" w:ascii="宋体" w:hAnsi="宋体" w:eastAsia="宋体" w:cs="宋体"/>
          <w:color w:val="auto"/>
          <w:sz w:val="22"/>
          <w:szCs w:val="22"/>
          <w:highlight w:val="none"/>
        </w:rPr>
        <w:t>向乙方提供业务骨干进行必要的现场支撑和培训。</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5.2乙方权利与义务</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5.2.1 </w:t>
      </w:r>
      <w:r>
        <w:rPr>
          <w:rFonts w:hint="eastAsia" w:ascii="宋体" w:hAnsi="宋体" w:eastAsia="宋体" w:cs="宋体"/>
          <w:color w:val="auto"/>
          <w:kern w:val="2"/>
          <w:sz w:val="22"/>
          <w:szCs w:val="22"/>
          <w:highlight w:val="none"/>
        </w:rPr>
        <w:t>乙方必须按照甲方要求完成协议规定的各项项目目标及需求。</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5.2.2 乙方成立项目管理组，并提供具有相应专业能力、水平的管理人员进行管理，每季度至少对话务人员开展不低于1次的业务技术培训，对管理人员开展不低于1次的业务培训。</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5.2.3 乙方保证通过甲方相关系统获取用户基本资料及信息仅用于本合同约定的业务内容或实现本合同目的用途。</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5.2.4乙方负责项目有关工作人员的招聘、培训、薪酬、绩效、单项考核等人力资源管理事宜，并确保有效运营及根据甲方要求和建议不断提升服务水平。</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5.2.5 乙方须与被指派的本项目服务的所有员工签订劳动合同并按照本地标准给员工缴纳社会保险（五险一金）。</w:t>
      </w:r>
    </w:p>
    <w:p>
      <w:pPr>
        <w:pStyle w:val="2"/>
        <w:spacing w:after="0" w:line="360" w:lineRule="auto"/>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5.2.6 本合同是客服热线服务外包合同，不是劳务派遣合同，甲方与乙方人员之间不存在劳务派遣用工关系。乙方向其所指派工作人员履行用人单位对劳动者的全部义务。乙方负责规范管理员工，乙方管理员工的范围包括但不仅限于人力资源、福利待遇、工伤、侵权、安全生产等一切与之有关的责任，如履行本合同过程中导致上述责任的发生均由乙方自行承担。</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5.2.7乙方按甲方工作要求和项目服务内容提供相关工作业务外包服务，以及承担相关工作规划、业务保障、工作部署与具体实施工作。</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5.2.8乙方应对客服人员进行相应的业务礼仪培训，确保符合甲方的上岗要求，并配合甲方开展客服呼叫中心的迎检、接待相关工作。</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5.2.9乙方及其指派的服务人员应保守甲方的商业秘密。</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5.2.10 乙方在经营期间内，人员自招，自主经营，自负盈亏。</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5.2.11 未经甲方事先书面同意，乙方不得将本合同项目部分或全部服务工作转由第三人承担。</w:t>
      </w:r>
    </w:p>
    <w:p>
      <w:pPr>
        <w:spacing w:beforeLines="100" w:line="560" w:lineRule="exact"/>
        <w:ind w:firstLine="61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费用</w:t>
      </w:r>
    </w:p>
    <w:p>
      <w:pPr>
        <w:pStyle w:val="2"/>
        <w:ind w:left="0" w:leftChars="0" w:firstLine="643"/>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合同</w:t>
      </w:r>
      <w:r>
        <w:rPr>
          <w:rFonts w:hint="eastAsia" w:ascii="宋体" w:hAnsi="宋体" w:eastAsia="宋体" w:cs="宋体"/>
          <w:b/>
          <w:color w:val="auto"/>
          <w:sz w:val="22"/>
          <w:szCs w:val="22"/>
          <w:highlight w:val="none"/>
          <w:lang w:val="en-US" w:eastAsia="zh-CN"/>
        </w:rPr>
        <w:t>暂定</w:t>
      </w:r>
      <w:r>
        <w:rPr>
          <w:rFonts w:hint="eastAsia" w:ascii="宋体" w:hAnsi="宋体" w:eastAsia="宋体" w:cs="宋体"/>
          <w:b/>
          <w:color w:val="auto"/>
          <w:sz w:val="22"/>
          <w:szCs w:val="22"/>
          <w:highlight w:val="none"/>
        </w:rPr>
        <w:t>金额（大写）：</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 xml:space="preserve">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w:t>
      </w:r>
    </w:p>
    <w:p>
      <w:pPr>
        <w:pStyle w:val="2"/>
        <w:ind w:left="0" w:leftChars="0" w:firstLine="1760" w:firstLineChars="8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（小写）：</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   元</w:t>
      </w:r>
      <w:r>
        <w:rPr>
          <w:rFonts w:hint="eastAsia" w:ascii="宋体" w:hAnsi="宋体" w:eastAsia="宋体" w:cs="宋体"/>
          <w:color w:val="auto"/>
          <w:sz w:val="22"/>
          <w:szCs w:val="22"/>
          <w:highlight w:val="none"/>
        </w:rPr>
        <w:t xml:space="preserve"> ）</w:t>
      </w:r>
    </w:p>
    <w:p>
      <w:pPr>
        <w:spacing w:line="560" w:lineRule="exact"/>
        <w:ind w:firstLine="615"/>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本合同为暂定价，每季度根据实际产生的费用确定，且支付总价款之和不超过本合同暂定金额。</w:t>
      </w:r>
    </w:p>
    <w:p>
      <w:pPr>
        <w:pStyle w:val="2"/>
        <w:ind w:left="0" w:leftChars="0" w:firstLine="442"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备注：此合同金额仅含东莞发展控股股份有限公司与乙方签订服务合同内容。</w:t>
      </w:r>
    </w:p>
    <w:p>
      <w:pPr>
        <w:pStyle w:val="2"/>
        <w:ind w:left="0" w:leftChars="0" w:firstLine="643"/>
        <w:rPr>
          <w:rFonts w:hint="eastAsia" w:ascii="宋体" w:hAnsi="宋体" w:eastAsia="宋体" w:cs="宋体"/>
          <w:b/>
          <w:color w:val="auto"/>
          <w:sz w:val="22"/>
          <w:szCs w:val="22"/>
          <w:highlight w:val="none"/>
          <w:lang w:val="en-US" w:eastAsia="zh-CN"/>
        </w:rPr>
      </w:pPr>
    </w:p>
    <w:p>
      <w:pPr>
        <w:pStyle w:val="2"/>
        <w:rPr>
          <w:rFonts w:hint="eastAsia" w:ascii="宋体" w:hAnsi="宋体" w:eastAsia="宋体" w:cs="宋体"/>
          <w:color w:val="auto"/>
          <w:sz w:val="22"/>
          <w:szCs w:val="22"/>
          <w:highlight w:val="none"/>
          <w:lang w:val="en-US" w:eastAsia="zh-CN"/>
        </w:rPr>
      </w:pPr>
    </w:p>
    <w:p>
      <w:pPr>
        <w:pStyle w:val="2"/>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七</w:t>
      </w:r>
      <w:r>
        <w:rPr>
          <w:rFonts w:hint="eastAsia" w:ascii="宋体" w:hAnsi="宋体" w:eastAsia="宋体" w:cs="宋体"/>
          <w:color w:val="auto"/>
          <w:sz w:val="22"/>
          <w:szCs w:val="22"/>
          <w:highlight w:val="none"/>
        </w:rPr>
        <w:t>、税务及支付方式</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7</w:t>
      </w:r>
      <w:r>
        <w:rPr>
          <w:rFonts w:hint="eastAsia" w:ascii="宋体" w:hAnsi="宋体" w:eastAsia="宋体" w:cs="宋体"/>
          <w:b/>
          <w:color w:val="auto"/>
          <w:sz w:val="22"/>
          <w:szCs w:val="22"/>
          <w:highlight w:val="none"/>
        </w:rPr>
        <w:t>.1税费和发票</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本合同预算费用已包括甲方就乙方履行本合同所应支付的全部报酬、所需的全部费用及税费。除另有约定外，甲方无需就本合同项下委托事项向乙方支付上述费用之外的任何其他费用及税费。</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7.1.1 </w:t>
      </w:r>
      <w:r>
        <w:rPr>
          <w:rFonts w:hint="eastAsia" w:ascii="宋体" w:hAnsi="宋体" w:eastAsia="宋体" w:cs="宋体"/>
          <w:color w:val="auto"/>
          <w:sz w:val="22"/>
          <w:szCs w:val="22"/>
          <w:highlight w:val="none"/>
        </w:rPr>
        <w:t>甲方在支付合同款前，有权要求乙方按其要求开具符合国家法律法规和标准的增值税发票。乙方承诺其开具发票的形式和内容均合法、有效、完整、准确。若乙方不开具或开具发票不合格的，甲方下属公司有权不予付款直至乙方开具合格发票之日。乙方的各项合同义务仍应按合同约定履行。</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7.1.2 </w:t>
      </w:r>
      <w:r>
        <w:rPr>
          <w:rFonts w:hint="eastAsia" w:ascii="宋体" w:hAnsi="宋体" w:eastAsia="宋体" w:cs="宋体"/>
          <w:color w:val="auto"/>
          <w:sz w:val="22"/>
          <w:szCs w:val="22"/>
          <w:highlight w:val="none"/>
        </w:rPr>
        <w:t>乙方应在具备开发票条件且接到甲方下属公司开票指令后开具发票，并应在开具发票之日起10个工作日内将增值税发票送达至甲方，甲方有权追究因乙方逾期送达发票而产生的损失。甲方签收发票的日期为发票的送达日期。若乙方提供的增值税发票不符合法律法规要求或本合同约定，或不能通过税务认证的，甲方有权拒收或于发现问题后退回，乙方应及时更换，甲方有权追究由此遭受的损失。</w:t>
      </w:r>
    </w:p>
    <w:p>
      <w:pPr>
        <w:pStyle w:val="2"/>
        <w:ind w:left="0" w:leftChars="0" w:firstLine="643"/>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7</w:t>
      </w:r>
      <w:r>
        <w:rPr>
          <w:rFonts w:hint="eastAsia" w:ascii="宋体" w:hAnsi="宋体" w:eastAsia="宋体" w:cs="宋体"/>
          <w:b/>
          <w:color w:val="auto"/>
          <w:sz w:val="22"/>
          <w:szCs w:val="22"/>
          <w:highlight w:val="none"/>
        </w:rPr>
        <w:t>.2支付方式</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由甲方按季度分12期向乙方付款。</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7.2.1 </w:t>
      </w:r>
      <w:r>
        <w:rPr>
          <w:rFonts w:hint="eastAsia" w:ascii="宋体" w:hAnsi="宋体" w:eastAsia="宋体" w:cs="宋体"/>
          <w:color w:val="auto"/>
          <w:sz w:val="22"/>
          <w:szCs w:val="22"/>
          <w:highlight w:val="none"/>
        </w:rPr>
        <w:t>每期款项经</w:t>
      </w:r>
      <w:r>
        <w:rPr>
          <w:rFonts w:hint="eastAsia" w:ascii="宋体" w:hAnsi="宋体" w:eastAsia="宋体" w:cs="宋体"/>
          <w:color w:val="auto"/>
          <w:sz w:val="22"/>
          <w:szCs w:val="22"/>
          <w:highlight w:val="none"/>
          <w:lang w:val="en-US" w:eastAsia="zh-CN"/>
        </w:rPr>
        <w:t>双方</w:t>
      </w:r>
      <w:r>
        <w:rPr>
          <w:rFonts w:hint="eastAsia" w:ascii="宋体" w:hAnsi="宋体" w:eastAsia="宋体" w:cs="宋体"/>
          <w:color w:val="auto"/>
          <w:sz w:val="22"/>
          <w:szCs w:val="22"/>
          <w:highlight w:val="none"/>
        </w:rPr>
        <w:t>核对确认后，由甲方直接向乙方付款。</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7.2.2 </w:t>
      </w:r>
      <w:r>
        <w:rPr>
          <w:rFonts w:hint="eastAsia" w:ascii="宋体" w:hAnsi="宋体" w:eastAsia="宋体" w:cs="宋体"/>
          <w:color w:val="auto"/>
          <w:sz w:val="22"/>
          <w:szCs w:val="22"/>
          <w:highlight w:val="none"/>
        </w:rPr>
        <w:t>款项的季度周期以签订的合同2021年4月20日开始计算，甲方于一个季度周期后，在收到</w:t>
      </w:r>
      <w:r>
        <w:rPr>
          <w:rFonts w:hint="eastAsia" w:ascii="宋体" w:hAnsi="宋体" w:eastAsia="宋体" w:cs="宋体"/>
          <w:color w:val="auto"/>
          <w:sz w:val="22"/>
          <w:szCs w:val="22"/>
          <w:highlight w:val="none"/>
          <w:lang w:val="en-US" w:eastAsia="zh-CN"/>
        </w:rPr>
        <w:t>相关</w:t>
      </w:r>
      <w:r>
        <w:rPr>
          <w:rFonts w:hint="eastAsia" w:ascii="宋体" w:hAnsi="宋体" w:eastAsia="宋体" w:cs="宋体"/>
          <w:color w:val="auto"/>
          <w:sz w:val="22"/>
          <w:szCs w:val="22"/>
          <w:highlight w:val="none"/>
        </w:rPr>
        <w:t>支付材料，经审核无误后一个月内支付上一季度的费用。</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lang w:val="en-US" w:eastAsia="zh-CN"/>
        </w:rPr>
        <w:t xml:space="preserve">7.2.3 </w:t>
      </w:r>
      <w:r>
        <w:rPr>
          <w:rFonts w:hint="eastAsia" w:ascii="宋体" w:hAnsi="宋体" w:eastAsia="宋体" w:cs="宋体"/>
          <w:color w:val="auto"/>
          <w:kern w:val="2"/>
          <w:sz w:val="22"/>
          <w:szCs w:val="22"/>
          <w:highlight w:val="none"/>
        </w:rPr>
        <w:t>本合同费用采取银行转账的支付方式。乙方银行账户信息和纳税人信息：</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开户行：[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银行地址：[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户名：[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账号：[    ]</w:t>
      </w:r>
    </w:p>
    <w:p>
      <w:pPr>
        <w:spacing w:line="360" w:lineRule="auto"/>
        <w:ind w:firstLine="440" w:firstLineChars="20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统一社会信用代码：[    ]</w:t>
      </w:r>
    </w:p>
    <w:p>
      <w:pPr>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地址：[    ]</w:t>
      </w:r>
    </w:p>
    <w:p>
      <w:pPr>
        <w:spacing w:line="360" w:lineRule="auto"/>
        <w:ind w:left="0" w:leftChars="0"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 xml:space="preserve">电话：[    ] </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八</w:t>
      </w:r>
      <w:r>
        <w:rPr>
          <w:rFonts w:hint="eastAsia" w:ascii="宋体" w:hAnsi="宋体" w:eastAsia="宋体" w:cs="宋体"/>
          <w:color w:val="auto"/>
          <w:sz w:val="22"/>
          <w:szCs w:val="22"/>
          <w:highlight w:val="none"/>
        </w:rPr>
        <w:t>、知识产权</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8.1 </w:t>
      </w:r>
      <w:r>
        <w:rPr>
          <w:rFonts w:hint="eastAsia" w:ascii="宋体" w:hAnsi="宋体" w:eastAsia="宋体" w:cs="宋体"/>
          <w:color w:val="auto"/>
          <w:sz w:val="22"/>
          <w:szCs w:val="22"/>
          <w:highlight w:val="none"/>
        </w:rPr>
        <w:t>乙方保证提供给甲方的服务或其任何一部分，甲方免受第三方侵犯其知识产权、商标权或工业设计权的起诉；甲方保证提供给乙方的相关技术和本合同项下约定项目的所有材料均具有知识产权所有权或知识产权相关使用权等，保证乙方免受第三方侵犯其知识产权、商标权或工业设计权的起诉。</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8.2 </w:t>
      </w:r>
      <w:r>
        <w:rPr>
          <w:rFonts w:hint="eastAsia" w:ascii="宋体" w:hAnsi="宋体" w:eastAsia="宋体" w:cs="宋体"/>
          <w:color w:val="auto"/>
          <w:sz w:val="22"/>
          <w:szCs w:val="22"/>
          <w:highlight w:val="none"/>
        </w:rPr>
        <w:t>乙方履行本合同义务所产生的包括但不限于材料汇编、材料创作、表格编制、所有系统维护和升级、资料填充、开设新户及硬件维护和更新等知识产权均属于甲方；甲方履行本合同义务所产生的材料汇编及创作等知识产权均属于甲方。</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8.3 </w:t>
      </w:r>
      <w:r>
        <w:rPr>
          <w:rFonts w:hint="eastAsia" w:ascii="宋体" w:hAnsi="宋体" w:eastAsia="宋体" w:cs="宋体"/>
          <w:color w:val="auto"/>
          <w:sz w:val="22"/>
          <w:szCs w:val="22"/>
          <w:highlight w:val="none"/>
        </w:rPr>
        <w:t>本合同期限内，甲方可在本合同约定项目范围内使用乙方提供给甲方的服务；本合同约定期限届满后，乙方应于十个工作日内将本合同约定项目服务产生的有关材料档案、数据资料等移交甲方。</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九</w:t>
      </w:r>
      <w:r>
        <w:rPr>
          <w:rFonts w:hint="eastAsia" w:ascii="宋体" w:hAnsi="宋体" w:eastAsia="宋体" w:cs="宋体"/>
          <w:color w:val="auto"/>
          <w:sz w:val="22"/>
          <w:szCs w:val="22"/>
          <w:highlight w:val="none"/>
        </w:rPr>
        <w:t>、保密要求</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甲乙双方共同维护本项目的相关保密要求和义务，并共同签订《东莞交投集团客服呼叫中心运营服务外包项目保密协议》（详见附件</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十、违约责任与赔偿损失</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.1双方确定，任何一方未履行或未完全履行本合同项下的义务，均构成违约。违约方应赔偿因违约给对方造成的一切损失。</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2乙方未能按本合同约定按期提供技术服务的，每逾期[ 1 ]日，乙方应当按照本合同预算费用的[ 0.8 ]%向甲方支付违约金。连续或累计逾期致使违约金数额累计达到本合同预算费用的[ 30 ]%时，甲方有权解除本合同，乙方仍应支付上述违约金、退还甲方已支付款项并赔偿甲方本合同预算费用20%的作为违约金，以上违约金不足以赔偿甲方损失的，乙方的赔偿以甲方损失为准。</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.3乙方提供技术服务不符合本合同要求的，乙方应当按照甲方要求更正和修改，并承担由此产生的全部费用。因此造成逾期的，甲方有权按照上述第1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.2条要求乙方承担违约责任。</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.4 甲方未按合同约定支付合同费用，自逾期之日起每日按逾期金额的0.3‰向乙方支付违约金。</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.5乙方违反本合同其他条款约定的，应当按照相应条款承担责任，给甲方造成损失的，乙方承担违约金后，该违约金不足以弥补甲方损失的，还需赔偿甲方的损失。</w:t>
      </w:r>
    </w:p>
    <w:p>
      <w:pPr>
        <w:pStyle w:val="2"/>
        <w:spacing w:line="360" w:lineRule="auto"/>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6因乙方指派工作人员不符合甲方岗位的技能、身体、职业道德素质要求或不适宜在甲方从事相关岗位工作，甲方需退回的，乙方应及时调换符合要求的外包服务人员。对同一工作岗位人员退回超过三次的，或者合同期内，累计发生退回超过10次的，甲方有权解除本合同，未支付的服务费用不予支付，并有权要求乙方支付甲方合同金额20%的违约金。该违约金不足以弥补甲方损失的，还需赔偿甲方的损失。</w:t>
      </w:r>
    </w:p>
    <w:p>
      <w:pPr>
        <w:pStyle w:val="2"/>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.7本合同履行过程中，乙方指派工作人员与乙方之间的劳动关系引发的所有争议均与甲方无关。乙方不得要求甲方对乙方指派的工作人员承担责任。</w:t>
      </w:r>
    </w:p>
    <w:p>
      <w:pPr>
        <w:pStyle w:val="2"/>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.8 乙方对本合同中约定的违约行为及违约后果已充分认知，并承诺在违约时，不得请求减免。</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一</w:t>
      </w:r>
      <w:r>
        <w:rPr>
          <w:rFonts w:hint="eastAsia" w:ascii="宋体" w:hAnsi="宋体" w:eastAsia="宋体" w:cs="宋体"/>
          <w:color w:val="auto"/>
          <w:sz w:val="22"/>
          <w:szCs w:val="22"/>
          <w:highlight w:val="none"/>
        </w:rPr>
        <w:t>、不可抗拒力</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甲乙双方确认，不可抗力是指地震、台风、水灾、火灾、战争、法律法规变化、政府机关要求以及其它本合同各方不能预见，并且对其发生和后果不能防止或不能避免且不可克服的客观情况。发生不可抗力的处理方式如下：</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1声称收受到不可抗力影响的一方应在发生不可抗力或知道发生不可抗力之后及时书面通知另一方并详细描述不可抗力的发生情况和可能导致的后果，包括该不可抗力发生的时间和预计停止的时间，以及对该方履行在本协议项下义务的影响，是否存在因不可抗力导致合同目的不能实现的情形，并在另一方合理要求时提供证明。</w:t>
      </w:r>
    </w:p>
    <w:p>
      <w:pPr>
        <w:tabs>
          <w:tab w:val="left" w:pos="7980"/>
        </w:tabs>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.2.因不可抗力事件导致乙方停工的费用损失（误工损失、停工期间现场管理费、人力资源成本、材料损失费等）由乙方自行承担。</w:t>
      </w:r>
    </w:p>
    <w:p>
      <w:pPr>
        <w:tabs>
          <w:tab w:val="left" w:pos="7980"/>
        </w:tabs>
        <w:spacing w:line="360" w:lineRule="auto"/>
        <w:ind w:firstLine="440" w:firstLineChars="200"/>
        <w:jc w:val="left"/>
        <w:rPr>
          <w:rFonts w:hint="eastAsia" w:ascii="宋体" w:hAnsi="宋体" w:eastAsia="宋体" w:cs="宋体"/>
          <w:b w:val="0"/>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.3.因不可抗力导致乙方需要延期提供服务的，经甲方书面认可可相应顺延相应期限。但乙方不得</w:t>
      </w:r>
      <w:r>
        <w:rPr>
          <w:rFonts w:hint="eastAsia" w:ascii="宋体" w:hAnsi="宋体" w:eastAsia="宋体" w:cs="宋体"/>
          <w:b w:val="0"/>
          <w:color w:val="auto"/>
          <w:kern w:val="0"/>
          <w:sz w:val="22"/>
          <w:szCs w:val="22"/>
          <w:highlight w:val="none"/>
        </w:rPr>
        <w:t>向甲方</w:t>
      </w:r>
      <w:r>
        <w:rPr>
          <w:rFonts w:hint="eastAsia" w:ascii="宋体" w:hAnsi="宋体" w:eastAsia="宋体" w:cs="宋体"/>
          <w:color w:val="auto"/>
          <w:kern w:val="0"/>
          <w:sz w:val="22"/>
          <w:szCs w:val="22"/>
          <w:highlight w:val="none"/>
        </w:rPr>
        <w:t>主张</w:t>
      </w:r>
      <w:r>
        <w:rPr>
          <w:rFonts w:hint="eastAsia" w:ascii="宋体" w:hAnsi="宋体" w:eastAsia="宋体" w:cs="宋体"/>
          <w:b w:val="0"/>
          <w:color w:val="auto"/>
          <w:kern w:val="0"/>
          <w:sz w:val="22"/>
          <w:szCs w:val="22"/>
          <w:highlight w:val="none"/>
        </w:rPr>
        <w:t>或向人民法院请求</w:t>
      </w:r>
      <w:r>
        <w:rPr>
          <w:rFonts w:hint="eastAsia" w:ascii="宋体" w:hAnsi="宋体" w:eastAsia="宋体" w:cs="宋体"/>
          <w:color w:val="auto"/>
          <w:kern w:val="0"/>
          <w:sz w:val="22"/>
          <w:szCs w:val="22"/>
          <w:highlight w:val="none"/>
        </w:rPr>
        <w:t>免于履行本合同项下所约定的合同义务，并不得主张解除合同。</w:t>
      </w:r>
    </w:p>
    <w:p>
      <w:pPr>
        <w:pStyle w:val="2"/>
        <w:spacing w:line="360" w:lineRule="auto"/>
        <w:ind w:left="0" w:leftChars="0"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.4 因不可抗力</w:t>
      </w:r>
      <w:r>
        <w:rPr>
          <w:rFonts w:hint="eastAsia" w:ascii="宋体" w:hAnsi="宋体" w:eastAsia="宋体" w:cs="宋体"/>
          <w:color w:val="auto"/>
          <w:sz w:val="22"/>
          <w:szCs w:val="22"/>
          <w:highlight w:val="none"/>
        </w:rPr>
        <w:t>导致本合同目的不能实现或无履行的必要时，甲方有权选择解除合同。</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二</w:t>
      </w:r>
      <w:r>
        <w:rPr>
          <w:rFonts w:hint="eastAsia" w:ascii="宋体" w:hAnsi="宋体" w:eastAsia="宋体" w:cs="宋体"/>
          <w:color w:val="auto"/>
          <w:sz w:val="22"/>
          <w:szCs w:val="22"/>
          <w:highlight w:val="none"/>
        </w:rPr>
        <w:t>、争议解决</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甲乙双方在合作期内，如发生分歧、争议或其他纠纷，应首先通过友好协商解决。如双方的分歧纠纷经过协商不能达成一致时，可向甲方所在地有管辖权的人民法院提起诉讼。</w:t>
      </w:r>
    </w:p>
    <w:p>
      <w:pPr>
        <w:spacing w:line="560" w:lineRule="exact"/>
        <w:ind w:firstLine="61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w:t>
      </w:r>
      <w:r>
        <w:rPr>
          <w:rFonts w:hint="eastAsia" w:ascii="宋体" w:hAnsi="宋体" w:eastAsia="宋体" w:cs="宋体"/>
          <w:color w:val="auto"/>
          <w:sz w:val="22"/>
          <w:szCs w:val="22"/>
          <w:highlight w:val="none"/>
          <w:lang w:val="en-US" w:eastAsia="zh-CN"/>
        </w:rPr>
        <w:t>三</w:t>
      </w:r>
      <w:r>
        <w:rPr>
          <w:rFonts w:hint="eastAsia" w:ascii="宋体" w:hAnsi="宋体" w:eastAsia="宋体" w:cs="宋体"/>
          <w:color w:val="auto"/>
          <w:sz w:val="22"/>
          <w:szCs w:val="22"/>
          <w:highlight w:val="none"/>
        </w:rPr>
        <w:t>、合同生效及其他</w:t>
      </w:r>
    </w:p>
    <w:p>
      <w:pPr>
        <w:pStyle w:val="2"/>
        <w:ind w:left="0"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.1 本合同自双方签字盖章之日起生效。</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.2本合同一式[</w:t>
      </w:r>
      <w:r>
        <w:rPr>
          <w:rFonts w:hint="eastAsia" w:ascii="宋体" w:hAnsi="宋体" w:eastAsia="宋体" w:cs="宋体"/>
          <w:color w:val="auto"/>
          <w:sz w:val="22"/>
          <w:szCs w:val="22"/>
          <w:highlight w:val="none"/>
          <w:lang w:val="en-US" w:eastAsia="zh-CN"/>
        </w:rPr>
        <w:t>陆</w:t>
      </w:r>
      <w:r>
        <w:rPr>
          <w:rFonts w:hint="eastAsia" w:ascii="宋体" w:hAnsi="宋体" w:eastAsia="宋体" w:cs="宋体"/>
          <w:color w:val="auto"/>
          <w:sz w:val="22"/>
          <w:szCs w:val="22"/>
          <w:highlight w:val="none"/>
        </w:rPr>
        <w:t>]份，甲方执[叁]份，乙方执[叁]份</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具有同等法律效力。</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本合同附件构成本合同的组成部分，与本合同具有同等法律效力。</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 关于合同调整的触发机制：</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.3.1 客服业务量大幅增长情形。合同期内如因甲方未来业务发展导致话务量大幅激增，并连续3个月以上，且乙方与甲方共同确认趋势为持续上升的，经科学研判并充分考虑客服话务员的工作饱和度后，甲乙双方可协商签订补充协议，增加项目金额配置更多客服人手或由乙方采取智能化手段保证合同约定运营指标。</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.3.2 客服业务量大幅减少情形。合同期内如因甲方未来业务萎缩导致话务量大幅减少，甲方可向乙方提出降低原客服人员配置，经甲乙双方协商签订补充协议，在保证合同约定运营指标的情况下降低项目合同金额。</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13.3.3 </w:t>
      </w:r>
      <w:r>
        <w:rPr>
          <w:rFonts w:hint="eastAsia" w:ascii="宋体" w:hAnsi="宋体" w:eastAsia="宋体" w:cs="宋体"/>
          <w:color w:val="auto"/>
          <w:sz w:val="22"/>
          <w:szCs w:val="22"/>
          <w:highlight w:val="none"/>
        </w:rPr>
        <w:t>如果本合同的任何条款在任何时候变成不合法、无效或不可强制执行而不从根本上影响本合同的效力时，本合同的其他条款不受影响。</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 xml:space="preserve"> 本合同各条标题仅为提示之用，应以条文内容确定各方的权利义务。</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 xml:space="preserve"> 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本合同的任何内容不应被视为或解释为双方之间具有合资、合伙、代理关系。</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 xml:space="preserve"> 本合同替代此前双方所有关于本合同事项的口头或书面的纪要、备忘录、合同和协议。</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 xml:space="preserve"> 甲乙双方因履行本合同或与本合同有关的一切通知都必须按照本合同中的地址，以书面信函或者传真或者电子邮件方式进行。其中：</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rPr>
        <w:t xml:space="preserve"> 除本合同另有约定外，有关下述任一事项的通知，均应当采用书面信函形式作出，否则，该通知无效，不产生本合同项下的任何通知效力：</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13.3.10.1</w:t>
      </w:r>
      <w:r>
        <w:rPr>
          <w:rFonts w:hint="eastAsia" w:ascii="宋体" w:hAnsi="宋体" w:eastAsia="宋体" w:cs="宋体"/>
          <w:color w:val="auto"/>
          <w:sz w:val="22"/>
          <w:szCs w:val="22"/>
          <w:highlight w:val="none"/>
        </w:rPr>
        <w:t>与本合同费用及支付事宜有关的通知；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13.3.10.2</w:t>
      </w:r>
      <w:r>
        <w:rPr>
          <w:rFonts w:hint="eastAsia" w:ascii="宋体" w:hAnsi="宋体" w:eastAsia="宋体" w:cs="宋体"/>
          <w:color w:val="auto"/>
          <w:sz w:val="22"/>
          <w:szCs w:val="22"/>
          <w:highlight w:val="none"/>
        </w:rPr>
        <w:t>与本合同违约事宜有关的通知；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13.3.10.3</w:t>
      </w:r>
      <w:r>
        <w:rPr>
          <w:rFonts w:hint="eastAsia" w:ascii="宋体" w:hAnsi="宋体" w:eastAsia="宋体" w:cs="宋体"/>
          <w:color w:val="auto"/>
          <w:sz w:val="22"/>
          <w:szCs w:val="22"/>
          <w:highlight w:val="none"/>
        </w:rPr>
        <w:t>与本合同终止、解除或变更事宜有关的通知；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13.3.10.4</w:t>
      </w:r>
      <w:r>
        <w:rPr>
          <w:rFonts w:hint="eastAsia" w:ascii="宋体" w:hAnsi="宋体" w:eastAsia="宋体" w:cs="宋体"/>
          <w:color w:val="auto"/>
          <w:sz w:val="22"/>
          <w:szCs w:val="22"/>
          <w:highlight w:val="none"/>
        </w:rPr>
        <w:t>与本合同延续/续展有关的通知；</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.3.11 本合同约定的各种通知方式的送达标准如下：</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13.3.11.1</w:t>
      </w:r>
      <w:r>
        <w:rPr>
          <w:rFonts w:hint="eastAsia" w:ascii="宋体" w:hAnsi="宋体" w:eastAsia="宋体" w:cs="宋体"/>
          <w:color w:val="auto"/>
          <w:sz w:val="22"/>
          <w:szCs w:val="22"/>
          <w:highlight w:val="none"/>
        </w:rPr>
        <w:t>如采用书面信函形式，应当使用挂号信或者具有良好信誉的特快专递送达，接受方签收挂号信或特快专递的时间（以邮局或快递公司系统记录为准）为通知送达时间；</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13.3.11.2</w:t>
      </w:r>
      <w:r>
        <w:rPr>
          <w:rFonts w:hint="eastAsia" w:ascii="宋体" w:hAnsi="宋体" w:eastAsia="宋体" w:cs="宋体"/>
          <w:color w:val="auto"/>
          <w:sz w:val="22"/>
          <w:szCs w:val="22"/>
          <w:highlight w:val="none"/>
        </w:rPr>
        <w:t>如采用传真方式，传真到达接受方指定传真系统的时间为通知送达时间；</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13.3.11.3</w:t>
      </w:r>
      <w:r>
        <w:rPr>
          <w:rFonts w:hint="eastAsia" w:ascii="宋体" w:hAnsi="宋体" w:eastAsia="宋体" w:cs="宋体"/>
          <w:color w:val="auto"/>
          <w:sz w:val="22"/>
          <w:szCs w:val="22"/>
          <w:highlight w:val="none"/>
        </w:rPr>
        <w:t>如采用电子邮件方式，电子邮件到达接受方指定电子邮箱的时间为通知送达时间。</w:t>
      </w:r>
    </w:p>
    <w:p>
      <w:pPr>
        <w:pStyle w:val="2"/>
        <w:ind w:left="0" w:leftChars="0" w:firstLine="6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13.3.11.4</w:t>
      </w:r>
      <w:r>
        <w:rPr>
          <w:rFonts w:hint="eastAsia" w:ascii="宋体" w:hAnsi="宋体" w:eastAsia="宋体" w:cs="宋体"/>
          <w:color w:val="auto"/>
          <w:sz w:val="22"/>
          <w:szCs w:val="22"/>
          <w:highlight w:val="none"/>
        </w:rPr>
        <w:t>如果因接受方原因（包括但不限于接受方拒收书面信函、接受方传真机关闭或故障、接受方电子邮箱地址不存在或者邮箱已满或者设置拒收等）导致通知发送失败，视为通知已经送达（发送方侧载明的书面信函寄出时间或者传真发送时间或者电子邮件发送时间视为通知送达时间）。</w:t>
      </w:r>
    </w:p>
    <w:p>
      <w:pPr>
        <w:pStyle w:val="2"/>
        <w:ind w:left="0" w:leftChars="0" w:firstLine="640"/>
        <w:rPr>
          <w:rFonts w:hint="eastAsia" w:ascii="宋体" w:hAnsi="宋体" w:eastAsia="宋体" w:cs="宋体"/>
          <w:color w:val="auto"/>
          <w:sz w:val="22"/>
          <w:szCs w:val="22"/>
          <w:highlight w:val="none"/>
        </w:rPr>
      </w:pPr>
    </w:p>
    <w:p>
      <w:pPr>
        <w:pStyle w:val="2"/>
        <w:rPr>
          <w:rFonts w:hint="eastAsia" w:ascii="宋体" w:hAnsi="宋体" w:eastAsia="宋体" w:cs="宋体"/>
          <w:color w:val="auto"/>
          <w:sz w:val="22"/>
          <w:szCs w:val="22"/>
          <w:highlight w:val="none"/>
        </w:rPr>
      </w:pPr>
    </w:p>
    <w:p>
      <w:pPr>
        <w:pStyle w:val="2"/>
        <w:ind w:left="0" w:leftChars="0" w:firstLine="640"/>
        <w:rPr>
          <w:rFonts w:hint="eastAsia" w:ascii="宋体" w:hAnsi="宋体" w:eastAsia="宋体" w:cs="宋体"/>
          <w:color w:val="auto"/>
          <w:sz w:val="22"/>
          <w:szCs w:val="22"/>
          <w:highlight w:val="none"/>
        </w:rPr>
      </w:pPr>
    </w:p>
    <w:p>
      <w:pPr>
        <w:pStyle w:val="2"/>
        <w:ind w:left="0" w:leftChars="0"/>
        <w:rPr>
          <w:rFonts w:hint="eastAsia" w:ascii="宋体" w:hAnsi="宋体" w:eastAsia="宋体" w:cs="宋体"/>
          <w:color w:val="auto"/>
          <w:sz w:val="22"/>
          <w:szCs w:val="22"/>
          <w:highlight w:val="none"/>
        </w:rPr>
      </w:pPr>
    </w:p>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widowControl/>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（签字页）</w:t>
      </w:r>
    </w:p>
    <w:p>
      <w:pPr>
        <w:pStyle w:val="2"/>
        <w:rPr>
          <w:rFonts w:hint="eastAsia" w:ascii="宋体" w:hAnsi="宋体" w:eastAsia="宋体" w:cs="宋体"/>
          <w:color w:val="auto"/>
          <w:sz w:val="22"/>
          <w:szCs w:val="22"/>
          <w:highlight w:val="none"/>
        </w:rPr>
      </w:pPr>
    </w:p>
    <w:p>
      <w:pPr>
        <w:pStyle w:val="2"/>
        <w:rPr>
          <w:rFonts w:hint="eastAsia" w:ascii="宋体" w:hAnsi="宋体" w:eastAsia="宋体" w:cs="宋体"/>
          <w:color w:val="auto"/>
          <w:sz w:val="22"/>
          <w:szCs w:val="22"/>
          <w:highlight w:val="none"/>
        </w:rPr>
      </w:pPr>
    </w:p>
    <w:tbl>
      <w:tblPr>
        <w:tblStyle w:val="50"/>
        <w:tblW w:w="9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14"/>
        <w:gridCol w:w="3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甲方（盖公章）： 东莞</w:t>
            </w:r>
            <w:r>
              <w:rPr>
                <w:rFonts w:hint="eastAsia" w:ascii="宋体" w:hAnsi="宋体" w:eastAsia="宋体" w:cs="宋体"/>
                <w:color w:val="auto"/>
                <w:sz w:val="22"/>
                <w:szCs w:val="22"/>
                <w:highlight w:val="none"/>
                <w:lang w:val="en-US" w:eastAsia="zh-CN"/>
              </w:rPr>
              <w:t>发展控股股份</w:t>
            </w:r>
            <w:r>
              <w:rPr>
                <w:rFonts w:hint="eastAsia" w:ascii="宋体" w:hAnsi="宋体" w:eastAsia="宋体" w:cs="宋体"/>
                <w:color w:val="auto"/>
                <w:sz w:val="22"/>
                <w:szCs w:val="22"/>
                <w:highlight w:val="none"/>
              </w:rPr>
              <w:t xml:space="preserve">有限公司 </w:t>
            </w:r>
          </w:p>
        </w:tc>
        <w:tc>
          <w:tcPr>
            <w:tcW w:w="3574" w:type="dxa"/>
            <w:vAlign w:val="center"/>
          </w:tcPr>
          <w:p>
            <w:pPr>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乙方（盖公章）：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法定代表人（签字）： 　　 </w:t>
            </w:r>
          </w:p>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或其授权的代理人（签字）：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法定代表人（签字）： 　　 </w:t>
            </w:r>
          </w:p>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或其授权的代理人（签字）：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单位地址：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单位地址：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电话：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邮箱：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邮箱：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传真：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传真：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开户银行：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571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帐号：                </w:t>
            </w:r>
          </w:p>
        </w:tc>
        <w:tc>
          <w:tcPr>
            <w:tcW w:w="3574" w:type="dxa"/>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帐号：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9288" w:type="dxa"/>
            <w:gridSpan w:val="2"/>
            <w:vAlign w:val="center"/>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签约时间地点：     年   月   日于东莞</w:t>
            </w:r>
          </w:p>
        </w:tc>
      </w:tr>
    </w:tbl>
    <w:p>
      <w:pPr>
        <w:spacing w:line="560" w:lineRule="exact"/>
        <w:ind w:firstLine="440" w:firstLineChars="200"/>
        <w:rPr>
          <w:rFonts w:hint="eastAsia" w:ascii="宋体" w:hAnsi="宋体" w:eastAsia="宋体" w:cs="宋体"/>
          <w:color w:val="auto"/>
          <w:sz w:val="22"/>
          <w:szCs w:val="22"/>
          <w:highlight w:val="none"/>
        </w:rPr>
      </w:pPr>
    </w:p>
    <w:p>
      <w:pPr>
        <w:spacing w:line="560" w:lineRule="exact"/>
        <w:rPr>
          <w:rFonts w:hint="eastAsia" w:ascii="宋体" w:hAnsi="宋体" w:eastAsia="宋体" w:cs="宋体"/>
          <w:color w:val="auto"/>
          <w:sz w:val="22"/>
          <w:szCs w:val="22"/>
          <w:highlight w:val="none"/>
        </w:rPr>
      </w:pPr>
    </w:p>
    <w:p>
      <w:pPr>
        <w:pStyle w:val="2"/>
        <w:spacing w:line="560" w:lineRule="exact"/>
        <w:ind w:firstLine="640"/>
        <w:rPr>
          <w:rFonts w:hint="eastAsia" w:ascii="宋体" w:hAnsi="宋体" w:eastAsia="宋体" w:cs="宋体"/>
          <w:color w:val="auto"/>
          <w:sz w:val="22"/>
          <w:szCs w:val="22"/>
          <w:highlight w:val="none"/>
        </w:rPr>
      </w:pPr>
    </w:p>
    <w:p>
      <w:pPr>
        <w:pStyle w:val="2"/>
        <w:spacing w:line="5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附件1               </w:t>
      </w:r>
    </w:p>
    <w:tbl>
      <w:tblPr>
        <w:tblStyle w:val="50"/>
        <w:tblpPr w:leftFromText="180" w:rightFromText="180" w:vertAnchor="text" w:horzAnchor="page" w:tblpX="1221" w:tblpY="221"/>
        <w:tblOverlap w:val="neve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5"/>
        <w:gridCol w:w="1365"/>
        <w:gridCol w:w="4695"/>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9870"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客服呼叫中心岗位职责及任职要求表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rPr>
              <w:t>序号</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rPr>
              <w:t>岗位名称</w:t>
            </w:r>
          </w:p>
        </w:tc>
        <w:tc>
          <w:tcPr>
            <w:tcW w:w="4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rPr>
              <w:t>岗位职责</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5"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客服主任</w:t>
            </w:r>
          </w:p>
        </w:tc>
        <w:tc>
          <w:tcPr>
            <w:tcW w:w="4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1.负责与交投集团确定项目运营方向；</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2.统筹项目运营事宜，确保项目相关指标、质量达标；</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3.负责对接、调研交投新增的业务板块内容，制订割接计划；</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4.负责总体人员绩效管理和考核；</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5.集团统一客服平台咨询服务项目费用管控相关工作，</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6.提供整理运营管理咨询服务，优化整体项目运营</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7.协助交投集团对项目的各项指标进行考核；</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8.配合交投集团做好其他临时任务。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1.具备5年以上同类项目管理经验；</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2.本科及以上学历（或学位）；</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3.具较强的文字撰写能力。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5"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现场主管</w:t>
            </w:r>
          </w:p>
        </w:tc>
        <w:tc>
          <w:tcPr>
            <w:tcW w:w="4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1.根据客服主任要求落实工作安排，对业务流程进行梳理；</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2.对运营关键指标进行管控；</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3.按话务预测制定排班；</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4.现场人员整体调度；</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5.突发应急事件处理；</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6.负责数据统计、分析，按交投集团要求做好日常周报、月报、季报及年报等；</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7.确保客服现场有序运作；</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8.配合交投集团做好其他临时任务。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1.具备3年以上同类项目主管经验；</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2.大专及以上学历（或学位）；</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3.具较强的文字撰写能力。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0"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知识库采编兼</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质检员</w:t>
            </w:r>
          </w:p>
        </w:tc>
        <w:tc>
          <w:tcPr>
            <w:tcW w:w="4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1.负责与下属各企业专职人员对接，及时了解知识库更新内容；</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2.及时更新系统知识库；</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3.将更新后的内容及时列入班前会议程；</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4.现场监听客服话务员工作用语以及服务态度；</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5.每月抽检录音，对客服话务员的用作用语以及服务态度进行检查；</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6.及时将质检结果进行通报，并进行相应辅导。</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7.配合交投集团做好其他临时任务。</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1.具备2年以上同类项目支撑经验；</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2.大专及以上学历（或学位）。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0" w:hRule="atLeast"/>
        </w:trPr>
        <w:tc>
          <w:tcPr>
            <w:tcW w:w="5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4</w:t>
            </w:r>
          </w:p>
        </w:tc>
        <w:tc>
          <w:tcPr>
            <w:tcW w:w="13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客服班长</w:t>
            </w:r>
          </w:p>
        </w:tc>
        <w:tc>
          <w:tcPr>
            <w:tcW w:w="469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1.协助制订现场业务管理规范流程；</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2.对班组人员进行现场管控，保障接通率，及时将质检结果进行通报，并进行相应辅导，提升客服人员工作效率；</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3.负责班组人员考勤情况，制订考勤记录表；</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4.对突发事件进行升级，及时上报并主动协助有关企业进行处理；</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5.对班组人员（包括新增人员）进行业务培训（包括业务知识更新后的培训）</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6.召开班前会，将知识库更新内容落到实处。</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7.负责做好后勤保障相关事项，包括但不限于协助班组人员申请就餐卡、门禁卡，采购办公用品及其他日常事务；</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8.配合交投集团做好其他临时任务。</w:t>
            </w:r>
          </w:p>
        </w:tc>
        <w:tc>
          <w:tcPr>
            <w:tcW w:w="3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1.具备2年以上同类项目班长经验；</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2.大专及以上学历（或学位）；</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3.具较强的责任心和凝聚力。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0" w:hRule="atLeast"/>
        </w:trPr>
        <w:tc>
          <w:tcPr>
            <w:tcW w:w="5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5</w:t>
            </w:r>
          </w:p>
        </w:tc>
        <w:tc>
          <w:tcPr>
            <w:tcW w:w="1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话务员</w:t>
            </w:r>
          </w:p>
        </w:tc>
        <w:tc>
          <w:tcPr>
            <w:tcW w:w="4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1.负责接听群众来电，解答各类咨询问题；</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2.记录投诉问题，并及时派发工单；</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3.处理东莞阳光网、政府热线工单以及东莞通APP、官方微信公众号等渠道接入的投诉、咨询等问题，及时按要求做好统计表；</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4.对各事项进行分类归档。</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5.按业务职能范围下发工单；</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6.对工单进行督办；</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7.在规定的时间内回访市民。</w:t>
            </w:r>
          </w:p>
        </w:tc>
        <w:tc>
          <w:tcPr>
            <w:tcW w:w="32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1.18-35岁;</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2.粤语、普通话标准，声音悦耳、富有感染力、亲和力优先;</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3.良好的表达及沟通能力，掌握基本办公软件操作，打字速度50字/分钟以上;</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4.能接受夜班以及轮班安排;</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5.专业不限，大专及以上学历、有呼叫中心客服 经验优先。</w:t>
            </w:r>
          </w:p>
        </w:tc>
      </w:tr>
    </w:tbl>
    <w:p>
      <w:pPr>
        <w:pStyle w:val="2"/>
        <w:ind w:left="0" w:leftChars="0" w:firstLine="0" w:firstLineChars="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附件2</w:t>
      </w:r>
    </w:p>
    <w:p>
      <w:pPr>
        <w:pStyle w:val="2"/>
        <w:spacing w:line="56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客服呼叫中心运营服务外包项目保密协议</w:t>
      </w:r>
    </w:p>
    <w:p>
      <w:pPr>
        <w:spacing w:line="560" w:lineRule="exact"/>
        <w:rPr>
          <w:rFonts w:hint="eastAsia" w:ascii="宋体" w:hAnsi="宋体" w:eastAsia="宋体" w:cs="宋体"/>
          <w:color w:val="auto"/>
          <w:sz w:val="22"/>
          <w:szCs w:val="22"/>
          <w:highlight w:val="none"/>
        </w:rPr>
      </w:pPr>
    </w:p>
    <w:p>
      <w:pPr>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甲方：   </w:t>
      </w:r>
    </w:p>
    <w:p>
      <w:pPr>
        <w:spacing w:line="5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乙方：                              </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经甲、乙双方协商一致，乙方在完成合作项目期间，乙方人员就保守甲方的商业秘密保密事项达成如下协议：</w:t>
      </w:r>
    </w:p>
    <w:p>
      <w:pPr>
        <w:numPr>
          <w:ilvl w:val="0"/>
          <w:numId w:val="57"/>
        </w:num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乙方在与甲方交流与合作期间必须遵守《中华人民共和国保守国家秘密法》《中华人民共和国反不正当竞争法》《中华人民共和国保守国家秘密法实施条例》等相关规定和甲方的保密要求。</w:t>
      </w:r>
    </w:p>
    <w:p>
      <w:pPr>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保密信息是指乙方从甲方及其关联公司获得的保密信息、资料，包括但不限于以下内容：业务数据、市场分析报表、用户行为分析数据、用户信息数据、工单记录、系统设计文档、程序代码、系统日志等。上述保密信息可以以数据、文字及记载上述内容的文档、光盘、软件、图书等有形介质体现，也可通过口头等视听方式传递。且不论在披露时是否以口头、图像或以书面方式表明其具有保密性。</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四、不得将保密信息用于项目以外的任何用途。除为执行项目目的外，不对保密信息进行复制。未经甲方同意，不得利用保密信息进行新的研究或开发。</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乙方必须对保密信息予以妥善保管，不得向本项目之外的任何第三方泄漏所掌握的这些保密信息。在保密期间如发生保密信息被盗、泄露，或者其他方式的泄露及/或毁损、灭失的，由乙方承担全部责任，并应当赔偿甲方及甲方关联方的一切损失。</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六、除执行项目相关的工作人员（雇员、股东、董事、顾问和/或咨询人员），不得向其他人披露保密信息，乙方同时须对上述人员作出相关保密要求，并对上述人员的保密行为进行有效的监督管理。</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七、项目终止后，乙方应及时将承载保密信息的介质原件及复制件全部返还甲方，最迟不得超过甲方发出交还通知之日起[三十]日。上述限制条款不适用于以下情况：</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（一）在依本合同披露之时，该保密信息已经公开或能从公开领域获得。</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（二）经甲方书面同意对外披露，但仅限于甲方书面同意的范围、方式且遵循书面同意中规定的其他前提条件。</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（三）乙方应法律、行政法规要求披露的信息（通过口头提问、询问、要求资料或文件、传唤、民事或刑事调查或其他程序披露保密信息）。</w:t>
      </w:r>
    </w:p>
    <w:p>
      <w:pPr>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乙方以第（三）条规定作出披露的，至少于实际作出披露行为前[五]个工作日通知甲方，说明其拟根据上述约定披露有关的保密信息，并就披露对象和披露范围、方式等作出说明，并在要求范围内进行合理披露。</w:t>
      </w:r>
    </w:p>
    <w:p>
      <w:pPr>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八、乙方未履行或未完全履行本合同项下的条款均构成违约，应赔偿因此而给甲方造成的一切损失（包括直接和间接损失），包括但不限于甲方因调查违约行为而支付的合理费用。并且乙方还应采取各种合理方法挽回泄密造成的影响，尽可能使秘密信息继续处于保密状态；同时，本协议继续有效。</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九、甲方在履行本合同的任何条款时，如有放松、放弃或迟延，均不构成对甲方在本合同下任何权利的不利影响或限制。如果甲方对某一违约行为免予追究，并不构成放弃追究乙方随后或持续违约行为的权利。</w:t>
      </w:r>
    </w:p>
    <w:p>
      <w:pPr>
        <w:numPr>
          <w:ilvl w:val="0"/>
          <w:numId w:val="0"/>
        </w:num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十、乙方未经甲方同意不得向第三方转让甲方招标的相关资料。不得随意向第三方披露双方合作的内容。</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一、乙方在代理招标过程中，对知悉的甲方技术和商业秘密，一定严格保密。对在代理招标过程中取得的相关资料不用于与本项目招标无关的事项，招标代理工作结束后形成的工作资料要及时交给甲方。乙方不得利用以上资料为公开报刊及其他媒体撰写稿件，完成代理工作后及时将保密资料删除。</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二、乙方未履行本协议或违反本协议的有关要求均应视为违约，应当承担违约责任。甲方可以视情要求乙方限期整改或停止与乙方的技术合作。整改期间，乙方不得承接任何工作。造成泄密后果的按《保密法》及其他有关规定处理。</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三、为更好地履行本协议的要求、双方约定，乙方违反协议，应向甲方支付违约金：第一次违反行为，乙方的违约金为《客服呼叫中心运营服务外包项目合同》合同金额的20%；第二次违反行为，违约金则在第一次的基础上相应加倍，以此类推。上述违约金不足以弥补甲方损失的（包括直接和间接损失），甲方还有权要求乙方赔偿损失。</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十四、本协议作为《客服呼叫中心运营服务外包项目合同》的附件，与《客服呼叫中心运营服务外包项目合同》具有同等效力，经双方签署后立即生效。</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十五、本保密协议书自双方签字盖章之日起生效，乙方保密义务的期限为长期，直至该等信息经甲方书面确认不再构成商业秘密时为止。</w:t>
      </w:r>
    </w:p>
    <w:p>
      <w:pPr>
        <w:spacing w:line="56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十六、本协议受中华人民共和国的法律管辖。在本协议履行中所产生的争议，由双方通过协商解决；协商不成时，任何一方均应向甲方住所地有管辖权的人民法院起诉。</w:t>
      </w:r>
    </w:p>
    <w:p>
      <w:pPr>
        <w:pStyle w:val="2"/>
        <w:spacing w:line="560" w:lineRule="exact"/>
        <w:ind w:firstLine="440" w:firstLineChars="200"/>
        <w:jc w:val="left"/>
        <w:rPr>
          <w:rFonts w:hint="eastAsia" w:ascii="宋体" w:hAnsi="宋体" w:eastAsia="宋体" w:cs="宋体"/>
          <w:color w:val="auto"/>
          <w:sz w:val="22"/>
          <w:szCs w:val="22"/>
          <w:highlight w:val="none"/>
        </w:rPr>
      </w:pPr>
    </w:p>
    <w:p>
      <w:pPr>
        <w:spacing w:line="560" w:lineRule="exact"/>
        <w:ind w:firstLine="440" w:firstLineChars="200"/>
        <w:jc w:val="left"/>
        <w:rPr>
          <w:rFonts w:hint="eastAsia" w:ascii="宋体" w:hAnsi="宋体" w:eastAsia="宋体" w:cs="宋体"/>
          <w:color w:val="auto"/>
          <w:sz w:val="22"/>
          <w:szCs w:val="22"/>
          <w:highlight w:val="none"/>
        </w:rPr>
      </w:pPr>
    </w:p>
    <w:tbl>
      <w:tblPr>
        <w:tblStyle w:val="50"/>
        <w:tblW w:w="8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8"/>
        <w:gridCol w:w="4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4258" w:type="dxa"/>
            <w:vAlign w:val="top"/>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甲方单位（盖章）：</w:t>
            </w:r>
          </w:p>
        </w:tc>
        <w:tc>
          <w:tcPr>
            <w:tcW w:w="4258" w:type="dxa"/>
            <w:vAlign w:val="top"/>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0" w:hRule="atLeast"/>
          <w:jc w:val="center"/>
        </w:trPr>
        <w:tc>
          <w:tcPr>
            <w:tcW w:w="4258" w:type="dxa"/>
            <w:vAlign w:val="top"/>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w:t>
            </w:r>
          </w:p>
          <w:p>
            <w:pPr>
              <w:spacing w:line="560" w:lineRule="exact"/>
              <w:jc w:val="left"/>
              <w:rPr>
                <w:rFonts w:hint="eastAsia" w:ascii="宋体" w:hAnsi="宋体" w:eastAsia="宋体" w:cs="宋体"/>
                <w:color w:val="auto"/>
                <w:sz w:val="22"/>
                <w:szCs w:val="22"/>
                <w:highlight w:val="none"/>
              </w:rPr>
            </w:pPr>
          </w:p>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（或受权代理人）签字：</w:t>
            </w:r>
          </w:p>
        </w:tc>
        <w:tc>
          <w:tcPr>
            <w:tcW w:w="4258" w:type="dxa"/>
            <w:vAlign w:val="top"/>
          </w:tcPr>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w:t>
            </w:r>
          </w:p>
          <w:p>
            <w:pPr>
              <w:spacing w:line="560" w:lineRule="exact"/>
              <w:jc w:val="left"/>
              <w:rPr>
                <w:rFonts w:hint="eastAsia" w:ascii="宋体" w:hAnsi="宋体" w:eastAsia="宋体" w:cs="宋体"/>
                <w:color w:val="auto"/>
                <w:sz w:val="22"/>
                <w:szCs w:val="22"/>
                <w:highlight w:val="none"/>
              </w:rPr>
            </w:pPr>
          </w:p>
          <w:p>
            <w:pPr>
              <w:spacing w:line="5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（或受权代理人）签字：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jc w:val="center"/>
        </w:trPr>
        <w:tc>
          <w:tcPr>
            <w:tcW w:w="4258" w:type="dxa"/>
            <w:vAlign w:val="center"/>
          </w:tcPr>
          <w:p>
            <w:pPr>
              <w:spacing w:line="56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月     日</w:t>
            </w:r>
          </w:p>
        </w:tc>
        <w:tc>
          <w:tcPr>
            <w:tcW w:w="4258" w:type="dxa"/>
            <w:vAlign w:val="center"/>
          </w:tcPr>
          <w:p>
            <w:pPr>
              <w:spacing w:line="560" w:lineRule="exact"/>
              <w:jc w:val="right"/>
              <w:rPr>
                <w:rFonts w:hint="eastAsia" w:ascii="宋体" w:hAnsi="宋体" w:eastAsia="宋体" w:cs="宋体"/>
                <w:color w:val="auto"/>
                <w:sz w:val="22"/>
                <w:szCs w:val="22"/>
                <w:highlight w:val="none"/>
              </w:rPr>
            </w:pPr>
          </w:p>
        </w:tc>
      </w:tr>
    </w:tbl>
    <w:p>
      <w:pPr>
        <w:widowControl/>
        <w:jc w:val="left"/>
        <w:rPr>
          <w:rFonts w:ascii="宋体" w:hAnsi="宋体"/>
          <w:color w:val="auto"/>
          <w:sz w:val="22"/>
          <w:szCs w:val="22"/>
          <w:highlight w:val="none"/>
        </w:rPr>
      </w:pPr>
    </w:p>
    <w:p>
      <w:pPr>
        <w:widowControl/>
        <w:jc w:val="left"/>
        <w:rPr>
          <w:rFonts w:ascii="Times New Roman" w:hAnsi="Times New Roman"/>
          <w:color w:val="auto"/>
          <w:sz w:val="36"/>
          <w:szCs w:val="36"/>
          <w:highlight w:val="none"/>
        </w:rPr>
      </w:pPr>
    </w:p>
    <w:p>
      <w:pPr>
        <w:rPr>
          <w:rFonts w:ascii="Times New Roman" w:hAnsi="Times New Roman" w:eastAsiaTheme="minorEastAsia"/>
          <w:color w:val="auto"/>
          <w:highlight w:val="none"/>
        </w:rPr>
      </w:pPr>
      <w:bookmarkStart w:id="184" w:name="_Toc61529864"/>
      <w:r>
        <w:rPr>
          <w:rFonts w:ascii="Times New Roman" w:hAnsi="Times New Roman" w:eastAsiaTheme="minorEastAsia"/>
          <w:color w:val="auto"/>
          <w:highlight w:val="none"/>
        </w:rPr>
        <w:br w:type="page"/>
      </w:r>
    </w:p>
    <w:p>
      <w:pPr>
        <w:pStyle w:val="4"/>
        <w:jc w:val="center"/>
        <w:rPr>
          <w:rFonts w:ascii="Times New Roman" w:hAnsi="Times New Roman" w:eastAsiaTheme="minorEastAsia"/>
          <w:color w:val="auto"/>
          <w:highlight w:val="none"/>
        </w:rPr>
      </w:pPr>
      <w:r>
        <w:rPr>
          <w:rFonts w:ascii="Times New Roman" w:hAnsi="Times New Roman" w:eastAsiaTheme="minorEastAsia"/>
          <w:color w:val="auto"/>
          <w:highlight w:val="none"/>
        </w:rPr>
        <w:t>第六章 投标文件格式</w:t>
      </w:r>
      <w:bookmarkEnd w:id="183"/>
      <w:bookmarkEnd w:id="184"/>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widowControl/>
        <w:jc w:val="left"/>
        <w:rPr>
          <w:rFonts w:ascii="Times New Roman" w:hAnsi="Times New Roman"/>
          <w:b/>
          <w:color w:val="auto"/>
          <w:sz w:val="52"/>
          <w:highlight w:val="none"/>
        </w:rPr>
      </w:pPr>
      <w:r>
        <w:rPr>
          <w:rFonts w:ascii="Times New Roman" w:hAnsi="Times New Roman"/>
          <w:b/>
          <w:color w:val="auto"/>
          <w:sz w:val="52"/>
          <w:highlight w:val="none"/>
        </w:rPr>
        <w:br w:type="page"/>
      </w:r>
    </w:p>
    <w:p>
      <w:pPr>
        <w:spacing w:after="60" w:line="360" w:lineRule="auto"/>
        <w:ind w:left="2349" w:hanging="2349" w:hangingChars="500"/>
        <w:jc w:val="center"/>
        <w:outlineLvl w:val="1"/>
        <w:rPr>
          <w:rFonts w:ascii="Times New Roman" w:hAnsi="Times New Roman"/>
          <w:b/>
          <w:bCs/>
          <w:color w:val="auto"/>
          <w:spacing w:val="-6"/>
          <w:sz w:val="48"/>
          <w:szCs w:val="48"/>
          <w:highlight w:val="none"/>
        </w:rPr>
      </w:pPr>
      <w:bookmarkStart w:id="185" w:name="_Toc439325709"/>
      <w:bookmarkStart w:id="186" w:name="_Toc61529865"/>
      <w:bookmarkStart w:id="187" w:name="_Toc441844112"/>
      <w:bookmarkStart w:id="188" w:name="_Toc454875049"/>
      <w:r>
        <w:rPr>
          <w:rFonts w:ascii="Times New Roman" w:hAnsi="Times New Roman"/>
          <w:b/>
          <w:bCs/>
          <w:color w:val="auto"/>
          <w:spacing w:val="-6"/>
          <w:sz w:val="48"/>
          <w:szCs w:val="48"/>
          <w:highlight w:val="none"/>
        </w:rPr>
        <w:t>一、价格部分文件</w:t>
      </w:r>
      <w:bookmarkEnd w:id="185"/>
      <w:bookmarkEnd w:id="186"/>
      <w:bookmarkEnd w:id="187"/>
      <w:bookmarkEnd w:id="188"/>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rPr>
          <w:rFonts w:ascii="Times New Roman" w:hAnsi="Times New Roman"/>
          <w:b/>
          <w:color w:val="auto"/>
          <w:sz w:val="32"/>
          <w:szCs w:val="32"/>
          <w:highlight w:val="none"/>
          <w:u w:val="single"/>
        </w:rPr>
      </w:pPr>
      <w:r>
        <w:rPr>
          <w:rFonts w:ascii="Times New Roman" w:hAnsi="Times New Roman" w:eastAsia="新宋体"/>
          <w:b/>
          <w:bCs/>
          <w:color w:val="auto"/>
          <w:spacing w:val="-6"/>
          <w:sz w:val="32"/>
          <w:szCs w:val="32"/>
          <w:highlight w:val="none"/>
        </w:rPr>
        <w:t xml:space="preserve">项目名称: </w:t>
      </w:r>
    </w:p>
    <w:p>
      <w:pPr>
        <w:spacing w:after="60" w:line="360" w:lineRule="auto"/>
        <w:rPr>
          <w:rFonts w:ascii="Times New Roman" w:hAnsi="Times New Roman" w:eastAsia="新宋体"/>
          <w:b/>
          <w:bCs/>
          <w:color w:val="auto"/>
          <w:sz w:val="32"/>
          <w:szCs w:val="32"/>
          <w:highlight w:val="none"/>
        </w:rPr>
      </w:pPr>
    </w:p>
    <w:p>
      <w:pPr>
        <w:spacing w:after="60" w:line="360" w:lineRule="auto"/>
        <w:rPr>
          <w:rFonts w:ascii="Times New Roman" w:hAnsi="Times New Roman"/>
          <w:b/>
          <w:color w:val="auto"/>
          <w:sz w:val="32"/>
          <w:szCs w:val="32"/>
          <w:highlight w:val="none"/>
          <w:u w:val="single"/>
        </w:rPr>
      </w:pPr>
      <w:r>
        <w:rPr>
          <w:rFonts w:hint="eastAsia" w:ascii="Times New Roman" w:hAnsi="Times New Roman" w:eastAsia="新宋体"/>
          <w:b/>
          <w:bCs/>
          <w:color w:val="auto"/>
          <w:sz w:val="32"/>
          <w:szCs w:val="32"/>
          <w:highlight w:val="none"/>
        </w:rPr>
        <w:t>项目</w:t>
      </w:r>
      <w:r>
        <w:rPr>
          <w:rFonts w:ascii="Times New Roman" w:hAnsi="Times New Roman" w:eastAsia="新宋体"/>
          <w:b/>
          <w:bCs/>
          <w:color w:val="auto"/>
          <w:sz w:val="32"/>
          <w:szCs w:val="32"/>
          <w:highlight w:val="none"/>
        </w:rPr>
        <w:t>编号:</w:t>
      </w:r>
      <w:r>
        <w:rPr>
          <w:rFonts w:hint="eastAsia" w:ascii="Times New Roman" w:hAnsi="Times New Roman" w:eastAsia="新宋体"/>
          <w:b/>
          <w:bCs/>
          <w:color w:val="auto"/>
          <w:sz w:val="32"/>
          <w:szCs w:val="32"/>
          <w:highlight w:val="none"/>
        </w:rPr>
        <w:t xml:space="preserve">                        包号：</w:t>
      </w:r>
    </w:p>
    <w:p>
      <w:pPr>
        <w:tabs>
          <w:tab w:val="left" w:pos="1440"/>
          <w:tab w:val="left" w:pos="1620"/>
        </w:tabs>
        <w:spacing w:after="60" w:line="360" w:lineRule="auto"/>
        <w:rPr>
          <w:rFonts w:ascii="Times New Roman" w:hAnsi="Times New Roman"/>
          <w:b/>
          <w:color w:val="auto"/>
          <w:sz w:val="32"/>
          <w:szCs w:val="32"/>
          <w:highlight w:val="none"/>
        </w:rPr>
      </w:pPr>
    </w:p>
    <w:p>
      <w:pPr>
        <w:tabs>
          <w:tab w:val="left" w:pos="1440"/>
          <w:tab w:val="left" w:pos="1620"/>
        </w:tabs>
        <w:spacing w:after="60" w:line="360" w:lineRule="auto"/>
        <w:rPr>
          <w:rFonts w:ascii="Times New Roman" w:hAnsi="Times New Roman"/>
          <w:color w:val="auto"/>
          <w:highlight w:val="none"/>
          <w:u w:val="single"/>
        </w:rPr>
      </w:pPr>
      <w:r>
        <w:rPr>
          <w:rFonts w:ascii="Times New Roman" w:hAnsi="Times New Roman"/>
          <w:b/>
          <w:color w:val="auto"/>
          <w:sz w:val="32"/>
          <w:szCs w:val="32"/>
          <w:highlight w:val="none"/>
        </w:rPr>
        <w:t>投 标 人（</w:t>
      </w:r>
      <w:r>
        <w:rPr>
          <w:rFonts w:hint="eastAsia" w:ascii="Times New Roman" w:hAnsi="Times New Roman"/>
          <w:b/>
          <w:color w:val="auto"/>
          <w:sz w:val="32"/>
          <w:szCs w:val="32"/>
          <w:highlight w:val="none"/>
        </w:rPr>
        <w:t>加盖公章</w:t>
      </w:r>
      <w:r>
        <w:rPr>
          <w:rFonts w:ascii="Times New Roman" w:hAnsi="Times New Roman"/>
          <w:b/>
          <w:color w:val="auto"/>
          <w:sz w:val="32"/>
          <w:szCs w:val="32"/>
          <w:highlight w:val="none"/>
        </w:rPr>
        <w:t>）:</w:t>
      </w:r>
    </w:p>
    <w:p>
      <w:pPr>
        <w:spacing w:line="560" w:lineRule="exact"/>
        <w:rPr>
          <w:rFonts w:ascii="Times New Roman" w:hAnsi="Times New Roman"/>
          <w:b/>
          <w:color w:val="auto"/>
          <w:sz w:val="32"/>
          <w:szCs w:val="32"/>
          <w:highlight w:val="none"/>
        </w:rPr>
      </w:pPr>
    </w:p>
    <w:p>
      <w:pPr>
        <w:spacing w:line="560" w:lineRule="exact"/>
        <w:rPr>
          <w:rFonts w:ascii="Times New Roman" w:hAnsi="Times New Roman"/>
          <w:b/>
          <w:color w:val="auto"/>
          <w:sz w:val="32"/>
          <w:szCs w:val="32"/>
          <w:highlight w:val="none"/>
        </w:rPr>
      </w:pPr>
      <w:r>
        <w:rPr>
          <w:rFonts w:hint="eastAsia" w:cs="宋体" w:asciiTheme="minorEastAsia" w:hAnsiTheme="minorEastAsia" w:eastAsiaTheme="minorEastAsia"/>
          <w:b/>
          <w:color w:val="auto"/>
          <w:sz w:val="32"/>
          <w:szCs w:val="32"/>
          <w:highlight w:val="none"/>
        </w:rPr>
        <w:t>投标人法定代表人或被授权人（签名或盖私章）</w:t>
      </w:r>
      <w:r>
        <w:rPr>
          <w:rFonts w:ascii="Times New Roman" w:hAnsi="Times New Roman"/>
          <w:b/>
          <w:color w:val="auto"/>
          <w:sz w:val="32"/>
          <w:szCs w:val="32"/>
          <w:highlight w:val="none"/>
        </w:rPr>
        <w:t>：</w:t>
      </w:r>
    </w:p>
    <w:p>
      <w:pPr>
        <w:spacing w:after="60" w:line="360" w:lineRule="auto"/>
        <w:rPr>
          <w:rFonts w:ascii="Times New Roman" w:hAnsi="Times New Roman"/>
          <w:b/>
          <w:color w:val="auto"/>
          <w:sz w:val="52"/>
          <w:highlight w:val="none"/>
        </w:rPr>
      </w:pPr>
    </w:p>
    <w:p>
      <w:pPr>
        <w:spacing w:after="60" w:line="360" w:lineRule="auto"/>
        <w:jc w:val="center"/>
        <w:rPr>
          <w:rFonts w:ascii="Times New Roman" w:hAnsi="Times New Roman"/>
          <w:b/>
          <w:color w:val="auto"/>
          <w:sz w:val="52"/>
          <w:highlight w:val="none"/>
        </w:rPr>
      </w:pPr>
      <w:r>
        <w:rPr>
          <w:rFonts w:ascii="Times New Roman" w:hAnsi="Times New Roman"/>
          <w:b/>
          <w:color w:val="auto"/>
          <w:sz w:val="30"/>
          <w:szCs w:val="32"/>
          <w:highlight w:val="none"/>
        </w:rPr>
        <w:t>年  月</w:t>
      </w:r>
      <w:bookmarkStart w:id="189" w:name="_Toc441844113"/>
      <w:r>
        <w:rPr>
          <w:rFonts w:hint="eastAsia" w:ascii="Times New Roman" w:hAnsi="Times New Roman"/>
          <w:b/>
          <w:color w:val="auto"/>
          <w:sz w:val="30"/>
          <w:szCs w:val="32"/>
          <w:highlight w:val="none"/>
        </w:rPr>
        <w:t xml:space="preserve"> </w:t>
      </w:r>
      <w:r>
        <w:rPr>
          <w:rFonts w:ascii="Times New Roman" w:hAnsi="Times New Roman"/>
          <w:b/>
          <w:color w:val="auto"/>
          <w:sz w:val="30"/>
          <w:szCs w:val="32"/>
          <w:highlight w:val="none"/>
        </w:rPr>
        <w:t xml:space="preserve"> </w:t>
      </w:r>
      <w:r>
        <w:rPr>
          <w:rFonts w:hint="eastAsia" w:ascii="Times New Roman" w:hAnsi="Times New Roman"/>
          <w:b/>
          <w:color w:val="auto"/>
          <w:sz w:val="30"/>
          <w:szCs w:val="32"/>
          <w:highlight w:val="none"/>
        </w:rPr>
        <w:t>日</w:t>
      </w:r>
    </w:p>
    <w:p>
      <w:pPr>
        <w:widowControl/>
        <w:jc w:val="left"/>
        <w:rPr>
          <w:rFonts w:ascii="Times New Roman" w:hAnsi="Times New Roman"/>
          <w:b/>
          <w:color w:val="auto"/>
          <w:szCs w:val="21"/>
          <w:highlight w:val="none"/>
        </w:rPr>
      </w:pPr>
      <w:r>
        <w:rPr>
          <w:rFonts w:ascii="Times New Roman" w:hAnsi="Times New Roman"/>
          <w:b/>
          <w:color w:val="auto"/>
          <w:szCs w:val="21"/>
          <w:highlight w:val="none"/>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auto"/>
          <w:sz w:val="22"/>
          <w:szCs w:val="22"/>
          <w:highlight w:val="none"/>
        </w:rPr>
      </w:pPr>
      <w:bookmarkStart w:id="190" w:name="_Toc61529866"/>
      <w:r>
        <w:rPr>
          <w:rFonts w:ascii="宋体" w:hAnsi="宋体"/>
          <w:b/>
          <w:color w:val="auto"/>
          <w:sz w:val="22"/>
          <w:szCs w:val="22"/>
          <w:highlight w:val="none"/>
        </w:rPr>
        <w:t>1、投标报价一览表</w:t>
      </w:r>
      <w:bookmarkEnd w:id="189"/>
      <w:bookmarkEnd w:id="190"/>
    </w:p>
    <w:p>
      <w:pPr>
        <w:pStyle w:val="25"/>
        <w:spacing w:line="360" w:lineRule="auto"/>
        <w:jc w:val="left"/>
        <w:rPr>
          <w:rFonts w:hAnsi="宋体" w:cs="Times New Roman"/>
          <w:color w:val="auto"/>
          <w:sz w:val="22"/>
          <w:highlight w:val="none"/>
        </w:rPr>
      </w:pPr>
    </w:p>
    <w:p>
      <w:pPr>
        <w:pStyle w:val="25"/>
        <w:spacing w:line="360" w:lineRule="auto"/>
        <w:jc w:val="left"/>
        <w:rPr>
          <w:rFonts w:hAnsi="宋体" w:cs="Times New Roman"/>
          <w:color w:val="auto"/>
          <w:sz w:val="22"/>
          <w:highlight w:val="none"/>
        </w:rPr>
      </w:pPr>
      <w:r>
        <w:rPr>
          <w:rFonts w:hint="eastAsia" w:hAnsi="宋体" w:cs="Times New Roman"/>
          <w:color w:val="auto"/>
          <w:sz w:val="22"/>
          <w:highlight w:val="none"/>
        </w:rPr>
        <w:t xml:space="preserve">项目名称： </w:t>
      </w:r>
      <w:r>
        <w:rPr>
          <w:rFonts w:hAnsi="宋体" w:cs="Times New Roman"/>
          <w:color w:val="auto"/>
          <w:sz w:val="22"/>
          <w:highlight w:val="none"/>
        </w:rPr>
        <w:t xml:space="preserve">                    </w:t>
      </w:r>
      <w:r>
        <w:rPr>
          <w:rFonts w:hint="eastAsia" w:hAnsi="宋体" w:cs="Times New Roman"/>
          <w:color w:val="auto"/>
          <w:sz w:val="22"/>
          <w:highlight w:val="none"/>
        </w:rPr>
        <w:t>项目</w:t>
      </w:r>
      <w:r>
        <w:rPr>
          <w:rFonts w:hAnsi="宋体" w:cs="Times New Roman"/>
          <w:color w:val="auto"/>
          <w:sz w:val="22"/>
          <w:highlight w:val="none"/>
        </w:rPr>
        <w:t xml:space="preserve">编号：                        </w:t>
      </w:r>
      <w:r>
        <w:rPr>
          <w:rFonts w:hint="eastAsia" w:hAnsi="宋体" w:cs="Times New Roman"/>
          <w:color w:val="auto"/>
          <w:sz w:val="22"/>
          <w:highlight w:val="none"/>
        </w:rPr>
        <w:t>包号：</w:t>
      </w:r>
      <w:r>
        <w:rPr>
          <w:rFonts w:hAnsi="宋体" w:cs="Times New Roman"/>
          <w:color w:val="auto"/>
          <w:sz w:val="22"/>
          <w:highlight w:val="none"/>
        </w:rPr>
        <w:t xml:space="preserve">                      </w:t>
      </w:r>
    </w:p>
    <w:p>
      <w:pPr>
        <w:pStyle w:val="25"/>
        <w:spacing w:line="360" w:lineRule="auto"/>
        <w:jc w:val="right"/>
        <w:rPr>
          <w:rFonts w:hAnsi="宋体" w:cs="Times New Roman"/>
          <w:color w:val="auto"/>
          <w:sz w:val="22"/>
          <w:highlight w:val="none"/>
        </w:rPr>
      </w:pPr>
      <w:r>
        <w:rPr>
          <w:rFonts w:hAnsi="宋体" w:cs="Times New Roman"/>
          <w:color w:val="auto"/>
          <w:sz w:val="22"/>
          <w:highlight w:val="none"/>
        </w:rPr>
        <w:t>[货币单位：人民币元]</w:t>
      </w:r>
    </w:p>
    <w:tbl>
      <w:tblPr>
        <w:tblStyle w:val="50"/>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3022"/>
        <w:gridCol w:w="2437"/>
        <w:gridCol w:w="1800"/>
        <w:gridCol w:w="1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2"/>
                <w:szCs w:val="22"/>
                <w:highlight w:val="none"/>
                <w:lang w:val="zh-CN"/>
              </w:rPr>
            </w:pPr>
            <w:r>
              <w:rPr>
                <w:rFonts w:hint="eastAsia" w:ascii="宋体" w:hAnsi="宋体"/>
                <w:b/>
                <w:color w:val="auto"/>
                <w:sz w:val="22"/>
                <w:szCs w:val="22"/>
                <w:highlight w:val="none"/>
                <w:lang w:val="zh-CN"/>
              </w:rPr>
              <w:t>序号</w:t>
            </w:r>
          </w:p>
        </w:tc>
        <w:tc>
          <w:tcPr>
            <w:tcW w:w="3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b/>
                <w:color w:val="auto"/>
                <w:sz w:val="22"/>
                <w:szCs w:val="22"/>
                <w:highlight w:val="none"/>
                <w:lang w:val="en-US" w:eastAsia="zh-CN"/>
              </w:rPr>
            </w:pPr>
            <w:r>
              <w:rPr>
                <w:rFonts w:hint="eastAsia" w:ascii="宋体" w:hAnsi="宋体"/>
                <w:b/>
                <w:color w:val="auto"/>
                <w:sz w:val="22"/>
                <w:szCs w:val="22"/>
                <w:highlight w:val="none"/>
                <w:lang w:val="en-US" w:eastAsia="zh-CN"/>
              </w:rPr>
              <w:t>报价内容</w:t>
            </w:r>
          </w:p>
        </w:tc>
        <w:tc>
          <w:tcPr>
            <w:tcW w:w="2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2"/>
                <w:szCs w:val="22"/>
                <w:highlight w:val="none"/>
                <w:lang w:val="zh-CN"/>
              </w:rPr>
            </w:pPr>
            <w:r>
              <w:rPr>
                <w:rFonts w:hint="eastAsia" w:ascii="宋体" w:hAnsi="宋体" w:cs="宋体"/>
                <w:b/>
                <w:color w:val="auto"/>
                <w:sz w:val="22"/>
                <w:szCs w:val="22"/>
                <w:highlight w:val="none"/>
                <w:lang w:val="en-US" w:eastAsia="zh-CN"/>
              </w:rPr>
              <w:t>分项</w:t>
            </w:r>
            <w:r>
              <w:rPr>
                <w:rFonts w:hint="eastAsia" w:ascii="宋体" w:hAnsi="宋体" w:cs="宋体"/>
                <w:b/>
                <w:color w:val="auto"/>
                <w:sz w:val="22"/>
                <w:szCs w:val="22"/>
                <w:highlight w:val="none"/>
                <w:lang w:val="zh-CN"/>
              </w:rPr>
              <w:t>报价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2"/>
                <w:szCs w:val="22"/>
                <w:highlight w:val="none"/>
                <w:lang w:val="zh-CN"/>
              </w:rPr>
            </w:pPr>
            <w:r>
              <w:rPr>
                <w:rFonts w:hint="eastAsia" w:ascii="宋体" w:hAnsi="宋体"/>
                <w:b/>
                <w:color w:val="auto"/>
                <w:sz w:val="22"/>
                <w:szCs w:val="22"/>
                <w:highlight w:val="none"/>
              </w:rPr>
              <w:t>服务期限（月）</w:t>
            </w: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2"/>
                <w:szCs w:val="22"/>
                <w:highlight w:val="none"/>
                <w:lang w:val="zh-CN"/>
              </w:rPr>
            </w:pPr>
            <w:r>
              <w:rPr>
                <w:rFonts w:hint="eastAsia" w:ascii="宋体" w:hAnsi="宋体"/>
                <w:b/>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1</w:t>
            </w:r>
          </w:p>
        </w:tc>
        <w:tc>
          <w:tcPr>
            <w:tcW w:w="3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olor w:val="auto"/>
                <w:sz w:val="22"/>
                <w:szCs w:val="22"/>
                <w:highlight w:val="none"/>
                <w:lang w:val="en-US"/>
              </w:rPr>
            </w:pPr>
            <w:r>
              <w:rPr>
                <w:rFonts w:hint="eastAsia" w:ascii="宋体" w:hAnsi="宋体" w:cs="宋体"/>
                <w:color w:val="auto"/>
                <w:sz w:val="22"/>
                <w:szCs w:val="22"/>
                <w:highlight w:val="none"/>
                <w:lang w:val="en-US" w:eastAsia="zh-CN"/>
              </w:rPr>
              <w:t>东莞市交通投资集团有限公司合同部分</w:t>
            </w:r>
          </w:p>
        </w:tc>
        <w:tc>
          <w:tcPr>
            <w:tcW w:w="2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rPr>
            </w:pPr>
          </w:p>
        </w:tc>
        <w:tc>
          <w:tcPr>
            <w:tcW w:w="180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2"/>
                <w:szCs w:val="22"/>
                <w:highlight w:val="none"/>
                <w:lang w:val="zh-CN"/>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2</w:t>
            </w:r>
          </w:p>
        </w:tc>
        <w:tc>
          <w:tcPr>
            <w:tcW w:w="3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rPr>
            </w:pPr>
            <w:r>
              <w:rPr>
                <w:rFonts w:hint="eastAsia" w:ascii="宋体" w:hAnsi="宋体" w:cs="宋体"/>
                <w:color w:val="auto"/>
                <w:sz w:val="22"/>
                <w:szCs w:val="22"/>
                <w:highlight w:val="none"/>
                <w:lang w:val="en-US" w:eastAsia="zh-CN"/>
              </w:rPr>
              <w:t>东莞发展控股股份有限公司合同部分</w:t>
            </w:r>
          </w:p>
        </w:tc>
        <w:tc>
          <w:tcPr>
            <w:tcW w:w="2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rPr>
            </w:pPr>
          </w:p>
        </w:tc>
        <w:tc>
          <w:tcPr>
            <w:tcW w:w="180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lang w:val="zh-CN"/>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2" w:hRule="atLeast"/>
          <w:jc w:val="center"/>
        </w:trPr>
        <w:tc>
          <w:tcPr>
            <w:tcW w:w="3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投标合计</w:t>
            </w:r>
          </w:p>
        </w:tc>
        <w:tc>
          <w:tcPr>
            <w:tcW w:w="42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lang w:val="zh-CN"/>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2"/>
                <w:szCs w:val="22"/>
                <w:highlight w:val="none"/>
                <w:lang w:val="zh-CN"/>
              </w:rPr>
            </w:pPr>
          </w:p>
        </w:tc>
      </w:tr>
    </w:tbl>
    <w:p>
      <w:pPr>
        <w:spacing w:line="360" w:lineRule="auto"/>
        <w:ind w:left="2" w:leftChars="1"/>
        <w:rPr>
          <w:rFonts w:ascii="宋体" w:hAnsi="宋体"/>
          <w:color w:val="auto"/>
          <w:sz w:val="22"/>
          <w:szCs w:val="22"/>
          <w:highlight w:val="none"/>
          <w:lang w:val="zh-CN"/>
        </w:rPr>
      </w:pPr>
      <w:r>
        <w:rPr>
          <w:rFonts w:ascii="宋体" w:hAnsi="宋体"/>
          <w:color w:val="auto"/>
          <w:sz w:val="22"/>
          <w:szCs w:val="22"/>
          <w:highlight w:val="none"/>
          <w:lang w:val="zh-CN"/>
        </w:rPr>
        <w:t>注：</w:t>
      </w:r>
    </w:p>
    <w:p>
      <w:pPr>
        <w:pStyle w:val="8"/>
        <w:ind w:firstLine="220" w:firstLineChars="100"/>
        <w:rPr>
          <w:rFonts w:ascii="宋体" w:hAnsi="宋体"/>
          <w:color w:val="auto"/>
          <w:sz w:val="22"/>
          <w:szCs w:val="22"/>
          <w:highlight w:val="none"/>
        </w:rPr>
      </w:pPr>
      <w:r>
        <w:rPr>
          <w:rFonts w:hint="eastAsia" w:ascii="宋体" w:hAnsi="宋体"/>
          <w:color w:val="auto"/>
          <w:sz w:val="22"/>
          <w:szCs w:val="22"/>
          <w:highlight w:val="none"/>
        </w:rPr>
        <w:t>1.此表的投标总价是所有需招标人支付的本次采购标的金额总数即</w:t>
      </w:r>
      <w:r>
        <w:rPr>
          <w:rFonts w:hint="eastAsia" w:ascii="宋体" w:hAnsi="宋体"/>
          <w:b/>
          <w:color w:val="auto"/>
          <w:sz w:val="22"/>
          <w:szCs w:val="22"/>
          <w:highlight w:val="none"/>
        </w:rPr>
        <w:t>投标总报价</w:t>
      </w:r>
      <w:r>
        <w:rPr>
          <w:rFonts w:hint="eastAsia" w:ascii="宋体" w:hAnsi="宋体"/>
          <w:color w:val="auto"/>
          <w:sz w:val="22"/>
          <w:szCs w:val="22"/>
          <w:highlight w:val="none"/>
        </w:rPr>
        <w:t>。</w:t>
      </w:r>
    </w:p>
    <w:p>
      <w:pPr>
        <w:pStyle w:val="8"/>
        <w:ind w:firstLine="220" w:firstLineChars="100"/>
        <w:rPr>
          <w:rFonts w:ascii="宋体" w:hAnsi="宋体"/>
          <w:color w:val="auto"/>
          <w:sz w:val="22"/>
          <w:szCs w:val="22"/>
          <w:highlight w:val="none"/>
        </w:rPr>
      </w:pPr>
      <w:r>
        <w:rPr>
          <w:rFonts w:hint="eastAsia" w:ascii="宋体" w:hAnsi="宋体"/>
          <w:color w:val="auto"/>
          <w:sz w:val="22"/>
          <w:szCs w:val="22"/>
          <w:highlight w:val="none"/>
        </w:rPr>
        <w:t>2.投标总价栏用文字和数字两种方式表示投标总价。</w:t>
      </w:r>
    </w:p>
    <w:p>
      <w:pPr>
        <w:pStyle w:val="8"/>
        <w:ind w:firstLine="220" w:firstLineChars="100"/>
        <w:rPr>
          <w:rFonts w:ascii="宋体" w:hAnsi="宋体"/>
          <w:color w:val="auto"/>
          <w:sz w:val="22"/>
          <w:szCs w:val="22"/>
          <w:highlight w:val="none"/>
        </w:rPr>
      </w:pPr>
      <w:r>
        <w:rPr>
          <w:rFonts w:hint="eastAsia" w:ascii="宋体" w:hAnsi="宋体"/>
          <w:color w:val="auto"/>
          <w:sz w:val="22"/>
          <w:szCs w:val="22"/>
          <w:highlight w:val="none"/>
        </w:rPr>
        <w:t>3.投标总价的大小写不一致的，以大写为准。</w:t>
      </w:r>
    </w:p>
    <w:p>
      <w:pPr>
        <w:pStyle w:val="25"/>
        <w:spacing w:line="360" w:lineRule="auto"/>
        <w:ind w:firstLine="220" w:firstLineChars="100"/>
        <w:rPr>
          <w:rFonts w:hAnsi="宋体"/>
          <w:color w:val="auto"/>
          <w:sz w:val="22"/>
          <w:highlight w:val="none"/>
        </w:rPr>
      </w:pPr>
      <w:r>
        <w:rPr>
          <w:rFonts w:hint="eastAsia" w:hAnsi="宋体"/>
          <w:color w:val="auto"/>
          <w:sz w:val="22"/>
          <w:highlight w:val="none"/>
        </w:rPr>
        <w:t>4.投标报价结果以人民币元为单位，保留到小数点后两位。</w:t>
      </w:r>
    </w:p>
    <w:p>
      <w:pPr>
        <w:overflowPunct w:val="0"/>
        <w:adjustRightInd w:val="0"/>
        <w:spacing w:line="360" w:lineRule="auto"/>
        <w:ind w:firstLine="220" w:firstLineChars="100"/>
        <w:rPr>
          <w:rFonts w:ascii="宋体" w:hAnsi="宋体"/>
          <w:color w:val="auto"/>
          <w:sz w:val="22"/>
          <w:szCs w:val="22"/>
          <w:highlight w:val="none"/>
        </w:rPr>
      </w:pPr>
      <w:r>
        <w:rPr>
          <w:rFonts w:hint="eastAsia" w:ascii="宋体" w:hAnsi="宋体"/>
          <w:color w:val="auto"/>
          <w:sz w:val="22"/>
          <w:szCs w:val="22"/>
          <w:highlight w:val="none"/>
        </w:rPr>
        <w:t>5.投标总价必须准确唯一，且</w:t>
      </w:r>
      <w:r>
        <w:rPr>
          <w:rFonts w:hint="eastAsia" w:ascii="宋体" w:hAnsi="宋体"/>
          <w:b/>
          <w:bCs/>
          <w:color w:val="auto"/>
          <w:sz w:val="22"/>
          <w:szCs w:val="22"/>
          <w:highlight w:val="none"/>
        </w:rPr>
        <w:t>投标总报价不能超过本项目项各包号预算价，否则按废标处理。</w:t>
      </w:r>
    </w:p>
    <w:p>
      <w:pPr>
        <w:snapToGrid w:val="0"/>
        <w:spacing w:line="360" w:lineRule="auto"/>
        <w:rPr>
          <w:rFonts w:ascii="宋体" w:hAnsi="宋体"/>
          <w:bCs/>
          <w:color w:val="auto"/>
          <w:sz w:val="22"/>
          <w:szCs w:val="22"/>
          <w:highlight w:val="none"/>
        </w:rPr>
      </w:pPr>
    </w:p>
    <w:p>
      <w:pPr>
        <w:snapToGrid w:val="0"/>
        <w:spacing w:line="360" w:lineRule="auto"/>
        <w:rPr>
          <w:rFonts w:ascii="宋体" w:hAnsi="宋体"/>
          <w:bCs/>
          <w:color w:val="auto"/>
          <w:sz w:val="22"/>
          <w:szCs w:val="22"/>
          <w:highlight w:val="none"/>
        </w:rPr>
      </w:pPr>
    </w:p>
    <w:p>
      <w:pPr>
        <w:pStyle w:val="67"/>
        <w:spacing w:before="936" w:beforeLines="300" w:line="360" w:lineRule="auto"/>
        <w:ind w:firstLine="3360" w:firstLineChars="16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360" w:lineRule="auto"/>
        <w:ind w:firstLine="3381" w:firstLineChars="161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投标人法定代表人或被授权人（签名或盖私章）：</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 xml:space="preserve">        </w:t>
      </w:r>
    </w:p>
    <w:p>
      <w:pPr>
        <w:pStyle w:val="67"/>
        <w:spacing w:line="360" w:lineRule="auto"/>
        <w:ind w:firstLine="3381" w:firstLineChars="161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年</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月</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日</w:t>
      </w:r>
    </w:p>
    <w:p>
      <w:pPr>
        <w:widowControl/>
        <w:jc w:val="left"/>
        <w:rPr>
          <w:rFonts w:ascii="Times New Roman" w:hAnsi="Times New Roman"/>
          <w:color w:val="auto"/>
          <w:szCs w:val="21"/>
          <w:highlight w:val="none"/>
        </w:rPr>
      </w:pPr>
      <w:r>
        <w:rPr>
          <w:rFonts w:ascii="Times New Roman" w:hAnsi="Times New Roman"/>
          <w:color w:val="auto"/>
          <w:szCs w:val="21"/>
          <w:highlight w:val="none"/>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color w:val="auto"/>
          <w:sz w:val="22"/>
          <w:szCs w:val="22"/>
          <w:highlight w:val="none"/>
        </w:rPr>
      </w:pPr>
      <w:bookmarkStart w:id="191" w:name="_Toc61529868"/>
      <w:r>
        <w:rPr>
          <w:rFonts w:hint="eastAsia" w:ascii="宋体" w:hAnsi="宋体" w:cs="宋体"/>
          <w:b/>
          <w:color w:val="auto"/>
          <w:sz w:val="22"/>
          <w:szCs w:val="22"/>
          <w:highlight w:val="none"/>
        </w:rPr>
        <w:t>2、投标分项报价表（服物类适用）</w:t>
      </w:r>
      <w:bookmarkEnd w:id="191"/>
    </w:p>
    <w:p>
      <w:pPr>
        <w:spacing w:line="360" w:lineRule="auto"/>
        <w:rPr>
          <w:rFonts w:ascii="Times New Roman" w:hAnsi="宋体"/>
          <w:color w:val="auto"/>
          <w:szCs w:val="21"/>
          <w:highlight w:val="none"/>
        </w:rPr>
      </w:pPr>
      <w:r>
        <w:rPr>
          <w:rFonts w:hint="eastAsia" w:ascii="Times New Roman" w:hAnsi="宋体"/>
          <w:color w:val="auto"/>
          <w:szCs w:val="21"/>
          <w:highlight w:val="none"/>
        </w:rPr>
        <w:t>项目</w:t>
      </w:r>
      <w:r>
        <w:rPr>
          <w:rFonts w:ascii="Times New Roman" w:hAnsi="宋体"/>
          <w:color w:val="auto"/>
          <w:szCs w:val="21"/>
          <w:highlight w:val="none"/>
        </w:rPr>
        <w:t>名称：</w:t>
      </w:r>
      <w:r>
        <w:rPr>
          <w:rFonts w:ascii="Times New Roman" w:hAnsi="Times New Roman"/>
          <w:color w:val="auto"/>
          <w:szCs w:val="21"/>
          <w:highlight w:val="none"/>
        </w:rPr>
        <w:t xml:space="preserve">                                 </w:t>
      </w:r>
      <w:r>
        <w:rPr>
          <w:rFonts w:ascii="Times New Roman" w:hAnsi="宋体"/>
          <w:color w:val="auto"/>
          <w:szCs w:val="21"/>
          <w:highlight w:val="none"/>
        </w:rPr>
        <w:t>项目编号：</w:t>
      </w:r>
      <w:r>
        <w:rPr>
          <w:rFonts w:hint="eastAsia" w:ascii="Times New Roman" w:hAnsi="宋体"/>
          <w:color w:val="auto"/>
          <w:szCs w:val="21"/>
          <w:highlight w:val="none"/>
        </w:rPr>
        <w:t xml:space="preserve"> </w:t>
      </w:r>
      <w:r>
        <w:rPr>
          <w:rFonts w:ascii="Times New Roman" w:hAnsi="宋体"/>
          <w:color w:val="auto"/>
          <w:szCs w:val="21"/>
          <w:highlight w:val="none"/>
        </w:rPr>
        <w:t xml:space="preserve">               </w:t>
      </w:r>
      <w:r>
        <w:rPr>
          <w:rFonts w:hint="eastAsia" w:ascii="Times New Roman" w:hAnsi="宋体"/>
          <w:color w:val="auto"/>
          <w:szCs w:val="21"/>
          <w:highlight w:val="none"/>
        </w:rPr>
        <w:t>包号：</w:t>
      </w:r>
    </w:p>
    <w:tbl>
      <w:tblPr>
        <w:tblStyle w:val="5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276"/>
        <w:gridCol w:w="1843"/>
        <w:gridCol w:w="2013"/>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817" w:type="dxa"/>
          </w:tcPr>
          <w:p>
            <w:pPr>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序号</w:t>
            </w:r>
          </w:p>
        </w:tc>
        <w:tc>
          <w:tcPr>
            <w:tcW w:w="1559" w:type="dxa"/>
            <w:vAlign w:val="center"/>
          </w:tcPr>
          <w:p>
            <w:pPr>
              <w:spacing w:line="360" w:lineRule="auto"/>
              <w:jc w:val="center"/>
              <w:rPr>
                <w:rFonts w:ascii="宋体" w:hAnsi="宋体"/>
                <w:b/>
                <w:bCs/>
                <w:color w:val="auto"/>
                <w:sz w:val="22"/>
                <w:szCs w:val="22"/>
                <w:highlight w:val="none"/>
              </w:rPr>
            </w:pPr>
            <w:r>
              <w:rPr>
                <w:rFonts w:hint="eastAsia" w:ascii="宋体" w:hAnsi="宋体" w:cs="宋体"/>
                <w:b/>
                <w:color w:val="auto"/>
                <w:kern w:val="0"/>
                <w:sz w:val="22"/>
                <w:szCs w:val="22"/>
                <w:highlight w:val="none"/>
              </w:rPr>
              <w:t>服务类型</w:t>
            </w:r>
          </w:p>
        </w:tc>
        <w:tc>
          <w:tcPr>
            <w:tcW w:w="1276" w:type="dxa"/>
          </w:tcPr>
          <w:p>
            <w:pPr>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人数（人）</w:t>
            </w:r>
          </w:p>
        </w:tc>
        <w:tc>
          <w:tcPr>
            <w:tcW w:w="1843" w:type="dxa"/>
            <w:vAlign w:val="center"/>
          </w:tcPr>
          <w:p>
            <w:pPr>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服务期</w:t>
            </w:r>
          </w:p>
        </w:tc>
        <w:tc>
          <w:tcPr>
            <w:tcW w:w="2013" w:type="dxa"/>
            <w:vAlign w:val="center"/>
          </w:tcPr>
          <w:p>
            <w:pPr>
              <w:spacing w:line="360" w:lineRule="auto"/>
              <w:jc w:val="center"/>
              <w:rPr>
                <w:rFonts w:ascii="宋体" w:hAnsi="宋体"/>
                <w:b/>
                <w:bCs/>
                <w:color w:val="auto"/>
                <w:sz w:val="22"/>
                <w:szCs w:val="22"/>
                <w:highlight w:val="none"/>
              </w:rPr>
            </w:pPr>
            <w:r>
              <w:rPr>
                <w:rFonts w:ascii="宋体" w:hAnsi="宋体"/>
                <w:b/>
                <w:bCs/>
                <w:color w:val="auto"/>
                <w:sz w:val="22"/>
                <w:szCs w:val="22"/>
                <w:highlight w:val="none"/>
              </w:rPr>
              <w:t>单价</w:t>
            </w:r>
            <w:r>
              <w:rPr>
                <w:rFonts w:hint="eastAsia" w:ascii="宋体" w:hAnsi="宋体"/>
                <w:b/>
                <w:bCs/>
                <w:color w:val="auto"/>
                <w:sz w:val="22"/>
                <w:szCs w:val="22"/>
                <w:highlight w:val="none"/>
              </w:rPr>
              <w:t>（元</w:t>
            </w:r>
            <w:r>
              <w:rPr>
                <w:rFonts w:ascii="宋体" w:hAnsi="宋体"/>
                <w:b/>
                <w:bCs/>
                <w:color w:val="auto"/>
                <w:sz w:val="22"/>
                <w:szCs w:val="22"/>
                <w:highlight w:val="none"/>
              </w:rPr>
              <w:t>/</w:t>
            </w:r>
            <w:r>
              <w:rPr>
                <w:rFonts w:hint="eastAsia" w:ascii="宋体" w:hAnsi="宋体"/>
                <w:b/>
                <w:bCs/>
                <w:color w:val="auto"/>
                <w:sz w:val="22"/>
                <w:szCs w:val="22"/>
                <w:highlight w:val="none"/>
              </w:rPr>
              <w:t>人</w:t>
            </w:r>
            <w:r>
              <w:rPr>
                <w:rFonts w:ascii="宋体" w:hAnsi="宋体"/>
                <w:b/>
                <w:bCs/>
                <w:color w:val="auto"/>
                <w:sz w:val="22"/>
                <w:szCs w:val="22"/>
                <w:highlight w:val="none"/>
              </w:rPr>
              <w:t>/</w:t>
            </w:r>
            <w:r>
              <w:rPr>
                <w:rFonts w:hint="eastAsia" w:ascii="宋体" w:hAnsi="宋体"/>
                <w:b/>
                <w:bCs/>
                <w:color w:val="auto"/>
                <w:sz w:val="22"/>
                <w:szCs w:val="22"/>
                <w:highlight w:val="none"/>
              </w:rPr>
              <w:t>月）</w:t>
            </w:r>
          </w:p>
        </w:tc>
        <w:tc>
          <w:tcPr>
            <w:tcW w:w="1559" w:type="dxa"/>
            <w:vAlign w:val="center"/>
          </w:tcPr>
          <w:p>
            <w:pPr>
              <w:spacing w:line="360" w:lineRule="auto"/>
              <w:jc w:val="center"/>
              <w:rPr>
                <w:rFonts w:ascii="宋体" w:hAnsi="宋体"/>
                <w:b/>
                <w:bCs/>
                <w:color w:val="auto"/>
                <w:sz w:val="22"/>
                <w:szCs w:val="22"/>
                <w:highlight w:val="none"/>
              </w:rPr>
            </w:pPr>
            <w:r>
              <w:rPr>
                <w:rFonts w:ascii="宋体" w:hAnsi="宋体"/>
                <w:b/>
                <w:bCs/>
                <w:color w:val="auto"/>
                <w:sz w:val="22"/>
                <w:szCs w:val="22"/>
                <w:highlight w:val="none"/>
              </w:rPr>
              <w:t>总价</w:t>
            </w:r>
          </w:p>
        </w:tc>
        <w:tc>
          <w:tcPr>
            <w:tcW w:w="993" w:type="dxa"/>
            <w:vAlign w:val="center"/>
          </w:tcPr>
          <w:p>
            <w:pPr>
              <w:spacing w:line="360" w:lineRule="auto"/>
              <w:jc w:val="center"/>
              <w:rPr>
                <w:rFonts w:ascii="宋体" w:hAnsi="宋体"/>
                <w:b/>
                <w:bCs/>
                <w:color w:val="auto"/>
                <w:sz w:val="22"/>
                <w:szCs w:val="22"/>
                <w:highlight w:val="none"/>
              </w:rPr>
            </w:pPr>
            <w:r>
              <w:rPr>
                <w:rFonts w:ascii="宋体" w:hAnsi="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17" w:type="dxa"/>
            <w:vAlign w:val="center"/>
          </w:tcPr>
          <w:p>
            <w:pPr>
              <w:spacing w:line="360" w:lineRule="auto"/>
              <w:jc w:val="center"/>
              <w:rPr>
                <w:rFonts w:ascii="宋体" w:hAnsi="宋体"/>
                <w:bCs/>
                <w:color w:val="auto"/>
                <w:sz w:val="22"/>
                <w:szCs w:val="22"/>
                <w:highlight w:val="none"/>
              </w:rPr>
            </w:pPr>
            <w:r>
              <w:rPr>
                <w:rFonts w:ascii="宋体" w:hAnsi="宋体"/>
                <w:bCs/>
                <w:color w:val="auto"/>
                <w:sz w:val="22"/>
                <w:szCs w:val="22"/>
                <w:highlight w:val="none"/>
              </w:rPr>
              <w:t>1</w:t>
            </w:r>
          </w:p>
        </w:tc>
        <w:tc>
          <w:tcPr>
            <w:tcW w:w="1559" w:type="dxa"/>
            <w:vAlign w:val="center"/>
          </w:tcPr>
          <w:p>
            <w:pPr>
              <w:spacing w:line="360" w:lineRule="auto"/>
              <w:jc w:val="center"/>
              <w:rPr>
                <w:rFonts w:ascii="宋体" w:hAnsi="宋体"/>
                <w:color w:val="auto"/>
                <w:sz w:val="22"/>
                <w:szCs w:val="22"/>
                <w:highlight w:val="none"/>
              </w:rPr>
            </w:pPr>
          </w:p>
        </w:tc>
        <w:tc>
          <w:tcPr>
            <w:tcW w:w="1276" w:type="dxa"/>
            <w:vAlign w:val="center"/>
          </w:tcPr>
          <w:p>
            <w:pPr>
              <w:spacing w:line="360" w:lineRule="auto"/>
              <w:jc w:val="center"/>
              <w:rPr>
                <w:rFonts w:ascii="宋体" w:hAnsi="宋体"/>
                <w:color w:val="auto"/>
                <w:sz w:val="22"/>
                <w:szCs w:val="22"/>
                <w:highlight w:val="none"/>
              </w:rPr>
            </w:pPr>
          </w:p>
        </w:tc>
        <w:tc>
          <w:tcPr>
            <w:tcW w:w="1843" w:type="dxa"/>
            <w:vAlign w:val="center"/>
          </w:tcPr>
          <w:p>
            <w:pPr>
              <w:spacing w:line="360" w:lineRule="auto"/>
              <w:jc w:val="center"/>
              <w:rPr>
                <w:rFonts w:ascii="宋体" w:hAnsi="宋体"/>
                <w:color w:val="auto"/>
                <w:sz w:val="22"/>
                <w:szCs w:val="22"/>
                <w:highlight w:val="none"/>
              </w:rPr>
            </w:pPr>
          </w:p>
        </w:tc>
        <w:tc>
          <w:tcPr>
            <w:tcW w:w="2013" w:type="dxa"/>
            <w:vAlign w:val="center"/>
          </w:tcPr>
          <w:p>
            <w:pPr>
              <w:keepNext/>
              <w:keepLines/>
              <w:spacing w:before="340" w:after="330" w:line="360" w:lineRule="auto"/>
              <w:jc w:val="center"/>
              <w:outlineLvl w:val="0"/>
              <w:rPr>
                <w:rFonts w:ascii="宋体" w:hAnsi="宋体"/>
                <w:color w:val="auto"/>
                <w:sz w:val="22"/>
                <w:szCs w:val="22"/>
                <w:highlight w:val="none"/>
              </w:rPr>
            </w:pPr>
          </w:p>
        </w:tc>
        <w:tc>
          <w:tcPr>
            <w:tcW w:w="1559" w:type="dxa"/>
            <w:vAlign w:val="center"/>
          </w:tcPr>
          <w:p>
            <w:pPr>
              <w:keepNext/>
              <w:keepLines/>
              <w:spacing w:before="340" w:after="330" w:line="360" w:lineRule="auto"/>
              <w:jc w:val="center"/>
              <w:outlineLvl w:val="0"/>
              <w:rPr>
                <w:rFonts w:ascii="宋体" w:hAnsi="宋体"/>
                <w:color w:val="auto"/>
                <w:sz w:val="22"/>
                <w:szCs w:val="22"/>
                <w:highlight w:val="none"/>
              </w:rPr>
            </w:pPr>
          </w:p>
        </w:tc>
        <w:tc>
          <w:tcPr>
            <w:tcW w:w="993" w:type="dxa"/>
            <w:vAlign w:val="center"/>
          </w:tcPr>
          <w:p>
            <w:pPr>
              <w:keepNext/>
              <w:keepLines/>
              <w:spacing w:before="340" w:after="330" w:line="360" w:lineRule="auto"/>
              <w:jc w:val="center"/>
              <w:outlineLvl w:val="0"/>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376" w:type="dxa"/>
            <w:gridSpan w:val="2"/>
            <w:vAlign w:val="center"/>
          </w:tcPr>
          <w:p>
            <w:pPr>
              <w:jc w:val="center"/>
              <w:rPr>
                <w:color w:val="auto"/>
                <w:highlight w:val="none"/>
              </w:rPr>
            </w:pPr>
            <w:r>
              <w:rPr>
                <w:rFonts w:hint="eastAsia"/>
                <w:color w:val="auto"/>
                <w:highlight w:val="none"/>
              </w:rPr>
              <w:t>合计总报价</w:t>
            </w:r>
          </w:p>
        </w:tc>
        <w:tc>
          <w:tcPr>
            <w:tcW w:w="7684" w:type="dxa"/>
            <w:gridSpan w:val="5"/>
          </w:tcPr>
          <w:p>
            <w:pPr>
              <w:keepNext/>
              <w:keepLines/>
              <w:spacing w:before="340" w:after="330" w:line="360" w:lineRule="auto"/>
              <w:jc w:val="center"/>
              <w:outlineLvl w:val="0"/>
              <w:rPr>
                <w:rFonts w:ascii="宋体" w:hAnsi="宋体"/>
                <w:color w:val="auto"/>
                <w:sz w:val="22"/>
                <w:szCs w:val="22"/>
                <w:highlight w:val="none"/>
              </w:rPr>
            </w:pPr>
          </w:p>
        </w:tc>
      </w:tr>
    </w:tbl>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上述表格内各项费用之和必须与投标总报价相一致。</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注：</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1.如果单价和总价不符时，以单价为准，修正总价。</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 xml:space="preserve">2.总报价应等于“开标一览表”中的投标总价。 </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3.按用户需求要求进行报价。</w:t>
      </w:r>
    </w:p>
    <w:p>
      <w:pPr>
        <w:pStyle w:val="67"/>
        <w:spacing w:before="936" w:beforeLines="300" w:line="360" w:lineRule="auto"/>
        <w:ind w:firstLine="3360" w:firstLineChars="16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360" w:lineRule="auto"/>
        <w:ind w:firstLine="3381" w:firstLineChars="161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投标人法定代表人或被授权人（签名或盖私章）：</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 xml:space="preserve">        </w:t>
      </w:r>
    </w:p>
    <w:p>
      <w:pPr>
        <w:pStyle w:val="67"/>
        <w:spacing w:line="360" w:lineRule="auto"/>
        <w:ind w:firstLine="3381" w:firstLineChars="161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年</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月</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日</w:t>
      </w:r>
    </w:p>
    <w:p>
      <w:pPr>
        <w:pStyle w:val="67"/>
        <w:spacing w:line="360" w:lineRule="auto"/>
        <w:ind w:firstLine="3381" w:firstLineChars="1610"/>
        <w:rPr>
          <w:rFonts w:asciiTheme="minorEastAsia" w:hAnsiTheme="minorEastAsia" w:eastAsiaTheme="minorEastAsia"/>
          <w:color w:val="auto"/>
          <w:sz w:val="21"/>
          <w:szCs w:val="21"/>
          <w:highlight w:val="none"/>
          <w:u w:val="single"/>
        </w:rPr>
      </w:pPr>
    </w:p>
    <w:p>
      <w:pPr>
        <w:rPr>
          <w:color w:val="auto"/>
          <w:highlight w:val="none"/>
        </w:rPr>
      </w:pPr>
    </w:p>
    <w:p>
      <w:pPr>
        <w:widowControl/>
        <w:jc w:val="left"/>
        <w:rPr>
          <w:rFonts w:ascii="Times New Roman" w:hAnsi="Times New Roman" w:eastAsia="宋体"/>
          <w:color w:val="auto"/>
          <w:sz w:val="22"/>
          <w:szCs w:val="22"/>
          <w:highlight w:val="none"/>
        </w:rPr>
        <w:sectPr>
          <w:headerReference r:id="rId4" w:type="first"/>
          <w:headerReference r:id="rId3" w:type="default"/>
          <w:footerReference r:id="rId5" w:type="default"/>
          <w:pgSz w:w="11906" w:h="16838"/>
          <w:pgMar w:top="1440" w:right="1304" w:bottom="1440" w:left="1304" w:header="851" w:footer="992" w:gutter="0"/>
          <w:cols w:space="720" w:num="1"/>
          <w:titlePg/>
          <w:docGrid w:type="lines" w:linePitch="312" w:charSpace="0"/>
        </w:sectPr>
      </w:pPr>
      <w:r>
        <w:rPr>
          <w:rFonts w:ascii="Times New Roman" w:hAnsi="Times New Roman"/>
          <w:color w:val="auto"/>
          <w:sz w:val="22"/>
          <w:szCs w:val="22"/>
          <w:highlight w:val="none"/>
        </w:rPr>
        <w:br w:type="page"/>
      </w:r>
    </w:p>
    <w:p>
      <w:pPr>
        <w:rPr>
          <w:color w:val="auto"/>
          <w:highlight w:val="none"/>
        </w:rPr>
      </w:pPr>
      <w:bookmarkStart w:id="192" w:name="_Toc441844115"/>
    </w:p>
    <w:p>
      <w:pPr>
        <w:rPr>
          <w:color w:val="auto"/>
          <w:highlight w:val="none"/>
        </w:rPr>
      </w:pPr>
    </w:p>
    <w:p>
      <w:pPr>
        <w:spacing w:after="60" w:line="360" w:lineRule="auto"/>
        <w:ind w:left="2349" w:hanging="2349" w:hangingChars="500"/>
        <w:jc w:val="center"/>
        <w:outlineLvl w:val="1"/>
        <w:rPr>
          <w:rFonts w:ascii="Times New Roman" w:hAnsi="Times New Roman"/>
          <w:b/>
          <w:bCs/>
          <w:color w:val="auto"/>
          <w:spacing w:val="-6"/>
          <w:sz w:val="48"/>
          <w:szCs w:val="48"/>
          <w:highlight w:val="none"/>
        </w:rPr>
      </w:pPr>
      <w:bookmarkStart w:id="193" w:name="_Toc61529869"/>
      <w:r>
        <w:rPr>
          <w:rFonts w:ascii="Times New Roman" w:hAnsi="Times New Roman"/>
          <w:b/>
          <w:bCs/>
          <w:color w:val="auto"/>
          <w:spacing w:val="-6"/>
          <w:sz w:val="48"/>
          <w:szCs w:val="48"/>
          <w:highlight w:val="none"/>
        </w:rPr>
        <w:t>二、商务、技术部分文件</w:t>
      </w:r>
      <w:bookmarkEnd w:id="192"/>
      <w:bookmarkEnd w:id="193"/>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jc w:val="center"/>
        <w:rPr>
          <w:rFonts w:ascii="Times New Roman" w:hAnsi="Times New Roman" w:eastAsia="新宋体"/>
          <w:b/>
          <w:bCs/>
          <w:color w:val="auto"/>
          <w:spacing w:val="-6"/>
          <w:sz w:val="32"/>
          <w:szCs w:val="32"/>
          <w:highlight w:val="none"/>
        </w:rPr>
      </w:pPr>
    </w:p>
    <w:p>
      <w:pPr>
        <w:spacing w:after="60" w:line="360" w:lineRule="auto"/>
        <w:ind w:left="1546" w:hanging="1546" w:hangingChars="500"/>
        <w:rPr>
          <w:rFonts w:ascii="宋体" w:hAnsi="宋体"/>
          <w:b/>
          <w:color w:val="auto"/>
          <w:sz w:val="32"/>
          <w:szCs w:val="32"/>
          <w:highlight w:val="none"/>
          <w:u w:val="single"/>
        </w:rPr>
      </w:pPr>
      <w:r>
        <w:rPr>
          <w:rFonts w:ascii="宋体" w:hAnsi="宋体"/>
          <w:b/>
          <w:bCs/>
          <w:color w:val="auto"/>
          <w:spacing w:val="-6"/>
          <w:sz w:val="32"/>
          <w:szCs w:val="32"/>
          <w:highlight w:val="none"/>
        </w:rPr>
        <w:t>项目名称：</w:t>
      </w:r>
    </w:p>
    <w:p>
      <w:pPr>
        <w:spacing w:after="60" w:line="360" w:lineRule="auto"/>
        <w:rPr>
          <w:rFonts w:ascii="宋体" w:hAnsi="宋体"/>
          <w:b/>
          <w:bCs/>
          <w:color w:val="auto"/>
          <w:sz w:val="32"/>
          <w:szCs w:val="32"/>
          <w:highlight w:val="none"/>
        </w:rPr>
      </w:pPr>
    </w:p>
    <w:p>
      <w:pPr>
        <w:spacing w:after="60" w:line="360" w:lineRule="auto"/>
        <w:rPr>
          <w:rFonts w:ascii="宋体" w:hAnsi="宋体"/>
          <w:b/>
          <w:color w:val="auto"/>
          <w:sz w:val="32"/>
          <w:szCs w:val="32"/>
          <w:highlight w:val="none"/>
          <w:u w:val="single"/>
        </w:rPr>
      </w:pPr>
      <w:r>
        <w:rPr>
          <w:rFonts w:hint="eastAsia" w:ascii="宋体" w:hAnsi="宋体"/>
          <w:b/>
          <w:bCs/>
          <w:color w:val="auto"/>
          <w:sz w:val="32"/>
          <w:szCs w:val="32"/>
          <w:highlight w:val="none"/>
        </w:rPr>
        <w:t>项目</w:t>
      </w:r>
      <w:r>
        <w:rPr>
          <w:rFonts w:ascii="宋体" w:hAnsi="宋体"/>
          <w:b/>
          <w:bCs/>
          <w:color w:val="auto"/>
          <w:sz w:val="32"/>
          <w:szCs w:val="32"/>
          <w:highlight w:val="none"/>
        </w:rPr>
        <w:t>编号：</w:t>
      </w:r>
      <w:r>
        <w:rPr>
          <w:rFonts w:hint="eastAsia" w:ascii="宋体" w:hAnsi="宋体"/>
          <w:b/>
          <w:bCs/>
          <w:color w:val="auto"/>
          <w:sz w:val="32"/>
          <w:szCs w:val="32"/>
          <w:highlight w:val="none"/>
        </w:rPr>
        <w:t xml:space="preserve">                      </w:t>
      </w:r>
      <w:bookmarkStart w:id="194" w:name="_Hlk4069527"/>
      <w:r>
        <w:rPr>
          <w:rFonts w:hint="eastAsia" w:ascii="宋体" w:hAnsi="宋体"/>
          <w:b/>
          <w:bCs/>
          <w:color w:val="auto"/>
          <w:sz w:val="32"/>
          <w:szCs w:val="32"/>
          <w:highlight w:val="none"/>
        </w:rPr>
        <w:t>包号：</w:t>
      </w:r>
      <w:bookmarkEnd w:id="194"/>
      <w:r>
        <w:rPr>
          <w:rFonts w:hint="eastAsia" w:ascii="宋体" w:hAnsi="宋体"/>
          <w:b/>
          <w:bCs/>
          <w:color w:val="auto"/>
          <w:sz w:val="32"/>
          <w:szCs w:val="32"/>
          <w:highlight w:val="none"/>
        </w:rPr>
        <w:t xml:space="preserve">  </w:t>
      </w:r>
    </w:p>
    <w:p>
      <w:pPr>
        <w:spacing w:after="60" w:line="360" w:lineRule="auto"/>
        <w:rPr>
          <w:rFonts w:ascii="宋体" w:hAnsi="宋体"/>
          <w:b/>
          <w:color w:val="auto"/>
          <w:sz w:val="32"/>
          <w:szCs w:val="32"/>
          <w:highlight w:val="none"/>
          <w:u w:val="single"/>
        </w:rPr>
      </w:pPr>
    </w:p>
    <w:p>
      <w:pPr>
        <w:tabs>
          <w:tab w:val="left" w:pos="1440"/>
          <w:tab w:val="left" w:pos="1620"/>
        </w:tabs>
        <w:spacing w:after="60" w:line="360" w:lineRule="auto"/>
        <w:rPr>
          <w:rFonts w:ascii="宋体" w:hAnsi="宋体"/>
          <w:color w:val="auto"/>
          <w:highlight w:val="none"/>
          <w:u w:val="single"/>
        </w:rPr>
      </w:pPr>
      <w:r>
        <w:rPr>
          <w:rFonts w:ascii="宋体" w:hAnsi="宋体"/>
          <w:b/>
          <w:color w:val="auto"/>
          <w:sz w:val="32"/>
          <w:szCs w:val="32"/>
          <w:highlight w:val="none"/>
        </w:rPr>
        <w:t>投 标 人（</w:t>
      </w:r>
      <w:r>
        <w:rPr>
          <w:rFonts w:hint="eastAsia" w:cs="宋体" w:asciiTheme="minorEastAsia" w:hAnsiTheme="minorEastAsia" w:eastAsiaTheme="minorEastAsia"/>
          <w:b/>
          <w:color w:val="auto"/>
          <w:sz w:val="32"/>
          <w:szCs w:val="32"/>
          <w:highlight w:val="none"/>
        </w:rPr>
        <w:t>加盖公章</w:t>
      </w:r>
      <w:r>
        <w:rPr>
          <w:rFonts w:ascii="宋体" w:hAnsi="宋体"/>
          <w:b/>
          <w:color w:val="auto"/>
          <w:sz w:val="32"/>
          <w:szCs w:val="32"/>
          <w:highlight w:val="none"/>
        </w:rPr>
        <w:t>）:</w:t>
      </w:r>
    </w:p>
    <w:p>
      <w:pPr>
        <w:spacing w:after="60" w:line="360" w:lineRule="auto"/>
        <w:rPr>
          <w:rFonts w:ascii="宋体" w:hAnsi="宋体"/>
          <w:b/>
          <w:color w:val="auto"/>
          <w:sz w:val="32"/>
          <w:szCs w:val="32"/>
          <w:highlight w:val="none"/>
          <w:u w:val="single"/>
        </w:rPr>
      </w:pPr>
    </w:p>
    <w:p>
      <w:pPr>
        <w:spacing w:line="560" w:lineRule="exact"/>
        <w:rPr>
          <w:rFonts w:ascii="宋体" w:hAnsi="宋体"/>
          <w:b/>
          <w:color w:val="auto"/>
          <w:sz w:val="32"/>
          <w:szCs w:val="32"/>
          <w:highlight w:val="none"/>
        </w:rPr>
      </w:pPr>
      <w:r>
        <w:rPr>
          <w:rFonts w:hint="eastAsia" w:cs="宋体" w:asciiTheme="minorEastAsia" w:hAnsiTheme="minorEastAsia" w:eastAsiaTheme="minorEastAsia"/>
          <w:b/>
          <w:color w:val="auto"/>
          <w:sz w:val="32"/>
          <w:szCs w:val="32"/>
          <w:highlight w:val="none"/>
        </w:rPr>
        <w:t>投标人法定代表人或被授权人（签名或盖私章）</w:t>
      </w:r>
      <w:r>
        <w:rPr>
          <w:rFonts w:ascii="宋体" w:hAnsi="宋体"/>
          <w:b/>
          <w:color w:val="auto"/>
          <w:sz w:val="32"/>
          <w:szCs w:val="32"/>
          <w:highlight w:val="none"/>
        </w:rPr>
        <w:t>：</w:t>
      </w:r>
    </w:p>
    <w:p>
      <w:pPr>
        <w:spacing w:after="60" w:line="360" w:lineRule="auto"/>
        <w:rPr>
          <w:rFonts w:ascii="宋体" w:hAnsi="宋体"/>
          <w:b/>
          <w:color w:val="auto"/>
          <w:sz w:val="52"/>
          <w:highlight w:val="none"/>
        </w:rPr>
      </w:pPr>
    </w:p>
    <w:p>
      <w:pPr>
        <w:spacing w:after="60" w:line="360" w:lineRule="auto"/>
        <w:jc w:val="center"/>
        <w:rPr>
          <w:rFonts w:ascii="宋体" w:hAnsi="宋体"/>
          <w:b/>
          <w:color w:val="auto"/>
          <w:sz w:val="30"/>
          <w:szCs w:val="32"/>
          <w:highlight w:val="none"/>
        </w:rPr>
      </w:pPr>
      <w:r>
        <w:rPr>
          <w:rFonts w:ascii="宋体" w:hAnsi="宋体"/>
          <w:b/>
          <w:color w:val="auto"/>
          <w:sz w:val="30"/>
          <w:szCs w:val="32"/>
          <w:highlight w:val="none"/>
        </w:rPr>
        <w:t>年  月</w:t>
      </w:r>
      <w:r>
        <w:rPr>
          <w:rFonts w:hint="eastAsia" w:ascii="宋体" w:hAnsi="宋体"/>
          <w:b/>
          <w:color w:val="auto"/>
          <w:sz w:val="30"/>
          <w:szCs w:val="32"/>
          <w:highlight w:val="none"/>
        </w:rPr>
        <w:t xml:space="preserve"> </w:t>
      </w:r>
      <w:r>
        <w:rPr>
          <w:rFonts w:ascii="宋体" w:hAnsi="宋体"/>
          <w:b/>
          <w:color w:val="auto"/>
          <w:sz w:val="30"/>
          <w:szCs w:val="32"/>
          <w:highlight w:val="none"/>
        </w:rPr>
        <w:t xml:space="preserve"> </w:t>
      </w:r>
      <w:r>
        <w:rPr>
          <w:rFonts w:hint="eastAsia" w:ascii="宋体" w:hAnsi="宋体"/>
          <w:b/>
          <w:color w:val="auto"/>
          <w:sz w:val="30"/>
          <w:szCs w:val="32"/>
          <w:highlight w:val="none"/>
        </w:rPr>
        <w:t>日</w:t>
      </w:r>
    </w:p>
    <w:p>
      <w:pPr>
        <w:widowControl/>
        <w:jc w:val="left"/>
        <w:rPr>
          <w:rFonts w:ascii="Times New Roman" w:hAnsi="Times New Roman"/>
          <w:b/>
          <w:color w:val="auto"/>
          <w:sz w:val="22"/>
          <w:szCs w:val="22"/>
          <w:highlight w:val="none"/>
        </w:rPr>
      </w:pPr>
      <w:r>
        <w:rPr>
          <w:rFonts w:ascii="Times New Roman" w:hAnsi="Times New Roman"/>
          <w:b/>
          <w:color w:val="auto"/>
          <w:sz w:val="22"/>
          <w:szCs w:val="22"/>
          <w:highlight w:val="none"/>
        </w:rPr>
        <w:br w:type="page"/>
      </w:r>
    </w:p>
    <w:p>
      <w:pPr>
        <w:pStyle w:val="6"/>
        <w:jc w:val="center"/>
        <w:rPr>
          <w:rFonts w:ascii="宋体" w:hAnsi="宋体"/>
          <w:color w:val="auto"/>
          <w:sz w:val="22"/>
          <w:szCs w:val="22"/>
          <w:highlight w:val="none"/>
        </w:rPr>
      </w:pPr>
      <w:bookmarkStart w:id="195" w:name="_Toc401738102"/>
      <w:bookmarkStart w:id="196" w:name="_Toc326689516"/>
      <w:bookmarkStart w:id="197" w:name="_Toc61529870"/>
      <w:bookmarkStart w:id="198" w:name="_Toc321994781"/>
      <w:bookmarkStart w:id="199" w:name="_Toc427232350"/>
      <w:bookmarkStart w:id="200" w:name="_Toc395863121"/>
      <w:bookmarkStart w:id="201" w:name="_Toc441844116"/>
      <w:r>
        <w:rPr>
          <w:rFonts w:ascii="宋体" w:hAnsi="宋体"/>
          <w:color w:val="auto"/>
          <w:sz w:val="22"/>
          <w:szCs w:val="22"/>
          <w:highlight w:val="none"/>
        </w:rPr>
        <w:t>1、投标函</w:t>
      </w:r>
      <w:bookmarkEnd w:id="195"/>
      <w:bookmarkEnd w:id="196"/>
      <w:bookmarkEnd w:id="197"/>
      <w:bookmarkEnd w:id="198"/>
      <w:bookmarkEnd w:id="199"/>
      <w:bookmarkEnd w:id="200"/>
      <w:bookmarkEnd w:id="201"/>
    </w:p>
    <w:p>
      <w:pPr>
        <w:pStyle w:val="83"/>
        <w:adjustRightInd w:val="0"/>
        <w:snapToGrid w:val="0"/>
        <w:spacing w:line="360" w:lineRule="auto"/>
        <w:rPr>
          <w:rFonts w:ascii="宋体" w:eastAsia="宋体"/>
          <w:color w:val="auto"/>
          <w:sz w:val="22"/>
          <w:szCs w:val="22"/>
          <w:highlight w:val="none"/>
        </w:rPr>
      </w:pPr>
      <w:r>
        <w:rPr>
          <w:rFonts w:ascii="宋体" w:eastAsia="宋体"/>
          <w:color w:val="auto"/>
          <w:sz w:val="22"/>
          <w:szCs w:val="22"/>
          <w:highlight w:val="none"/>
        </w:rPr>
        <w:t>致：</w:t>
      </w:r>
      <w:r>
        <w:rPr>
          <w:rFonts w:ascii="宋体" w:eastAsia="宋体"/>
          <w:color w:val="auto"/>
          <w:sz w:val="22"/>
          <w:szCs w:val="22"/>
          <w:highlight w:val="none"/>
          <w:u w:val="single"/>
        </w:rPr>
        <w:t>（</w:t>
      </w:r>
      <w:r>
        <w:rPr>
          <w:rFonts w:hint="eastAsia" w:ascii="宋体" w:eastAsia="宋体"/>
          <w:color w:val="auto"/>
          <w:sz w:val="22"/>
          <w:szCs w:val="22"/>
          <w:highlight w:val="none"/>
          <w:u w:val="single"/>
        </w:rPr>
        <w:t>招标</w:t>
      </w:r>
      <w:r>
        <w:rPr>
          <w:rFonts w:ascii="宋体" w:eastAsia="宋体"/>
          <w:color w:val="auto"/>
          <w:sz w:val="22"/>
          <w:szCs w:val="22"/>
          <w:highlight w:val="none"/>
          <w:u w:val="single"/>
        </w:rPr>
        <w:t>代理机构名称）</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我方确认收到贵方提供的</w:t>
      </w:r>
      <w:r>
        <w:rPr>
          <w:rFonts w:ascii="宋体" w:eastAsia="宋体"/>
          <w:color w:val="auto"/>
          <w:sz w:val="22"/>
          <w:szCs w:val="22"/>
          <w:highlight w:val="none"/>
          <w:u w:val="single"/>
        </w:rPr>
        <w:t>　　　　　</w:t>
      </w:r>
      <w:r>
        <w:rPr>
          <w:rFonts w:ascii="宋体" w:eastAsia="宋体"/>
          <w:color w:val="auto"/>
          <w:sz w:val="22"/>
          <w:szCs w:val="22"/>
          <w:highlight w:val="none"/>
        </w:rPr>
        <w:t>等相关</w:t>
      </w:r>
      <w:r>
        <w:rPr>
          <w:rFonts w:hint="eastAsia" w:ascii="宋体" w:eastAsia="宋体"/>
          <w:color w:val="auto"/>
          <w:sz w:val="22"/>
          <w:szCs w:val="22"/>
          <w:highlight w:val="none"/>
        </w:rPr>
        <w:t>服务</w:t>
      </w:r>
      <w:r>
        <w:rPr>
          <w:rFonts w:ascii="宋体" w:eastAsia="宋体"/>
          <w:color w:val="auto"/>
          <w:sz w:val="22"/>
          <w:szCs w:val="22"/>
          <w:highlight w:val="none"/>
        </w:rPr>
        <w:t>的招标文件（</w:t>
      </w:r>
      <w:r>
        <w:rPr>
          <w:rFonts w:hint="eastAsia" w:ascii="宋体" w:eastAsia="宋体"/>
          <w:color w:val="auto"/>
          <w:sz w:val="22"/>
          <w:szCs w:val="22"/>
          <w:highlight w:val="none"/>
        </w:rPr>
        <w:t>项目</w:t>
      </w:r>
      <w:r>
        <w:rPr>
          <w:rFonts w:ascii="宋体" w:eastAsia="宋体"/>
          <w:color w:val="auto"/>
          <w:sz w:val="22"/>
          <w:szCs w:val="22"/>
          <w:highlight w:val="none"/>
        </w:rPr>
        <w:t>编号:</w:t>
      </w:r>
      <w:r>
        <w:rPr>
          <w:rFonts w:ascii="宋体" w:eastAsia="宋体"/>
          <w:color w:val="auto"/>
          <w:sz w:val="22"/>
          <w:szCs w:val="22"/>
          <w:highlight w:val="none"/>
          <w:u w:val="single"/>
        </w:rPr>
        <w:t xml:space="preserve">       </w:t>
      </w:r>
      <w:r>
        <w:rPr>
          <w:rFonts w:hint="eastAsia" w:ascii="宋体" w:eastAsia="宋体"/>
          <w:color w:val="auto"/>
          <w:sz w:val="22"/>
          <w:szCs w:val="22"/>
          <w:highlight w:val="none"/>
        </w:rPr>
        <w:t>包号：</w:t>
      </w:r>
      <w:r>
        <w:rPr>
          <w:rFonts w:hint="eastAsia" w:ascii="宋体" w:eastAsia="宋体"/>
          <w:color w:val="auto"/>
          <w:sz w:val="22"/>
          <w:szCs w:val="22"/>
          <w:highlight w:val="none"/>
          <w:u w:val="single"/>
        </w:rPr>
        <w:t xml:space="preserve"> </w:t>
      </w:r>
      <w:r>
        <w:rPr>
          <w:rFonts w:ascii="宋体" w:eastAsia="宋体"/>
          <w:color w:val="auto"/>
          <w:sz w:val="22"/>
          <w:szCs w:val="22"/>
          <w:highlight w:val="none"/>
          <w:u w:val="single"/>
        </w:rPr>
        <w:t xml:space="preserve"> </w:t>
      </w:r>
      <w:r>
        <w:rPr>
          <w:rFonts w:ascii="宋体" w:eastAsia="宋体"/>
          <w:color w:val="auto"/>
          <w:sz w:val="22"/>
          <w:szCs w:val="22"/>
          <w:highlight w:val="none"/>
        </w:rPr>
        <w:t>）的全部内容，我方：</w:t>
      </w:r>
      <w:r>
        <w:rPr>
          <w:rFonts w:ascii="宋体" w:eastAsia="宋体"/>
          <w:color w:val="auto"/>
          <w:sz w:val="22"/>
          <w:szCs w:val="22"/>
          <w:highlight w:val="none"/>
          <w:u w:val="single"/>
        </w:rPr>
        <w:t>（投标人名称）</w:t>
      </w:r>
      <w:r>
        <w:rPr>
          <w:rFonts w:ascii="宋体" w:eastAsia="宋体"/>
          <w:color w:val="auto"/>
          <w:sz w:val="22"/>
          <w:szCs w:val="22"/>
          <w:highlight w:val="none"/>
        </w:rPr>
        <w:t>作为投标人正式委托</w:t>
      </w:r>
      <w:r>
        <w:rPr>
          <w:rFonts w:ascii="宋体" w:eastAsia="宋体"/>
          <w:color w:val="auto"/>
          <w:sz w:val="22"/>
          <w:szCs w:val="22"/>
          <w:highlight w:val="none"/>
          <w:u w:val="single"/>
        </w:rPr>
        <w:t>　   （受委托人全名，职务）</w:t>
      </w:r>
      <w:r>
        <w:rPr>
          <w:rFonts w:ascii="宋体" w:eastAsia="宋体"/>
          <w:color w:val="auto"/>
          <w:sz w:val="22"/>
          <w:szCs w:val="22"/>
          <w:highlight w:val="none"/>
        </w:rPr>
        <w:t>代表我方进行有关本投标的一切事宜。</w:t>
      </w:r>
    </w:p>
    <w:p>
      <w:pPr>
        <w:pStyle w:val="67"/>
        <w:adjustRightInd w:val="0"/>
        <w:snapToGrid w:val="0"/>
        <w:spacing w:line="360" w:lineRule="auto"/>
        <w:ind w:firstLine="440" w:firstLineChars="200"/>
        <w:rPr>
          <w:rFonts w:ascii="宋体" w:eastAsia="宋体"/>
          <w:color w:val="auto"/>
          <w:sz w:val="22"/>
          <w:szCs w:val="22"/>
          <w:highlight w:val="none"/>
        </w:rPr>
      </w:pPr>
      <w:r>
        <w:rPr>
          <w:rFonts w:ascii="宋体" w:eastAsia="宋体"/>
          <w:color w:val="auto"/>
          <w:sz w:val="22"/>
          <w:szCs w:val="22"/>
          <w:highlight w:val="none"/>
        </w:rPr>
        <w:t>在此提交的投标文件，正本</w:t>
      </w:r>
      <w:r>
        <w:rPr>
          <w:rFonts w:ascii="宋体" w:eastAsia="宋体"/>
          <w:color w:val="auto"/>
          <w:sz w:val="22"/>
          <w:szCs w:val="22"/>
          <w:highlight w:val="none"/>
          <w:u w:val="single"/>
        </w:rPr>
        <w:t>1</w:t>
      </w:r>
      <w:r>
        <w:rPr>
          <w:rFonts w:ascii="宋体" w:eastAsia="宋体"/>
          <w:color w:val="auto"/>
          <w:sz w:val="22"/>
          <w:szCs w:val="22"/>
          <w:highlight w:val="none"/>
        </w:rPr>
        <w:t>套，副本</w:t>
      </w:r>
      <w:r>
        <w:rPr>
          <w:rFonts w:ascii="宋体" w:eastAsia="宋体"/>
          <w:color w:val="auto"/>
          <w:sz w:val="22"/>
          <w:szCs w:val="22"/>
          <w:highlight w:val="none"/>
          <w:u w:val="single"/>
        </w:rPr>
        <w:t>5</w:t>
      </w:r>
      <w:r>
        <w:rPr>
          <w:rFonts w:ascii="宋体" w:eastAsia="宋体"/>
          <w:color w:val="auto"/>
          <w:sz w:val="22"/>
          <w:szCs w:val="22"/>
          <w:highlight w:val="none"/>
        </w:rPr>
        <w:t>套，唱标信封</w:t>
      </w:r>
      <w:r>
        <w:rPr>
          <w:rFonts w:ascii="宋体" w:eastAsia="宋体"/>
          <w:color w:val="auto"/>
          <w:sz w:val="22"/>
          <w:szCs w:val="22"/>
          <w:highlight w:val="none"/>
          <w:u w:val="single"/>
        </w:rPr>
        <w:t>1</w:t>
      </w:r>
      <w:r>
        <w:rPr>
          <w:rFonts w:ascii="宋体" w:eastAsia="宋体"/>
          <w:color w:val="auto"/>
          <w:sz w:val="22"/>
          <w:szCs w:val="22"/>
          <w:highlight w:val="none"/>
        </w:rPr>
        <w:t>份，包括如下等内容：</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1．价格部分文件；</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2．商务</w:t>
      </w:r>
      <w:r>
        <w:rPr>
          <w:rFonts w:hint="eastAsia" w:ascii="宋体" w:eastAsia="宋体"/>
          <w:color w:val="auto"/>
          <w:sz w:val="22"/>
          <w:szCs w:val="22"/>
          <w:highlight w:val="none"/>
        </w:rPr>
        <w:t>、技术</w:t>
      </w:r>
      <w:r>
        <w:rPr>
          <w:rFonts w:ascii="宋体" w:eastAsia="宋体"/>
          <w:color w:val="auto"/>
          <w:sz w:val="22"/>
          <w:szCs w:val="22"/>
          <w:highlight w:val="none"/>
        </w:rPr>
        <w:t>部分文件；</w:t>
      </w:r>
    </w:p>
    <w:p>
      <w:pPr>
        <w:pStyle w:val="67"/>
        <w:adjustRightInd w:val="0"/>
        <w:snapToGrid w:val="0"/>
        <w:spacing w:line="360" w:lineRule="auto"/>
        <w:ind w:firstLine="440" w:firstLineChars="200"/>
        <w:rPr>
          <w:rFonts w:ascii="宋体" w:eastAsia="宋体"/>
          <w:color w:val="auto"/>
          <w:sz w:val="22"/>
          <w:szCs w:val="22"/>
          <w:highlight w:val="none"/>
        </w:rPr>
      </w:pPr>
      <w:r>
        <w:rPr>
          <w:rFonts w:ascii="宋体" w:eastAsia="宋体"/>
          <w:color w:val="auto"/>
          <w:sz w:val="22"/>
          <w:szCs w:val="22"/>
          <w:highlight w:val="none"/>
        </w:rPr>
        <w:t>3．唱标信封（内含电子版投标文件）；</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 xml:space="preserve"> 我方己完全明白招标文件的所有条款要求，并重申以下几点：</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（—）我方决定参加</w:t>
      </w:r>
      <w:r>
        <w:rPr>
          <w:rFonts w:hint="eastAsia" w:ascii="宋体" w:eastAsia="宋体"/>
          <w:color w:val="auto"/>
          <w:sz w:val="22"/>
          <w:szCs w:val="22"/>
          <w:highlight w:val="none"/>
        </w:rPr>
        <w:t>项目</w:t>
      </w:r>
      <w:r>
        <w:rPr>
          <w:rFonts w:ascii="宋体" w:eastAsia="宋体"/>
          <w:color w:val="auto"/>
          <w:sz w:val="22"/>
          <w:szCs w:val="22"/>
          <w:highlight w:val="none"/>
        </w:rPr>
        <w:t>编号为</w:t>
      </w:r>
      <w:r>
        <w:rPr>
          <w:rFonts w:ascii="宋体" w:eastAsia="宋体"/>
          <w:color w:val="auto"/>
          <w:sz w:val="22"/>
          <w:szCs w:val="22"/>
          <w:highlight w:val="none"/>
          <w:u w:val="single"/>
        </w:rPr>
        <w:t xml:space="preserve">       </w:t>
      </w:r>
      <w:r>
        <w:rPr>
          <w:rFonts w:ascii="宋体" w:eastAsia="宋体"/>
          <w:color w:val="auto"/>
          <w:sz w:val="22"/>
          <w:szCs w:val="22"/>
          <w:highlight w:val="none"/>
        </w:rPr>
        <w:t>的投标；</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（二）</w:t>
      </w:r>
      <w:r>
        <w:rPr>
          <w:rFonts w:hint="eastAsia" w:ascii="宋体" w:eastAsia="宋体"/>
          <w:color w:val="auto"/>
          <w:sz w:val="22"/>
          <w:szCs w:val="22"/>
          <w:highlight w:val="none"/>
        </w:rPr>
        <w:t>全部有关服务的投标总价</w:t>
      </w:r>
      <w:r>
        <w:rPr>
          <w:rFonts w:ascii="宋体" w:eastAsia="宋体"/>
          <w:color w:val="auto"/>
          <w:sz w:val="22"/>
          <w:szCs w:val="22"/>
          <w:highlight w:val="none"/>
        </w:rPr>
        <w:t>（详见</w:t>
      </w:r>
      <w:r>
        <w:rPr>
          <w:rFonts w:hint="eastAsia" w:ascii="宋体" w:eastAsia="宋体"/>
          <w:color w:val="auto"/>
          <w:sz w:val="22"/>
          <w:szCs w:val="22"/>
          <w:highlight w:val="none"/>
        </w:rPr>
        <w:t>投标报价一览表</w:t>
      </w:r>
      <w:r>
        <w:rPr>
          <w:rFonts w:ascii="宋体" w:eastAsia="宋体"/>
          <w:color w:val="auto"/>
          <w:sz w:val="22"/>
          <w:szCs w:val="22"/>
          <w:highlight w:val="none"/>
        </w:rPr>
        <w:t>）；</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（三）本投标文件的有效期自投标截止日后</w:t>
      </w:r>
      <w:r>
        <w:rPr>
          <w:rFonts w:hint="eastAsia" w:ascii="宋体" w:eastAsia="宋体"/>
          <w:color w:val="auto"/>
          <w:sz w:val="22"/>
          <w:szCs w:val="22"/>
          <w:highlight w:val="none"/>
        </w:rPr>
        <w:t>120</w:t>
      </w:r>
      <w:r>
        <w:rPr>
          <w:rFonts w:ascii="宋体" w:eastAsia="宋体"/>
          <w:color w:val="auto"/>
          <w:sz w:val="22"/>
          <w:szCs w:val="22"/>
          <w:highlight w:val="none"/>
        </w:rPr>
        <w:t>天有效，如中标，有效期将延至合同终止日为止；</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（四）我方已详细研究了招标文件的所有内容包括相关资料及修正文（如果有），对本项目招标文件的所有内容已清楚，接受本招标文件的所有条款及要求；</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（五）我方明白并愿意在规定的开标时间和日期之后，投标有效期之内撤回投标，则投标保证金将被贵方没收；</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（六）我方同意按照贵方可能提出的要求而提供与投标有关的任何其它数据或信息；</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（七）我方理解贵方不一定接受最低标价或任何贵方可能收到的投标；</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（八）我方如果中标，将保证履行招标文件以及招标文件修改书（如果有的话）中的全部责任和义务，按质、按量、按期完成《合同书》中的全部任务；</w:t>
      </w:r>
    </w:p>
    <w:p>
      <w:pPr>
        <w:pStyle w:val="67"/>
        <w:adjustRightInd w:val="0"/>
        <w:snapToGrid w:val="0"/>
        <w:spacing w:line="360" w:lineRule="auto"/>
        <w:ind w:firstLine="453"/>
        <w:rPr>
          <w:rFonts w:ascii="宋体" w:eastAsia="宋体"/>
          <w:color w:val="auto"/>
          <w:sz w:val="22"/>
          <w:szCs w:val="22"/>
          <w:highlight w:val="none"/>
        </w:rPr>
      </w:pPr>
      <w:r>
        <w:rPr>
          <w:rFonts w:ascii="宋体" w:eastAsia="宋体"/>
          <w:color w:val="auto"/>
          <w:sz w:val="22"/>
          <w:szCs w:val="22"/>
          <w:highlight w:val="none"/>
        </w:rPr>
        <w:t>（九）所有与本投标有关的函件请发往下列地址：</w:t>
      </w:r>
    </w:p>
    <w:p>
      <w:pPr>
        <w:adjustRightInd w:val="0"/>
        <w:snapToGrid w:val="0"/>
        <w:spacing w:line="360" w:lineRule="auto"/>
        <w:rPr>
          <w:rFonts w:ascii="宋体" w:hAnsi="宋体"/>
          <w:color w:val="auto"/>
          <w:sz w:val="22"/>
          <w:szCs w:val="22"/>
          <w:highlight w:val="none"/>
        </w:rPr>
      </w:pPr>
      <w:r>
        <w:rPr>
          <w:rFonts w:ascii="宋体" w:hAnsi="宋体"/>
          <w:color w:val="auto"/>
          <w:sz w:val="22"/>
          <w:szCs w:val="22"/>
          <w:highlight w:val="none"/>
        </w:rPr>
        <w:t>地  　址：</w:t>
      </w:r>
      <w:r>
        <w:rPr>
          <w:rFonts w:ascii="宋体" w:hAnsi="宋体"/>
          <w:color w:val="auto"/>
          <w:sz w:val="22"/>
          <w:szCs w:val="22"/>
          <w:highlight w:val="none"/>
          <w:u w:val="single"/>
        </w:rPr>
        <w:t>　　　　　　　　　　</w:t>
      </w:r>
      <w:r>
        <w:rPr>
          <w:rFonts w:ascii="宋体" w:hAnsi="宋体"/>
          <w:color w:val="auto"/>
          <w:sz w:val="22"/>
          <w:szCs w:val="22"/>
          <w:highlight w:val="none"/>
        </w:rPr>
        <w:t>　 邮政编码：　　　　　</w:t>
      </w:r>
    </w:p>
    <w:p>
      <w:pPr>
        <w:adjustRightInd w:val="0"/>
        <w:snapToGrid w:val="0"/>
        <w:spacing w:line="360" w:lineRule="auto"/>
        <w:rPr>
          <w:rFonts w:ascii="宋体" w:hAnsi="宋体"/>
          <w:color w:val="auto"/>
          <w:sz w:val="22"/>
          <w:szCs w:val="22"/>
          <w:highlight w:val="none"/>
          <w:u w:val="single"/>
        </w:rPr>
      </w:pPr>
      <w:r>
        <w:rPr>
          <w:rFonts w:ascii="宋体" w:hAnsi="宋体"/>
          <w:color w:val="auto"/>
          <w:sz w:val="22"/>
          <w:szCs w:val="22"/>
          <w:highlight w:val="none"/>
        </w:rPr>
        <w:t>联系人：</w:t>
      </w:r>
    </w:p>
    <w:p>
      <w:pPr>
        <w:adjustRightInd w:val="0"/>
        <w:snapToGrid w:val="0"/>
        <w:spacing w:line="360" w:lineRule="auto"/>
        <w:rPr>
          <w:rFonts w:ascii="宋体" w:hAnsi="宋体"/>
          <w:color w:val="auto"/>
          <w:sz w:val="22"/>
          <w:szCs w:val="22"/>
          <w:highlight w:val="none"/>
          <w:u w:val="single"/>
        </w:rPr>
      </w:pPr>
      <w:r>
        <w:rPr>
          <w:rFonts w:ascii="宋体" w:hAnsi="宋体"/>
          <w:color w:val="auto"/>
          <w:sz w:val="22"/>
          <w:szCs w:val="22"/>
          <w:highlight w:val="none"/>
        </w:rPr>
        <w:t>联系电话：</w:t>
      </w:r>
      <w:r>
        <w:rPr>
          <w:rFonts w:ascii="宋体" w:hAnsi="宋体"/>
          <w:color w:val="auto"/>
          <w:sz w:val="22"/>
          <w:szCs w:val="22"/>
          <w:highlight w:val="none"/>
          <w:u w:val="single"/>
        </w:rPr>
        <w:t>　　　　　　　　　　</w:t>
      </w:r>
      <w:r>
        <w:rPr>
          <w:rFonts w:ascii="宋体" w:hAnsi="宋体"/>
          <w:color w:val="auto"/>
          <w:sz w:val="22"/>
          <w:szCs w:val="22"/>
          <w:highlight w:val="none"/>
        </w:rPr>
        <w:t xml:space="preserve">   传　　真：</w:t>
      </w:r>
      <w:r>
        <w:rPr>
          <w:rFonts w:ascii="宋体" w:hAnsi="宋体"/>
          <w:color w:val="auto"/>
          <w:sz w:val="22"/>
          <w:szCs w:val="22"/>
          <w:highlight w:val="none"/>
          <w:u w:val="single"/>
        </w:rPr>
        <w:t xml:space="preserve">　　　　　　   </w:t>
      </w:r>
    </w:p>
    <w:p>
      <w:pPr>
        <w:pStyle w:val="67"/>
        <w:adjustRightInd w:val="0"/>
        <w:snapToGrid w:val="0"/>
        <w:spacing w:line="360" w:lineRule="auto"/>
        <w:ind w:firstLine="3520" w:firstLineChars="1600"/>
        <w:rPr>
          <w:rFonts w:ascii="Times New Roman" w:hAnsi="Times New Roman" w:eastAsia="宋体"/>
          <w:color w:val="auto"/>
          <w:sz w:val="22"/>
          <w:szCs w:val="22"/>
          <w:highlight w:val="none"/>
        </w:rPr>
      </w:pPr>
      <w:r>
        <w:rPr>
          <w:rFonts w:ascii="Times New Roman" w:hAnsi="Times New Roman" w:eastAsia="宋体"/>
          <w:color w:val="auto"/>
          <w:sz w:val="22"/>
          <w:szCs w:val="22"/>
          <w:highlight w:val="none"/>
        </w:rPr>
        <w:t>投标人名称（</w:t>
      </w:r>
      <w:r>
        <w:rPr>
          <w:rFonts w:hint="eastAsia" w:ascii="Times New Roman" w:hAnsi="Times New Roman" w:eastAsia="宋体"/>
          <w:color w:val="auto"/>
          <w:sz w:val="22"/>
          <w:szCs w:val="22"/>
          <w:highlight w:val="none"/>
        </w:rPr>
        <w:t>加盖</w:t>
      </w:r>
      <w:r>
        <w:rPr>
          <w:rFonts w:ascii="Times New Roman" w:hAnsi="Times New Roman" w:eastAsia="宋体"/>
          <w:color w:val="auto"/>
          <w:sz w:val="22"/>
          <w:szCs w:val="22"/>
          <w:highlight w:val="none"/>
        </w:rPr>
        <w:t>公章）：</w:t>
      </w:r>
      <w:r>
        <w:rPr>
          <w:rFonts w:ascii="Times New Roman" w:hAnsi="Times New Roman" w:eastAsia="宋体"/>
          <w:color w:val="auto"/>
          <w:sz w:val="22"/>
          <w:szCs w:val="22"/>
          <w:highlight w:val="none"/>
          <w:u w:val="single"/>
        </w:rPr>
        <w:t xml:space="preserve">                         </w:t>
      </w:r>
    </w:p>
    <w:p>
      <w:pPr>
        <w:pStyle w:val="67"/>
        <w:adjustRightInd w:val="0"/>
        <w:snapToGrid w:val="0"/>
        <w:spacing w:line="360" w:lineRule="auto"/>
        <w:ind w:firstLine="3520" w:firstLineChars="1600"/>
        <w:rPr>
          <w:rFonts w:ascii="Times New Roman" w:hAnsi="Times New Roman" w:eastAsia="宋体"/>
          <w:color w:val="auto"/>
          <w:sz w:val="22"/>
          <w:szCs w:val="22"/>
          <w:highlight w:val="none"/>
        </w:rPr>
      </w:pPr>
      <w:r>
        <w:rPr>
          <w:rFonts w:ascii="Times New Roman" w:hAnsi="Times New Roman" w:eastAsia="宋体"/>
          <w:color w:val="auto"/>
          <w:sz w:val="22"/>
          <w:szCs w:val="22"/>
          <w:highlight w:val="none"/>
        </w:rPr>
        <w:t>投标人地址：</w:t>
      </w:r>
      <w:r>
        <w:rPr>
          <w:rFonts w:ascii="Times New Roman" w:hAnsi="Times New Roman" w:eastAsia="宋体"/>
          <w:color w:val="auto"/>
          <w:sz w:val="22"/>
          <w:szCs w:val="22"/>
          <w:highlight w:val="none"/>
          <w:u w:val="single"/>
        </w:rPr>
        <w:t xml:space="preserve">                         </w:t>
      </w:r>
    </w:p>
    <w:p>
      <w:pPr>
        <w:pStyle w:val="67"/>
        <w:adjustRightInd w:val="0"/>
        <w:snapToGrid w:val="0"/>
        <w:spacing w:line="360" w:lineRule="auto"/>
        <w:ind w:firstLine="3520" w:firstLineChars="1600"/>
        <w:rPr>
          <w:rFonts w:ascii="Times New Roman" w:hAnsi="Times New Roman" w:eastAsia="宋体"/>
          <w:color w:val="auto"/>
          <w:sz w:val="22"/>
          <w:szCs w:val="22"/>
          <w:highlight w:val="none"/>
        </w:rPr>
      </w:pPr>
      <w:r>
        <w:rPr>
          <w:rFonts w:hint="eastAsia" w:ascii="Times New Roman" w:hAnsi="Times New Roman" w:eastAsia="宋体"/>
          <w:color w:val="auto"/>
          <w:sz w:val="22"/>
          <w:szCs w:val="22"/>
          <w:highlight w:val="none"/>
        </w:rPr>
        <w:t>投标人法定代表人或被授权人（签名或盖私章）</w:t>
      </w:r>
      <w:r>
        <w:rPr>
          <w:rFonts w:ascii="Times New Roman" w:hAnsi="Times New Roman" w:eastAsia="宋体"/>
          <w:color w:val="auto"/>
          <w:sz w:val="22"/>
          <w:szCs w:val="22"/>
          <w:highlight w:val="none"/>
        </w:rPr>
        <w:t>：</w:t>
      </w:r>
    </w:p>
    <w:p>
      <w:pPr>
        <w:pStyle w:val="67"/>
        <w:adjustRightInd w:val="0"/>
        <w:snapToGrid w:val="0"/>
        <w:spacing w:line="360" w:lineRule="auto"/>
        <w:ind w:firstLine="3520" w:firstLineChars="1600"/>
        <w:rPr>
          <w:rFonts w:ascii="宋体" w:eastAsia="宋体"/>
          <w:color w:val="auto"/>
          <w:sz w:val="22"/>
          <w:szCs w:val="22"/>
          <w:highlight w:val="none"/>
        </w:rPr>
      </w:pPr>
      <w:r>
        <w:rPr>
          <w:rFonts w:ascii="Times New Roman" w:hAnsi="Times New Roman" w:eastAsia="宋体"/>
          <w:color w:val="auto"/>
          <w:sz w:val="22"/>
          <w:szCs w:val="22"/>
          <w:highlight w:val="none"/>
        </w:rPr>
        <w:t>日　　　期：</w:t>
      </w:r>
      <w:r>
        <w:rPr>
          <w:rFonts w:ascii="宋体" w:eastAsia="宋体"/>
          <w:color w:val="auto"/>
          <w:sz w:val="22"/>
          <w:szCs w:val="22"/>
          <w:highlight w:val="none"/>
        </w:rPr>
        <w:t>　年　　月　　日</w:t>
      </w:r>
    </w:p>
    <w:p>
      <w:pPr>
        <w:pStyle w:val="67"/>
        <w:adjustRightInd w:val="0"/>
        <w:snapToGrid w:val="0"/>
        <w:spacing w:line="360" w:lineRule="auto"/>
        <w:ind w:firstLine="3520" w:firstLineChars="1600"/>
        <w:rPr>
          <w:rFonts w:ascii="Times New Roman" w:hAnsi="Times New Roman" w:eastAsia="宋体"/>
          <w:color w:val="auto"/>
          <w:sz w:val="22"/>
          <w:szCs w:val="22"/>
          <w:highlight w:val="none"/>
        </w:rPr>
      </w:pPr>
    </w:p>
    <w:p>
      <w:pPr>
        <w:pStyle w:val="83"/>
        <w:adjustRightInd w:val="0"/>
        <w:snapToGrid w:val="0"/>
        <w:spacing w:line="360" w:lineRule="auto"/>
        <w:rPr>
          <w:rFonts w:ascii="Times New Roman" w:hAnsi="Times New Roman" w:eastAsia="宋体"/>
          <w:color w:val="auto"/>
          <w:sz w:val="21"/>
          <w:szCs w:val="21"/>
          <w:highlight w:val="none"/>
        </w:rPr>
      </w:pPr>
    </w:p>
    <w:p>
      <w:pPr>
        <w:pStyle w:val="6"/>
        <w:adjustRightInd w:val="0"/>
        <w:snapToGrid w:val="0"/>
        <w:spacing w:line="360" w:lineRule="auto"/>
        <w:jc w:val="center"/>
        <w:rPr>
          <w:rFonts w:ascii="宋体" w:hAnsi="宋体"/>
          <w:color w:val="auto"/>
          <w:sz w:val="22"/>
          <w:szCs w:val="22"/>
          <w:highlight w:val="none"/>
        </w:rPr>
      </w:pPr>
      <w:bookmarkStart w:id="202" w:name="_Toc441844117"/>
      <w:bookmarkStart w:id="203" w:name="_Toc61529871"/>
      <w:r>
        <w:rPr>
          <w:rFonts w:ascii="宋体" w:hAnsi="宋体"/>
          <w:color w:val="auto"/>
          <w:sz w:val="22"/>
          <w:szCs w:val="22"/>
          <w:highlight w:val="none"/>
        </w:rPr>
        <w:t>2、承诺书</w:t>
      </w:r>
      <w:bookmarkEnd w:id="202"/>
      <w:bookmarkEnd w:id="203"/>
      <w:r>
        <w:rPr>
          <w:rFonts w:ascii="宋体" w:hAnsi="宋体"/>
          <w:color w:val="auto"/>
          <w:sz w:val="22"/>
          <w:szCs w:val="22"/>
          <w:highlight w:val="none"/>
        </w:rPr>
        <w:cr/>
      </w:r>
    </w:p>
    <w:p>
      <w:pPr>
        <w:adjustRightInd w:val="0"/>
        <w:snapToGrid w:val="0"/>
        <w:spacing w:line="360" w:lineRule="auto"/>
        <w:rPr>
          <w:rFonts w:ascii="宋体" w:hAnsi="宋体"/>
          <w:color w:val="auto"/>
          <w:sz w:val="22"/>
          <w:szCs w:val="22"/>
          <w:highlight w:val="none"/>
        </w:rPr>
      </w:pPr>
      <w:r>
        <w:rPr>
          <w:rFonts w:ascii="宋体" w:hAnsi="宋体"/>
          <w:color w:val="auto"/>
          <w:sz w:val="22"/>
          <w:szCs w:val="22"/>
          <w:highlight w:val="none"/>
        </w:rPr>
        <w:t>致：</w:t>
      </w:r>
      <w:r>
        <w:rPr>
          <w:rFonts w:ascii="宋体" w:hAnsi="宋体"/>
          <w:color w:val="auto"/>
          <w:sz w:val="22"/>
          <w:szCs w:val="22"/>
          <w:highlight w:val="none"/>
          <w:u w:val="single"/>
        </w:rPr>
        <w:t>（</w:t>
      </w:r>
      <w:r>
        <w:rPr>
          <w:rFonts w:hint="eastAsia" w:ascii="宋体" w:hAnsi="宋体"/>
          <w:color w:val="auto"/>
          <w:sz w:val="22"/>
          <w:szCs w:val="22"/>
          <w:highlight w:val="none"/>
          <w:u w:val="single"/>
        </w:rPr>
        <w:t>招标</w:t>
      </w:r>
      <w:r>
        <w:rPr>
          <w:rFonts w:ascii="宋体" w:hAnsi="宋体"/>
          <w:color w:val="auto"/>
          <w:sz w:val="22"/>
          <w:szCs w:val="22"/>
          <w:highlight w:val="none"/>
          <w:u w:val="single"/>
        </w:rPr>
        <w:t>代理机构名称）</w:t>
      </w:r>
    </w:p>
    <w:p>
      <w:pPr>
        <w:adjustRightInd w:val="0"/>
        <w:snapToGrid w:val="0"/>
        <w:spacing w:line="360" w:lineRule="auto"/>
        <w:ind w:firstLine="420"/>
        <w:rPr>
          <w:rFonts w:ascii="宋体" w:hAnsi="宋体"/>
          <w:color w:val="auto"/>
          <w:sz w:val="22"/>
          <w:szCs w:val="22"/>
          <w:highlight w:val="none"/>
        </w:rPr>
      </w:pPr>
      <w:r>
        <w:rPr>
          <w:rFonts w:ascii="宋体" w:hAnsi="宋体"/>
          <w:color w:val="auto"/>
          <w:sz w:val="22"/>
          <w:szCs w:val="22"/>
          <w:highlight w:val="none"/>
        </w:rPr>
        <w:t>我方已完整阅读了</w:t>
      </w:r>
      <w:r>
        <w:rPr>
          <w:rFonts w:ascii="宋体" w:hAnsi="宋体"/>
          <w:color w:val="auto"/>
          <w:sz w:val="22"/>
          <w:szCs w:val="22"/>
          <w:highlight w:val="none"/>
          <w:u w:val="single"/>
        </w:rPr>
        <w:t xml:space="preserve">                 </w:t>
      </w:r>
      <w:r>
        <w:rPr>
          <w:rFonts w:ascii="宋体" w:hAnsi="宋体"/>
          <w:color w:val="auto"/>
          <w:sz w:val="22"/>
          <w:szCs w:val="22"/>
          <w:highlight w:val="none"/>
        </w:rPr>
        <w:t>项目（</w:t>
      </w:r>
      <w:r>
        <w:rPr>
          <w:rFonts w:hint="eastAsia" w:ascii="宋体" w:hAnsi="宋体"/>
          <w:color w:val="auto"/>
          <w:sz w:val="22"/>
          <w:szCs w:val="22"/>
          <w:highlight w:val="none"/>
        </w:rPr>
        <w:t>项目</w:t>
      </w:r>
      <w:r>
        <w:rPr>
          <w:rFonts w:ascii="宋体" w:hAnsi="宋体"/>
          <w:color w:val="auto"/>
          <w:sz w:val="22"/>
          <w:szCs w:val="22"/>
          <w:highlight w:val="none"/>
        </w:rPr>
        <w:t>编号：</w:t>
      </w:r>
      <w:r>
        <w:rPr>
          <w:rFonts w:ascii="宋体" w:hAnsi="宋体"/>
          <w:color w:val="auto"/>
          <w:sz w:val="22"/>
          <w:szCs w:val="22"/>
          <w:highlight w:val="none"/>
          <w:u w:val="single"/>
        </w:rPr>
        <w:t xml:space="preserve">         </w:t>
      </w:r>
      <w:r>
        <w:rPr>
          <w:rFonts w:hint="eastAsia" w:ascii="宋体"/>
          <w:color w:val="auto"/>
          <w:sz w:val="22"/>
          <w:szCs w:val="22"/>
          <w:highlight w:val="none"/>
        </w:rPr>
        <w:t>包号：</w:t>
      </w:r>
      <w:r>
        <w:rPr>
          <w:rFonts w:hint="eastAsia" w:ascii="宋体"/>
          <w:color w:val="auto"/>
          <w:sz w:val="22"/>
          <w:szCs w:val="22"/>
          <w:highlight w:val="none"/>
          <w:u w:val="single"/>
        </w:rPr>
        <w:t xml:space="preserve"> </w:t>
      </w:r>
      <w:r>
        <w:rPr>
          <w:rFonts w:ascii="宋体"/>
          <w:color w:val="auto"/>
          <w:sz w:val="22"/>
          <w:szCs w:val="22"/>
          <w:highlight w:val="none"/>
          <w:u w:val="single"/>
        </w:rPr>
        <w:t xml:space="preserve">  </w:t>
      </w:r>
      <w:r>
        <w:rPr>
          <w:rFonts w:ascii="宋体" w:hAnsi="宋体"/>
          <w:color w:val="auto"/>
          <w:sz w:val="22"/>
          <w:szCs w:val="22"/>
          <w:highlight w:val="none"/>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color w:val="auto"/>
          <w:sz w:val="22"/>
          <w:szCs w:val="22"/>
          <w:highlight w:val="none"/>
        </w:rPr>
        <w:cr/>
      </w:r>
    </w:p>
    <w:p>
      <w:pPr>
        <w:adjustRightInd w:val="0"/>
        <w:snapToGrid w:val="0"/>
        <w:spacing w:line="360" w:lineRule="auto"/>
        <w:ind w:firstLine="420"/>
        <w:rPr>
          <w:rFonts w:ascii="宋体" w:hAnsi="宋体"/>
          <w:color w:val="auto"/>
          <w:sz w:val="22"/>
          <w:szCs w:val="22"/>
          <w:highlight w:val="none"/>
        </w:rPr>
      </w:pPr>
    </w:p>
    <w:p>
      <w:pPr>
        <w:adjustRightInd w:val="0"/>
        <w:snapToGrid w:val="0"/>
        <w:spacing w:line="360" w:lineRule="auto"/>
        <w:ind w:firstLine="420"/>
        <w:rPr>
          <w:rFonts w:ascii="宋体" w:hAnsi="宋体"/>
          <w:color w:val="auto"/>
          <w:sz w:val="22"/>
          <w:szCs w:val="22"/>
          <w:highlight w:val="none"/>
        </w:rPr>
      </w:pPr>
    </w:p>
    <w:p>
      <w:pPr>
        <w:adjustRightInd w:val="0"/>
        <w:snapToGrid w:val="0"/>
        <w:spacing w:line="360" w:lineRule="auto"/>
        <w:ind w:firstLine="420"/>
        <w:rPr>
          <w:rFonts w:ascii="宋体" w:hAnsi="宋体"/>
          <w:color w:val="auto"/>
          <w:sz w:val="22"/>
          <w:szCs w:val="22"/>
          <w:highlight w:val="none"/>
        </w:rPr>
      </w:pPr>
    </w:p>
    <w:p>
      <w:pPr>
        <w:pStyle w:val="67"/>
        <w:adjustRightInd w:val="0"/>
        <w:snapToGrid w:val="0"/>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投标人名称（</w:t>
      </w:r>
      <w:r>
        <w:rPr>
          <w:rFonts w:hint="eastAsia" w:ascii="宋体" w:eastAsia="宋体"/>
          <w:color w:val="auto"/>
          <w:sz w:val="22"/>
          <w:szCs w:val="22"/>
          <w:highlight w:val="none"/>
        </w:rPr>
        <w:t>加盖</w:t>
      </w:r>
      <w:r>
        <w:rPr>
          <w:rFonts w:ascii="宋体" w:eastAsia="宋体"/>
          <w:color w:val="auto"/>
          <w:sz w:val="22"/>
          <w:szCs w:val="22"/>
          <w:highlight w:val="none"/>
        </w:rPr>
        <w:t>公章）：</w:t>
      </w:r>
    </w:p>
    <w:p>
      <w:pPr>
        <w:pStyle w:val="67"/>
        <w:adjustRightInd w:val="0"/>
        <w:snapToGrid w:val="0"/>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投标人法定代表人或</w:t>
      </w:r>
      <w:r>
        <w:rPr>
          <w:rFonts w:hint="eastAsia" w:ascii="宋体" w:eastAsia="宋体"/>
          <w:color w:val="auto"/>
          <w:sz w:val="22"/>
          <w:szCs w:val="22"/>
          <w:highlight w:val="none"/>
        </w:rPr>
        <w:t>被授权人</w:t>
      </w:r>
      <w:r>
        <w:rPr>
          <w:rFonts w:ascii="宋体" w:eastAsia="宋体"/>
          <w:color w:val="auto"/>
          <w:sz w:val="22"/>
          <w:szCs w:val="22"/>
          <w:highlight w:val="none"/>
        </w:rPr>
        <w:t>（</w:t>
      </w:r>
      <w:r>
        <w:rPr>
          <w:rFonts w:hint="eastAsia" w:ascii="宋体" w:eastAsia="宋体"/>
          <w:color w:val="auto"/>
          <w:sz w:val="22"/>
          <w:szCs w:val="22"/>
          <w:highlight w:val="none"/>
        </w:rPr>
        <w:t>签名或盖章</w:t>
      </w:r>
      <w:r>
        <w:rPr>
          <w:rFonts w:ascii="宋体" w:eastAsia="宋体"/>
          <w:color w:val="auto"/>
          <w:sz w:val="22"/>
          <w:szCs w:val="22"/>
          <w:highlight w:val="none"/>
        </w:rPr>
        <w:t>）：</w:t>
      </w:r>
    </w:p>
    <w:p>
      <w:pPr>
        <w:pStyle w:val="67"/>
        <w:adjustRightInd w:val="0"/>
        <w:snapToGrid w:val="0"/>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日期：　　年　　月　　日</w:t>
      </w:r>
    </w:p>
    <w:p>
      <w:pPr>
        <w:adjustRightInd w:val="0"/>
        <w:snapToGrid w:val="0"/>
        <w:spacing w:line="360" w:lineRule="auto"/>
        <w:rPr>
          <w:rFonts w:ascii="宋体" w:hAnsi="宋体"/>
          <w:color w:val="auto"/>
          <w:sz w:val="22"/>
          <w:szCs w:val="22"/>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widowControl/>
        <w:jc w:val="left"/>
        <w:rPr>
          <w:rFonts w:ascii="Times New Roman" w:hAnsi="Times New Roman"/>
          <w:color w:val="auto"/>
          <w:highlight w:val="none"/>
        </w:rPr>
      </w:pPr>
      <w:r>
        <w:rPr>
          <w:rFonts w:ascii="Times New Roman" w:hAnsi="Times New Roman"/>
          <w:color w:val="auto"/>
          <w:highlight w:val="none"/>
        </w:rPr>
        <w:br w:type="page"/>
      </w:r>
    </w:p>
    <w:p>
      <w:pPr>
        <w:spacing w:line="360" w:lineRule="auto"/>
        <w:rPr>
          <w:rFonts w:ascii="Times New Roman" w:hAnsi="Times New Roman"/>
          <w:color w:val="auto"/>
          <w:highlight w:val="none"/>
        </w:rPr>
      </w:pPr>
    </w:p>
    <w:p>
      <w:pPr>
        <w:pStyle w:val="6"/>
        <w:jc w:val="center"/>
        <w:rPr>
          <w:rFonts w:ascii="宋体" w:hAnsi="宋体"/>
          <w:color w:val="auto"/>
          <w:sz w:val="22"/>
          <w:szCs w:val="22"/>
          <w:highlight w:val="none"/>
        </w:rPr>
      </w:pPr>
      <w:bookmarkStart w:id="204" w:name="_Toc441844118"/>
      <w:bookmarkStart w:id="205" w:name="_Toc61529872"/>
      <w:r>
        <w:rPr>
          <w:rFonts w:ascii="宋体" w:hAnsi="宋体"/>
          <w:color w:val="auto"/>
          <w:sz w:val="22"/>
          <w:szCs w:val="22"/>
          <w:highlight w:val="none"/>
        </w:rPr>
        <w:t>3、</w:t>
      </w:r>
      <w:bookmarkStart w:id="206" w:name="_Toc321994782"/>
      <w:bookmarkStart w:id="207" w:name="_Toc395863122"/>
      <w:bookmarkStart w:id="208" w:name="_Toc401738103"/>
      <w:bookmarkStart w:id="209" w:name="_Toc326689517"/>
      <w:bookmarkStart w:id="210" w:name="_Toc427232351"/>
      <w:r>
        <w:rPr>
          <w:rFonts w:ascii="宋体" w:hAnsi="宋体"/>
          <w:color w:val="auto"/>
          <w:sz w:val="22"/>
          <w:szCs w:val="22"/>
          <w:highlight w:val="none"/>
        </w:rPr>
        <w:t>法定代表人身份证明书</w:t>
      </w:r>
      <w:bookmarkEnd w:id="204"/>
      <w:bookmarkEnd w:id="205"/>
      <w:bookmarkEnd w:id="206"/>
      <w:bookmarkEnd w:id="207"/>
      <w:bookmarkEnd w:id="208"/>
      <w:bookmarkEnd w:id="209"/>
      <w:bookmarkEnd w:id="210"/>
    </w:p>
    <w:p>
      <w:pPr>
        <w:spacing w:line="560" w:lineRule="exact"/>
        <w:jc w:val="center"/>
        <w:rPr>
          <w:rFonts w:ascii="宋体" w:hAnsi="宋体"/>
          <w:b/>
          <w:color w:val="auto"/>
          <w:sz w:val="22"/>
          <w:szCs w:val="22"/>
          <w:highlight w:val="none"/>
        </w:rPr>
      </w:pPr>
    </w:p>
    <w:p>
      <w:pPr>
        <w:spacing w:line="560" w:lineRule="exact"/>
        <w:rPr>
          <w:rFonts w:ascii="宋体" w:hAnsi="宋体"/>
          <w:color w:val="auto"/>
          <w:sz w:val="22"/>
          <w:szCs w:val="22"/>
          <w:highlight w:val="none"/>
        </w:rPr>
      </w:pPr>
      <w:r>
        <w:rPr>
          <w:rFonts w:ascii="宋体" w:hAnsi="宋体"/>
          <w:color w:val="auto"/>
          <w:sz w:val="22"/>
          <w:szCs w:val="22"/>
          <w:highlight w:val="none"/>
        </w:rPr>
        <w:t>致：</w:t>
      </w:r>
      <w:r>
        <w:rPr>
          <w:rFonts w:ascii="宋体" w:hAnsi="宋体"/>
          <w:color w:val="auto"/>
          <w:sz w:val="22"/>
          <w:szCs w:val="22"/>
          <w:highlight w:val="none"/>
          <w:u w:val="single"/>
        </w:rPr>
        <w:t>（</w:t>
      </w:r>
      <w:r>
        <w:rPr>
          <w:rFonts w:hint="eastAsia" w:ascii="宋体" w:hAnsi="宋体"/>
          <w:color w:val="auto"/>
          <w:sz w:val="22"/>
          <w:szCs w:val="22"/>
          <w:highlight w:val="none"/>
          <w:u w:val="single"/>
        </w:rPr>
        <w:t>招标</w:t>
      </w:r>
      <w:r>
        <w:rPr>
          <w:rFonts w:ascii="宋体" w:hAnsi="宋体"/>
          <w:color w:val="auto"/>
          <w:sz w:val="22"/>
          <w:szCs w:val="22"/>
          <w:highlight w:val="none"/>
          <w:u w:val="single"/>
        </w:rPr>
        <w:t>代理机构名称）</w:t>
      </w:r>
    </w:p>
    <w:p>
      <w:pPr>
        <w:pStyle w:val="67"/>
        <w:spacing w:line="560" w:lineRule="exact"/>
        <w:ind w:firstLine="563" w:firstLineChars="256"/>
        <w:rPr>
          <w:rFonts w:ascii="宋体" w:eastAsia="宋体"/>
          <w:color w:val="auto"/>
          <w:sz w:val="22"/>
          <w:szCs w:val="22"/>
          <w:highlight w:val="none"/>
        </w:rPr>
      </w:pPr>
      <w:r>
        <w:rPr>
          <w:rFonts w:ascii="宋体" w:eastAsia="宋体"/>
          <w:color w:val="auto"/>
          <w:sz w:val="22"/>
          <w:szCs w:val="22"/>
          <w:highlight w:val="none"/>
        </w:rPr>
        <w:t>本证明书声明：注册于（国家名称）的</w:t>
      </w:r>
      <w:r>
        <w:rPr>
          <w:rFonts w:ascii="宋体" w:eastAsia="宋体"/>
          <w:color w:val="auto"/>
          <w:sz w:val="22"/>
          <w:szCs w:val="22"/>
          <w:highlight w:val="none"/>
          <w:u w:val="single"/>
        </w:rPr>
        <w:t xml:space="preserve">　      （投标人名称）   　   </w:t>
      </w:r>
      <w:r>
        <w:rPr>
          <w:rFonts w:ascii="宋体" w:eastAsia="宋体"/>
          <w:color w:val="auto"/>
          <w:sz w:val="22"/>
          <w:szCs w:val="22"/>
          <w:highlight w:val="none"/>
        </w:rPr>
        <w:t>在下面签字的</w:t>
      </w:r>
      <w:r>
        <w:rPr>
          <w:rFonts w:ascii="宋体" w:eastAsia="宋体"/>
          <w:color w:val="auto"/>
          <w:sz w:val="22"/>
          <w:szCs w:val="22"/>
          <w:highlight w:val="none"/>
          <w:u w:val="single"/>
        </w:rPr>
        <w:t xml:space="preserve">　（法定代表人姓名、职务）  </w:t>
      </w:r>
      <w:r>
        <w:rPr>
          <w:rFonts w:ascii="宋体" w:eastAsia="宋体"/>
          <w:color w:val="auto"/>
          <w:sz w:val="22"/>
          <w:szCs w:val="22"/>
          <w:highlight w:val="none"/>
        </w:rPr>
        <w:t>为本公司的合法代表人（</w:t>
      </w:r>
      <w:r>
        <w:rPr>
          <w:rFonts w:ascii="宋体" w:eastAsia="宋体"/>
          <w:b/>
          <w:color w:val="auto"/>
          <w:sz w:val="22"/>
          <w:szCs w:val="22"/>
          <w:highlight w:val="none"/>
        </w:rPr>
        <w:t>相关身份证复印件须附后</w:t>
      </w:r>
      <w:r>
        <w:rPr>
          <w:rFonts w:ascii="宋体" w:eastAsia="宋体"/>
          <w:color w:val="auto"/>
          <w:sz w:val="22"/>
          <w:szCs w:val="22"/>
          <w:highlight w:val="none"/>
        </w:rPr>
        <w:t>）。</w:t>
      </w:r>
    </w:p>
    <w:p>
      <w:pPr>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特此证明</w:t>
      </w:r>
    </w:p>
    <w:p>
      <w:pPr>
        <w:spacing w:line="560" w:lineRule="exact"/>
        <w:ind w:firstLine="440" w:firstLineChars="200"/>
        <w:rPr>
          <w:rFonts w:ascii="宋体" w:hAnsi="宋体"/>
          <w:color w:val="auto"/>
          <w:sz w:val="22"/>
          <w:szCs w:val="22"/>
          <w:highlight w:val="none"/>
        </w:rPr>
      </w:pPr>
    </w:p>
    <w:p>
      <w:pPr>
        <w:spacing w:line="560" w:lineRule="exact"/>
        <w:ind w:firstLine="440" w:firstLineChars="200"/>
        <w:rPr>
          <w:rFonts w:ascii="宋体" w:hAnsi="宋体"/>
          <w:color w:val="auto"/>
          <w:sz w:val="22"/>
          <w:szCs w:val="22"/>
          <w:highlight w:val="none"/>
        </w:rPr>
      </w:pPr>
    </w:p>
    <w:p>
      <w:pPr>
        <w:pStyle w:val="67"/>
        <w:ind w:firstLine="3520" w:firstLineChars="1600"/>
        <w:rPr>
          <w:rFonts w:ascii="宋体" w:eastAsia="宋体"/>
          <w:color w:val="auto"/>
          <w:sz w:val="22"/>
          <w:szCs w:val="22"/>
          <w:highlight w:val="none"/>
        </w:rPr>
      </w:pPr>
      <w:r>
        <w:rPr>
          <w:rFonts w:ascii="宋体" w:eastAsia="宋体"/>
          <w:color w:val="auto"/>
          <w:sz w:val="22"/>
          <w:szCs w:val="22"/>
          <w:highlight w:val="none"/>
        </w:rPr>
        <w:t>投标人名称（</w:t>
      </w:r>
      <w:r>
        <w:rPr>
          <w:rFonts w:hint="eastAsia" w:ascii="宋体" w:eastAsia="宋体"/>
          <w:color w:val="auto"/>
          <w:sz w:val="22"/>
          <w:szCs w:val="22"/>
          <w:highlight w:val="none"/>
        </w:rPr>
        <w:t>加</w:t>
      </w:r>
      <w:r>
        <w:rPr>
          <w:rFonts w:ascii="宋体" w:eastAsia="宋体"/>
          <w:color w:val="auto"/>
          <w:sz w:val="22"/>
          <w:szCs w:val="22"/>
          <w:highlight w:val="none"/>
        </w:rPr>
        <w:t>公章）：</w:t>
      </w:r>
    </w:p>
    <w:p>
      <w:pPr>
        <w:pStyle w:val="67"/>
        <w:ind w:firstLine="3520" w:firstLineChars="1600"/>
        <w:rPr>
          <w:rFonts w:ascii="宋体" w:eastAsia="宋体"/>
          <w:color w:val="auto"/>
          <w:sz w:val="22"/>
          <w:szCs w:val="22"/>
          <w:highlight w:val="none"/>
        </w:rPr>
      </w:pPr>
      <w:r>
        <w:rPr>
          <w:rFonts w:ascii="宋体" w:eastAsia="宋体"/>
          <w:color w:val="auto"/>
          <w:sz w:val="22"/>
          <w:szCs w:val="22"/>
          <w:highlight w:val="none"/>
        </w:rPr>
        <w:t>投标人地址：</w:t>
      </w:r>
    </w:p>
    <w:p>
      <w:pPr>
        <w:pStyle w:val="67"/>
        <w:ind w:firstLine="3520" w:firstLineChars="1600"/>
        <w:rPr>
          <w:rFonts w:ascii="宋体" w:eastAsia="宋体"/>
          <w:color w:val="auto"/>
          <w:sz w:val="22"/>
          <w:szCs w:val="22"/>
          <w:highlight w:val="none"/>
        </w:rPr>
      </w:pPr>
      <w:r>
        <w:rPr>
          <w:rFonts w:ascii="宋体" w:eastAsia="宋体"/>
          <w:color w:val="auto"/>
          <w:sz w:val="22"/>
          <w:szCs w:val="22"/>
          <w:highlight w:val="none"/>
        </w:rPr>
        <w:t>法定代表人（</w:t>
      </w:r>
      <w:r>
        <w:rPr>
          <w:rFonts w:hint="eastAsia" w:ascii="宋体" w:eastAsia="宋体"/>
          <w:color w:val="auto"/>
          <w:sz w:val="22"/>
          <w:szCs w:val="22"/>
          <w:highlight w:val="none"/>
        </w:rPr>
        <w:t>签名或盖章</w:t>
      </w:r>
      <w:r>
        <w:rPr>
          <w:rFonts w:ascii="宋体" w:eastAsia="宋体"/>
          <w:color w:val="auto"/>
          <w:sz w:val="22"/>
          <w:szCs w:val="22"/>
          <w:highlight w:val="none"/>
        </w:rPr>
        <w:t>）：</w:t>
      </w:r>
    </w:p>
    <w:p>
      <w:pPr>
        <w:pStyle w:val="67"/>
        <w:ind w:firstLine="3520" w:firstLineChars="1600"/>
        <w:rPr>
          <w:rFonts w:ascii="宋体" w:eastAsia="宋体"/>
          <w:color w:val="auto"/>
          <w:sz w:val="22"/>
          <w:szCs w:val="22"/>
          <w:highlight w:val="none"/>
        </w:rPr>
      </w:pPr>
      <w:r>
        <w:rPr>
          <w:rFonts w:ascii="宋体" w:eastAsia="宋体"/>
          <w:color w:val="auto"/>
          <w:sz w:val="22"/>
          <w:szCs w:val="22"/>
          <w:highlight w:val="none"/>
        </w:rPr>
        <w:t>职　　　务：</w:t>
      </w:r>
    </w:p>
    <w:p>
      <w:pPr>
        <w:spacing w:line="560" w:lineRule="exact"/>
        <w:ind w:left="4320" w:leftChars="2057"/>
        <w:rPr>
          <w:rFonts w:ascii="Times New Roman" w:hAnsi="Times New Roman"/>
          <w:color w:val="auto"/>
          <w:szCs w:val="21"/>
          <w:highlight w:val="none"/>
        </w:rPr>
      </w:pPr>
      <w:bookmarkStart w:id="211" w:name="_Toc230422786"/>
      <w:bookmarkStart w:id="212" w:name="_Toc210188797"/>
      <w:bookmarkStart w:id="213" w:name="_Toc88985368"/>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360" w:lineRule="auto"/>
        <w:rPr>
          <w:rFonts w:ascii="Times New Roman" w:hAnsi="Times New Roman"/>
          <w:color w:val="auto"/>
          <w:highlight w:val="none"/>
        </w:rPr>
      </w:pPr>
    </w:p>
    <w:p>
      <w:pPr>
        <w:spacing w:line="560" w:lineRule="exact"/>
        <w:rPr>
          <w:rFonts w:ascii="Times New Roman" w:hAnsi="Times New Roman"/>
          <w:color w:val="auto"/>
          <w:highlight w:val="none"/>
        </w:rPr>
      </w:pPr>
    </w:p>
    <w:p>
      <w:pPr>
        <w:spacing w:line="560" w:lineRule="exact"/>
        <w:rPr>
          <w:rFonts w:ascii="Times New Roman" w:hAnsi="Times New Roman"/>
          <w:color w:val="auto"/>
          <w:highlight w:val="none"/>
        </w:rPr>
      </w:pPr>
    </w:p>
    <w:p>
      <w:pPr>
        <w:pStyle w:val="6"/>
        <w:jc w:val="center"/>
        <w:rPr>
          <w:rFonts w:ascii="Times New Roman" w:hAnsi="Times New Roman"/>
          <w:color w:val="auto"/>
          <w:sz w:val="24"/>
          <w:highlight w:val="none"/>
        </w:rPr>
      </w:pPr>
      <w:bookmarkStart w:id="214" w:name="_Toc61529873"/>
      <w:bookmarkStart w:id="215" w:name="_Toc441844119"/>
      <w:bookmarkStart w:id="216" w:name="_Toc326689518"/>
      <w:bookmarkStart w:id="217" w:name="_Toc321994783"/>
      <w:bookmarkStart w:id="218" w:name="_Toc427232352"/>
      <w:bookmarkStart w:id="219" w:name="_Toc395863123"/>
      <w:bookmarkStart w:id="220" w:name="_Toc401738104"/>
      <w:r>
        <w:rPr>
          <w:rFonts w:ascii="Times New Roman" w:hAnsi="Times New Roman"/>
          <w:color w:val="auto"/>
          <w:sz w:val="24"/>
          <w:highlight w:val="none"/>
        </w:rPr>
        <w:t>4、法</w:t>
      </w:r>
      <w:r>
        <w:rPr>
          <w:rFonts w:hint="eastAsia" w:ascii="Times New Roman" w:hAnsi="Times New Roman"/>
          <w:color w:val="auto"/>
          <w:sz w:val="24"/>
          <w:highlight w:val="none"/>
        </w:rPr>
        <w:t>定代表</w:t>
      </w:r>
      <w:r>
        <w:rPr>
          <w:rFonts w:ascii="Times New Roman" w:hAnsi="Times New Roman"/>
          <w:color w:val="auto"/>
          <w:sz w:val="24"/>
          <w:highlight w:val="none"/>
        </w:rPr>
        <w:t>人授权委托书</w:t>
      </w:r>
      <w:bookmarkEnd w:id="211"/>
      <w:bookmarkEnd w:id="212"/>
      <w:bookmarkEnd w:id="213"/>
      <w:bookmarkEnd w:id="214"/>
      <w:bookmarkEnd w:id="215"/>
      <w:bookmarkEnd w:id="216"/>
      <w:bookmarkEnd w:id="217"/>
      <w:bookmarkEnd w:id="218"/>
      <w:bookmarkEnd w:id="219"/>
      <w:bookmarkEnd w:id="220"/>
    </w:p>
    <w:p>
      <w:pPr>
        <w:spacing w:line="560" w:lineRule="exact"/>
        <w:jc w:val="center"/>
        <w:rPr>
          <w:rFonts w:ascii="Times New Roman" w:hAnsi="Times New Roman"/>
          <w:b/>
          <w:color w:val="auto"/>
          <w:sz w:val="24"/>
          <w:highlight w:val="none"/>
        </w:rPr>
      </w:pPr>
    </w:p>
    <w:p>
      <w:pPr>
        <w:spacing w:line="360" w:lineRule="auto"/>
        <w:rPr>
          <w:rFonts w:ascii="宋体" w:hAnsi="宋体"/>
          <w:color w:val="auto"/>
          <w:sz w:val="22"/>
          <w:szCs w:val="22"/>
          <w:highlight w:val="none"/>
        </w:rPr>
      </w:pPr>
      <w:r>
        <w:rPr>
          <w:rFonts w:ascii="宋体" w:hAnsi="宋体"/>
          <w:color w:val="auto"/>
          <w:sz w:val="22"/>
          <w:szCs w:val="22"/>
          <w:highlight w:val="none"/>
        </w:rPr>
        <w:t>致：</w:t>
      </w:r>
      <w:r>
        <w:rPr>
          <w:rFonts w:ascii="宋体" w:hAnsi="宋体"/>
          <w:color w:val="auto"/>
          <w:sz w:val="22"/>
          <w:szCs w:val="22"/>
          <w:highlight w:val="none"/>
          <w:u w:val="single"/>
        </w:rPr>
        <w:t>（</w:t>
      </w:r>
      <w:r>
        <w:rPr>
          <w:rFonts w:hint="eastAsia" w:ascii="宋体" w:hAnsi="宋体"/>
          <w:color w:val="auto"/>
          <w:sz w:val="22"/>
          <w:szCs w:val="22"/>
          <w:highlight w:val="none"/>
          <w:u w:val="single"/>
        </w:rPr>
        <w:t>招标</w:t>
      </w:r>
      <w:r>
        <w:rPr>
          <w:rFonts w:ascii="宋体" w:hAnsi="宋体"/>
          <w:color w:val="auto"/>
          <w:sz w:val="22"/>
          <w:szCs w:val="22"/>
          <w:highlight w:val="none"/>
          <w:u w:val="single"/>
        </w:rPr>
        <w:t>代理机构名称）</w:t>
      </w:r>
    </w:p>
    <w:p>
      <w:pPr>
        <w:pStyle w:val="67"/>
        <w:spacing w:line="360" w:lineRule="auto"/>
        <w:ind w:firstLine="453"/>
        <w:rPr>
          <w:rFonts w:ascii="宋体" w:eastAsia="宋体"/>
          <w:color w:val="auto"/>
          <w:sz w:val="22"/>
          <w:szCs w:val="22"/>
          <w:highlight w:val="none"/>
        </w:rPr>
      </w:pPr>
      <w:r>
        <w:rPr>
          <w:rFonts w:ascii="宋体" w:eastAsia="宋体"/>
          <w:color w:val="auto"/>
          <w:sz w:val="22"/>
          <w:szCs w:val="22"/>
          <w:highlight w:val="none"/>
        </w:rPr>
        <w:t>本委托书声明：在下面签字的（法定代表人姓名、职务）代表（投标人名称）委托在下面签字的（受委托人的姓名、职务）为本公司的合法代表人，就</w:t>
      </w:r>
      <w:r>
        <w:rPr>
          <w:rFonts w:ascii="宋体" w:eastAsia="宋体"/>
          <w:color w:val="auto"/>
          <w:sz w:val="22"/>
          <w:szCs w:val="22"/>
          <w:highlight w:val="none"/>
          <w:u w:val="single"/>
        </w:rPr>
        <w:t xml:space="preserve">      </w:t>
      </w:r>
      <w:r>
        <w:rPr>
          <w:rFonts w:ascii="宋体" w:eastAsia="宋体"/>
          <w:color w:val="auto"/>
          <w:sz w:val="22"/>
          <w:szCs w:val="22"/>
          <w:highlight w:val="none"/>
        </w:rPr>
        <w:t>项目（</w:t>
      </w:r>
      <w:r>
        <w:rPr>
          <w:rFonts w:hint="eastAsia" w:ascii="宋体" w:eastAsia="宋体"/>
          <w:color w:val="auto"/>
          <w:sz w:val="22"/>
          <w:szCs w:val="22"/>
          <w:highlight w:val="none"/>
        </w:rPr>
        <w:t>项目</w:t>
      </w:r>
      <w:r>
        <w:rPr>
          <w:rFonts w:ascii="宋体" w:eastAsia="宋体"/>
          <w:color w:val="auto"/>
          <w:sz w:val="22"/>
          <w:szCs w:val="22"/>
          <w:highlight w:val="none"/>
        </w:rPr>
        <w:t>编号：</w:t>
      </w:r>
      <w:r>
        <w:rPr>
          <w:rFonts w:ascii="宋体" w:eastAsia="宋体"/>
          <w:color w:val="auto"/>
          <w:sz w:val="22"/>
          <w:szCs w:val="22"/>
          <w:highlight w:val="none"/>
          <w:u w:val="single"/>
        </w:rPr>
        <w:t xml:space="preserve">   </w:t>
      </w:r>
      <w:r>
        <w:rPr>
          <w:rFonts w:hint="eastAsia" w:ascii="宋体" w:eastAsia="宋体"/>
          <w:color w:val="auto"/>
          <w:sz w:val="22"/>
          <w:szCs w:val="22"/>
          <w:highlight w:val="none"/>
        </w:rPr>
        <w:t>包号：</w:t>
      </w:r>
      <w:r>
        <w:rPr>
          <w:rFonts w:ascii="宋体" w:eastAsia="宋体"/>
          <w:color w:val="auto"/>
          <w:sz w:val="22"/>
          <w:szCs w:val="22"/>
          <w:highlight w:val="none"/>
          <w:u w:val="single"/>
        </w:rPr>
        <w:t xml:space="preserve">   </w:t>
      </w:r>
      <w:r>
        <w:rPr>
          <w:rFonts w:ascii="宋体" w:eastAsia="宋体"/>
          <w:color w:val="auto"/>
          <w:sz w:val="22"/>
          <w:szCs w:val="22"/>
          <w:highlight w:val="none"/>
        </w:rPr>
        <w:t>）的投标及合同的执行，以我方的名义处理一切与之有关的事宜（</w:t>
      </w:r>
      <w:r>
        <w:rPr>
          <w:rFonts w:ascii="宋体" w:eastAsia="宋体"/>
          <w:b/>
          <w:color w:val="auto"/>
          <w:sz w:val="22"/>
          <w:szCs w:val="22"/>
          <w:highlight w:val="none"/>
        </w:rPr>
        <w:t>相关身份证复印件须附后</w:t>
      </w:r>
      <w:r>
        <w:rPr>
          <w:rFonts w:ascii="宋体" w:eastAsia="宋体"/>
          <w:color w:val="auto"/>
          <w:sz w:val="22"/>
          <w:szCs w:val="22"/>
          <w:highlight w:val="none"/>
        </w:rPr>
        <w:t>）。</w:t>
      </w:r>
    </w:p>
    <w:p>
      <w:pPr>
        <w:pStyle w:val="67"/>
        <w:spacing w:line="360" w:lineRule="auto"/>
        <w:ind w:firstLine="453"/>
        <w:rPr>
          <w:rFonts w:ascii="宋体" w:eastAsia="宋体"/>
          <w:color w:val="auto"/>
          <w:sz w:val="22"/>
          <w:szCs w:val="22"/>
          <w:highlight w:val="none"/>
        </w:rPr>
      </w:pPr>
    </w:p>
    <w:p>
      <w:pPr>
        <w:pStyle w:val="67"/>
        <w:spacing w:line="360" w:lineRule="auto"/>
        <w:ind w:firstLine="453"/>
        <w:rPr>
          <w:rFonts w:ascii="宋体" w:eastAsia="宋体"/>
          <w:color w:val="auto"/>
          <w:sz w:val="22"/>
          <w:szCs w:val="22"/>
          <w:highlight w:val="none"/>
        </w:rPr>
      </w:pPr>
      <w:r>
        <w:rPr>
          <w:rFonts w:ascii="宋体" w:eastAsia="宋体"/>
          <w:color w:val="auto"/>
          <w:sz w:val="22"/>
          <w:szCs w:val="22"/>
          <w:highlight w:val="none"/>
        </w:rPr>
        <w:t>本委托书于</w:t>
      </w:r>
      <w:r>
        <w:rPr>
          <w:rFonts w:ascii="宋体" w:eastAsia="宋体"/>
          <w:color w:val="auto"/>
          <w:sz w:val="22"/>
          <w:szCs w:val="22"/>
          <w:highlight w:val="none"/>
          <w:u w:val="single"/>
        </w:rPr>
        <w:t xml:space="preserve">　  </w:t>
      </w:r>
      <w:r>
        <w:rPr>
          <w:rFonts w:ascii="宋体" w:eastAsia="宋体"/>
          <w:color w:val="auto"/>
          <w:sz w:val="22"/>
          <w:szCs w:val="22"/>
          <w:highlight w:val="none"/>
        </w:rPr>
        <w:t>年</w:t>
      </w:r>
      <w:r>
        <w:rPr>
          <w:rFonts w:ascii="宋体" w:eastAsia="宋体"/>
          <w:color w:val="auto"/>
          <w:sz w:val="22"/>
          <w:szCs w:val="22"/>
          <w:highlight w:val="none"/>
          <w:u w:val="single"/>
        </w:rPr>
        <w:t xml:space="preserve">　  </w:t>
      </w:r>
      <w:r>
        <w:rPr>
          <w:rFonts w:ascii="宋体" w:eastAsia="宋体"/>
          <w:color w:val="auto"/>
          <w:sz w:val="22"/>
          <w:szCs w:val="22"/>
          <w:highlight w:val="none"/>
        </w:rPr>
        <w:t>月</w:t>
      </w:r>
      <w:r>
        <w:rPr>
          <w:rFonts w:ascii="宋体" w:eastAsia="宋体"/>
          <w:color w:val="auto"/>
          <w:sz w:val="22"/>
          <w:szCs w:val="22"/>
          <w:highlight w:val="none"/>
          <w:u w:val="single"/>
        </w:rPr>
        <w:t xml:space="preserve">　  </w:t>
      </w:r>
      <w:r>
        <w:rPr>
          <w:rFonts w:ascii="宋体" w:eastAsia="宋体"/>
          <w:color w:val="auto"/>
          <w:sz w:val="22"/>
          <w:szCs w:val="22"/>
          <w:highlight w:val="none"/>
        </w:rPr>
        <w:t>日签字生效。</w:t>
      </w:r>
    </w:p>
    <w:p>
      <w:pPr>
        <w:pStyle w:val="67"/>
        <w:spacing w:line="360" w:lineRule="auto"/>
        <w:ind w:firstLine="453"/>
        <w:rPr>
          <w:rFonts w:ascii="宋体" w:eastAsia="宋体"/>
          <w:color w:val="auto"/>
          <w:sz w:val="22"/>
          <w:szCs w:val="22"/>
          <w:highlight w:val="none"/>
        </w:rPr>
      </w:pPr>
    </w:p>
    <w:p>
      <w:pPr>
        <w:pStyle w:val="67"/>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投标人名称（</w:t>
      </w:r>
      <w:r>
        <w:rPr>
          <w:rFonts w:hint="eastAsia" w:ascii="宋体" w:eastAsia="宋体"/>
          <w:color w:val="auto"/>
          <w:sz w:val="22"/>
          <w:szCs w:val="22"/>
          <w:highlight w:val="none"/>
        </w:rPr>
        <w:t>加盖</w:t>
      </w:r>
      <w:r>
        <w:rPr>
          <w:rFonts w:ascii="宋体" w:eastAsia="宋体"/>
          <w:color w:val="auto"/>
          <w:sz w:val="22"/>
          <w:szCs w:val="22"/>
          <w:highlight w:val="none"/>
        </w:rPr>
        <w:t>公章）：</w:t>
      </w:r>
    </w:p>
    <w:p>
      <w:pPr>
        <w:pStyle w:val="67"/>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投标人地址：</w:t>
      </w:r>
    </w:p>
    <w:p>
      <w:pPr>
        <w:pStyle w:val="67"/>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法定代表人（</w:t>
      </w:r>
      <w:r>
        <w:rPr>
          <w:rFonts w:hint="eastAsia" w:ascii="宋体" w:eastAsia="宋体"/>
          <w:color w:val="auto"/>
          <w:sz w:val="22"/>
          <w:szCs w:val="22"/>
          <w:highlight w:val="none"/>
        </w:rPr>
        <w:t>签名或盖章</w:t>
      </w:r>
      <w:r>
        <w:rPr>
          <w:rFonts w:ascii="宋体" w:eastAsia="宋体"/>
          <w:color w:val="auto"/>
          <w:sz w:val="22"/>
          <w:szCs w:val="22"/>
          <w:highlight w:val="none"/>
        </w:rPr>
        <w:t>）：</w:t>
      </w:r>
    </w:p>
    <w:p>
      <w:pPr>
        <w:pStyle w:val="67"/>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职　　　务：</w:t>
      </w:r>
    </w:p>
    <w:p>
      <w:pPr>
        <w:pStyle w:val="67"/>
        <w:spacing w:line="360" w:lineRule="auto"/>
        <w:ind w:firstLine="3520" w:firstLineChars="1600"/>
        <w:rPr>
          <w:rFonts w:ascii="宋体" w:eastAsia="宋体"/>
          <w:color w:val="auto"/>
          <w:sz w:val="22"/>
          <w:szCs w:val="22"/>
          <w:highlight w:val="none"/>
        </w:rPr>
      </w:pPr>
      <w:r>
        <w:rPr>
          <w:rFonts w:hint="eastAsia" w:ascii="宋体" w:eastAsia="宋体"/>
          <w:color w:val="auto"/>
          <w:sz w:val="22"/>
          <w:szCs w:val="22"/>
          <w:highlight w:val="none"/>
        </w:rPr>
        <w:t>被授权</w:t>
      </w:r>
      <w:r>
        <w:rPr>
          <w:rFonts w:ascii="宋体" w:eastAsia="宋体"/>
          <w:color w:val="auto"/>
          <w:sz w:val="22"/>
          <w:szCs w:val="22"/>
          <w:highlight w:val="none"/>
        </w:rPr>
        <w:t>人（</w:t>
      </w:r>
      <w:r>
        <w:rPr>
          <w:rFonts w:hint="eastAsia" w:ascii="宋体" w:eastAsia="宋体"/>
          <w:color w:val="auto"/>
          <w:sz w:val="22"/>
          <w:szCs w:val="22"/>
          <w:highlight w:val="none"/>
        </w:rPr>
        <w:t>签名或盖章</w:t>
      </w:r>
      <w:r>
        <w:rPr>
          <w:rFonts w:ascii="宋体" w:eastAsia="宋体"/>
          <w:color w:val="auto"/>
          <w:sz w:val="22"/>
          <w:szCs w:val="22"/>
          <w:highlight w:val="none"/>
        </w:rPr>
        <w:t>）：</w:t>
      </w:r>
    </w:p>
    <w:p>
      <w:pPr>
        <w:pStyle w:val="67"/>
        <w:spacing w:line="360" w:lineRule="auto"/>
        <w:ind w:firstLine="3520" w:firstLineChars="1600"/>
        <w:rPr>
          <w:rFonts w:ascii="宋体" w:eastAsia="宋体"/>
          <w:color w:val="auto"/>
          <w:sz w:val="22"/>
          <w:szCs w:val="22"/>
          <w:highlight w:val="none"/>
        </w:rPr>
      </w:pPr>
      <w:r>
        <w:rPr>
          <w:rFonts w:ascii="宋体" w:eastAsia="宋体"/>
          <w:color w:val="auto"/>
          <w:sz w:val="22"/>
          <w:szCs w:val="22"/>
          <w:highlight w:val="none"/>
        </w:rPr>
        <w:t>职　　　务：</w:t>
      </w:r>
    </w:p>
    <w:p>
      <w:pPr>
        <w:pStyle w:val="67"/>
        <w:spacing w:line="360" w:lineRule="auto"/>
        <w:ind w:firstLine="453"/>
        <w:rPr>
          <w:rFonts w:ascii="宋体" w:eastAsia="宋体"/>
          <w:color w:val="auto"/>
          <w:sz w:val="22"/>
          <w:szCs w:val="22"/>
          <w:highlight w:val="none"/>
        </w:rPr>
      </w:pPr>
    </w:p>
    <w:p>
      <w:pPr>
        <w:spacing w:line="360" w:lineRule="auto"/>
        <w:rPr>
          <w:rFonts w:ascii="宋体" w:hAnsi="宋体"/>
          <w:color w:val="auto"/>
          <w:sz w:val="22"/>
          <w:szCs w:val="22"/>
          <w:highlight w:val="none"/>
        </w:rPr>
      </w:pPr>
      <w:r>
        <w:rPr>
          <w:rFonts w:ascii="宋体" w:hAnsi="宋体"/>
          <w:color w:val="auto"/>
          <w:sz w:val="22"/>
          <w:szCs w:val="22"/>
          <w:highlight w:val="none"/>
        </w:rPr>
        <w:t>　　　　　　</w:t>
      </w:r>
    </w:p>
    <w:p>
      <w:pPr>
        <w:spacing w:line="360" w:lineRule="auto"/>
        <w:rPr>
          <w:rFonts w:ascii="宋体" w:hAnsi="宋体"/>
          <w:b/>
          <w:color w:val="auto"/>
          <w:sz w:val="22"/>
          <w:szCs w:val="22"/>
          <w:highlight w:val="none"/>
        </w:rPr>
      </w:pPr>
      <w:bookmarkStart w:id="221" w:name="_Toc210188799"/>
      <w:bookmarkStart w:id="222" w:name="_Toc88985370"/>
      <w:r>
        <w:rPr>
          <w:rFonts w:ascii="宋体" w:hAnsi="宋体"/>
          <w:b/>
          <w:color w:val="auto"/>
          <w:sz w:val="22"/>
          <w:szCs w:val="22"/>
          <w:highlight w:val="none"/>
        </w:rPr>
        <w:t>注：如法定代表人投标不需附</w:t>
      </w:r>
      <w:r>
        <w:rPr>
          <w:rFonts w:hint="eastAsia" w:asciiTheme="minorEastAsia" w:hAnsiTheme="minorEastAsia" w:eastAsiaTheme="minorEastAsia"/>
          <w:b/>
          <w:color w:val="auto"/>
          <w:szCs w:val="21"/>
          <w:highlight w:val="none"/>
        </w:rPr>
        <w:t>此委托书</w:t>
      </w:r>
      <w:r>
        <w:rPr>
          <w:rFonts w:ascii="宋体" w:hAnsi="宋体"/>
          <w:b/>
          <w:color w:val="auto"/>
          <w:sz w:val="22"/>
          <w:szCs w:val="22"/>
          <w:highlight w:val="none"/>
        </w:rPr>
        <w:t>。</w:t>
      </w:r>
    </w:p>
    <w:p>
      <w:pPr>
        <w:spacing w:line="360" w:lineRule="auto"/>
        <w:rPr>
          <w:rFonts w:ascii="宋体" w:hAnsi="宋体"/>
          <w:b/>
          <w:color w:val="auto"/>
          <w:sz w:val="22"/>
          <w:szCs w:val="22"/>
          <w:highlight w:val="none"/>
        </w:rPr>
      </w:pPr>
    </w:p>
    <w:p>
      <w:pPr>
        <w:widowControl/>
        <w:jc w:val="left"/>
        <w:rPr>
          <w:rFonts w:ascii="宋体" w:hAnsi="宋体"/>
          <w:b/>
          <w:bCs/>
          <w:color w:val="auto"/>
          <w:sz w:val="22"/>
          <w:szCs w:val="22"/>
          <w:highlight w:val="none"/>
        </w:rPr>
      </w:pPr>
      <w:bookmarkStart w:id="223" w:name="_Toc441844120"/>
      <w:r>
        <w:rPr>
          <w:rFonts w:ascii="宋体" w:hAnsi="宋体"/>
          <w:color w:val="auto"/>
          <w:sz w:val="22"/>
          <w:szCs w:val="22"/>
          <w:highlight w:val="none"/>
        </w:rPr>
        <w:br w:type="page"/>
      </w:r>
    </w:p>
    <w:p>
      <w:pPr>
        <w:pStyle w:val="6"/>
        <w:spacing w:line="360" w:lineRule="auto"/>
        <w:jc w:val="center"/>
        <w:rPr>
          <w:rFonts w:ascii="宋体" w:hAnsi="宋体"/>
          <w:color w:val="auto"/>
          <w:sz w:val="22"/>
          <w:szCs w:val="22"/>
          <w:highlight w:val="none"/>
        </w:rPr>
      </w:pPr>
      <w:bookmarkStart w:id="224" w:name="_Toc61529874"/>
      <w:r>
        <w:rPr>
          <w:rFonts w:ascii="宋体" w:hAnsi="宋体"/>
          <w:color w:val="auto"/>
          <w:sz w:val="22"/>
          <w:szCs w:val="22"/>
          <w:highlight w:val="none"/>
        </w:rPr>
        <w:t>5、资格文件声明函</w:t>
      </w:r>
      <w:bookmarkEnd w:id="223"/>
      <w:bookmarkEnd w:id="224"/>
    </w:p>
    <w:p>
      <w:pPr>
        <w:pStyle w:val="25"/>
        <w:spacing w:line="360" w:lineRule="auto"/>
        <w:jc w:val="center"/>
        <w:rPr>
          <w:rFonts w:hAnsi="宋体" w:cs="Times New Roman"/>
          <w:color w:val="auto"/>
          <w:sz w:val="22"/>
          <w:highlight w:val="none"/>
        </w:rPr>
      </w:pPr>
    </w:p>
    <w:p>
      <w:pPr>
        <w:pStyle w:val="25"/>
        <w:spacing w:line="360" w:lineRule="auto"/>
        <w:rPr>
          <w:rFonts w:hAnsi="宋体" w:cs="Times New Roman"/>
          <w:color w:val="auto"/>
          <w:sz w:val="22"/>
          <w:highlight w:val="none"/>
        </w:rPr>
      </w:pPr>
      <w:r>
        <w:rPr>
          <w:rFonts w:hAnsi="宋体" w:cs="Times New Roman"/>
          <w:color w:val="auto"/>
          <w:sz w:val="22"/>
          <w:highlight w:val="none"/>
        </w:rPr>
        <w:t>致:</w:t>
      </w:r>
      <w:r>
        <w:rPr>
          <w:rFonts w:hAnsi="宋体" w:cs="Times New Roman"/>
          <w:color w:val="auto"/>
          <w:sz w:val="22"/>
          <w:highlight w:val="none"/>
          <w:u w:val="single"/>
        </w:rPr>
        <w:t>（</w:t>
      </w:r>
      <w:r>
        <w:rPr>
          <w:rFonts w:hint="eastAsia" w:hAnsi="宋体" w:cs="Times New Roman"/>
          <w:color w:val="auto"/>
          <w:sz w:val="22"/>
          <w:highlight w:val="none"/>
          <w:u w:val="single"/>
        </w:rPr>
        <w:t>招标</w:t>
      </w:r>
      <w:r>
        <w:rPr>
          <w:rFonts w:hAnsi="宋体" w:cs="Times New Roman"/>
          <w:color w:val="auto"/>
          <w:sz w:val="22"/>
          <w:highlight w:val="none"/>
          <w:u w:val="single"/>
        </w:rPr>
        <w:t>代理机构名称）</w:t>
      </w:r>
    </w:p>
    <w:p>
      <w:pPr>
        <w:pStyle w:val="25"/>
        <w:spacing w:line="360" w:lineRule="auto"/>
        <w:rPr>
          <w:rFonts w:hAnsi="宋体" w:cs="Times New Roman"/>
          <w:color w:val="auto"/>
          <w:sz w:val="22"/>
          <w:highlight w:val="none"/>
        </w:rPr>
      </w:pPr>
    </w:p>
    <w:p>
      <w:pPr>
        <w:spacing w:line="360" w:lineRule="auto"/>
        <w:ind w:firstLine="600"/>
        <w:rPr>
          <w:rFonts w:ascii="宋体" w:hAnsi="宋体"/>
          <w:color w:val="auto"/>
          <w:sz w:val="22"/>
          <w:szCs w:val="22"/>
          <w:highlight w:val="none"/>
        </w:rPr>
      </w:pPr>
      <w:r>
        <w:rPr>
          <w:rFonts w:ascii="宋体" w:hAnsi="宋体"/>
          <w:color w:val="auto"/>
          <w:sz w:val="22"/>
          <w:szCs w:val="22"/>
          <w:highlight w:val="none"/>
        </w:rPr>
        <w:t>关于贵方</w:t>
      </w:r>
      <w:r>
        <w:rPr>
          <w:rFonts w:hint="eastAsia" w:ascii="宋体" w:hAnsi="宋体"/>
          <w:color w:val="auto"/>
          <w:sz w:val="22"/>
          <w:szCs w:val="22"/>
          <w:highlight w:val="none"/>
          <w:u w:val="single"/>
        </w:rPr>
        <w:t xml:space="preserve">  </w:t>
      </w:r>
      <w:r>
        <w:rPr>
          <w:rFonts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ascii="宋体" w:hAnsi="宋体"/>
          <w:color w:val="auto"/>
          <w:sz w:val="22"/>
          <w:szCs w:val="22"/>
          <w:highlight w:val="none"/>
        </w:rPr>
        <w:t>日</w:t>
      </w:r>
      <w:r>
        <w:rPr>
          <w:rFonts w:ascii="宋体"/>
          <w:color w:val="auto"/>
          <w:sz w:val="22"/>
          <w:szCs w:val="22"/>
          <w:highlight w:val="none"/>
          <w:u w:val="single"/>
        </w:rPr>
        <w:t xml:space="preserve">      </w:t>
      </w:r>
      <w:r>
        <w:rPr>
          <w:rFonts w:hint="eastAsia" w:ascii="宋体"/>
          <w:color w:val="auto"/>
          <w:sz w:val="22"/>
          <w:szCs w:val="22"/>
          <w:highlight w:val="none"/>
          <w:u w:val="single"/>
        </w:rPr>
        <w:t>项目</w:t>
      </w:r>
      <w:r>
        <w:rPr>
          <w:rFonts w:ascii="宋体" w:hAnsi="宋体"/>
          <w:color w:val="auto"/>
          <w:sz w:val="22"/>
          <w:szCs w:val="22"/>
          <w:highlight w:val="none"/>
        </w:rPr>
        <w:t>（</w:t>
      </w:r>
      <w:r>
        <w:rPr>
          <w:rFonts w:hint="eastAsia" w:ascii="宋体" w:hAnsi="宋体"/>
          <w:color w:val="auto"/>
          <w:sz w:val="22"/>
          <w:szCs w:val="22"/>
          <w:highlight w:val="none"/>
        </w:rPr>
        <w:t>项目</w:t>
      </w:r>
      <w:r>
        <w:rPr>
          <w:rFonts w:ascii="宋体" w:hAnsi="宋体"/>
          <w:color w:val="auto"/>
          <w:sz w:val="22"/>
          <w:szCs w:val="22"/>
          <w:highlight w:val="none"/>
        </w:rPr>
        <w:t>编号：</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包号：</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）的招标邀请，本签字人</w:t>
      </w:r>
      <w:r>
        <w:rPr>
          <w:rFonts w:ascii="宋体" w:hAnsi="宋体"/>
          <w:color w:val="auto"/>
          <w:sz w:val="22"/>
          <w:szCs w:val="22"/>
          <w:highlight w:val="none"/>
          <w:u w:val="single"/>
        </w:rPr>
        <w:t>(法定代表人)</w:t>
      </w:r>
      <w:r>
        <w:rPr>
          <w:rFonts w:ascii="宋体" w:hAnsi="宋体"/>
          <w:color w:val="auto"/>
          <w:sz w:val="22"/>
          <w:szCs w:val="22"/>
          <w:highlight w:val="none"/>
        </w:rPr>
        <w:t>愿意参加投标,提供招标</w:t>
      </w:r>
      <w:r>
        <w:rPr>
          <w:rFonts w:hint="eastAsia" w:ascii="宋体" w:hAnsi="宋体"/>
          <w:color w:val="auto"/>
          <w:sz w:val="22"/>
          <w:szCs w:val="22"/>
          <w:highlight w:val="none"/>
        </w:rPr>
        <w:t>文件</w:t>
      </w:r>
      <w:r>
        <w:rPr>
          <w:rFonts w:ascii="宋体" w:hAnsi="宋体"/>
          <w:color w:val="auto"/>
          <w:sz w:val="22"/>
          <w:szCs w:val="22"/>
          <w:highlight w:val="none"/>
        </w:rPr>
        <w:t>中规定的</w:t>
      </w:r>
      <w:r>
        <w:rPr>
          <w:rFonts w:hint="eastAsia" w:ascii="宋体" w:hAnsi="宋体"/>
          <w:color w:val="auto"/>
          <w:sz w:val="22"/>
          <w:szCs w:val="22"/>
          <w:highlight w:val="none"/>
        </w:rPr>
        <w:t>货物或服务</w:t>
      </w:r>
      <w:r>
        <w:rPr>
          <w:rFonts w:ascii="宋体" w:hAnsi="宋体"/>
          <w:color w:val="auto"/>
          <w:sz w:val="22"/>
          <w:szCs w:val="22"/>
          <w:highlight w:val="none"/>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color w:val="auto"/>
          <w:sz w:val="22"/>
          <w:szCs w:val="22"/>
          <w:highlight w:val="none"/>
        </w:rPr>
      </w:pPr>
      <w:r>
        <w:rPr>
          <w:rFonts w:ascii="宋体" w:hAnsi="宋体"/>
          <w:color w:val="auto"/>
          <w:sz w:val="22"/>
          <w:szCs w:val="22"/>
          <w:highlight w:val="none"/>
        </w:rPr>
        <w:t xml:space="preserve">    特此声明！</w:t>
      </w:r>
    </w:p>
    <w:p>
      <w:pPr>
        <w:pStyle w:val="25"/>
        <w:spacing w:line="360" w:lineRule="auto"/>
        <w:rPr>
          <w:rFonts w:hAnsi="宋体" w:cs="Times New Roman"/>
          <w:color w:val="auto"/>
          <w:sz w:val="22"/>
          <w:highlight w:val="none"/>
        </w:rPr>
      </w:pPr>
    </w:p>
    <w:p>
      <w:pPr>
        <w:pStyle w:val="25"/>
        <w:spacing w:line="360" w:lineRule="auto"/>
        <w:rPr>
          <w:rFonts w:hAnsi="宋体" w:cs="Times New Roman"/>
          <w:color w:val="auto"/>
          <w:sz w:val="22"/>
          <w:highlight w:val="none"/>
        </w:rPr>
      </w:pPr>
    </w:p>
    <w:p>
      <w:pPr>
        <w:pStyle w:val="25"/>
        <w:spacing w:line="360" w:lineRule="auto"/>
        <w:rPr>
          <w:rFonts w:hAnsi="宋体" w:cs="Times New Roman"/>
          <w:color w:val="auto"/>
          <w:sz w:val="22"/>
          <w:highlight w:val="none"/>
        </w:rPr>
      </w:pPr>
    </w:p>
    <w:p>
      <w:pPr>
        <w:pStyle w:val="25"/>
        <w:spacing w:line="360" w:lineRule="auto"/>
        <w:rPr>
          <w:rFonts w:hAnsi="宋体" w:cs="Times New Roman"/>
          <w:color w:val="auto"/>
          <w:sz w:val="22"/>
          <w:highlight w:val="none"/>
        </w:rPr>
      </w:pPr>
    </w:p>
    <w:p>
      <w:pPr>
        <w:pStyle w:val="25"/>
        <w:spacing w:line="360" w:lineRule="auto"/>
        <w:rPr>
          <w:rFonts w:hAnsi="宋体" w:cs="Times New Roman"/>
          <w:color w:val="auto"/>
          <w:sz w:val="22"/>
          <w:highlight w:val="none"/>
        </w:rPr>
      </w:pPr>
    </w:p>
    <w:p>
      <w:pPr>
        <w:pStyle w:val="67"/>
        <w:spacing w:before="1404" w:beforeLines="450" w:line="360" w:lineRule="auto"/>
        <w:ind w:firstLine="3784" w:firstLineChars="1802"/>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360" w:lineRule="auto"/>
        <w:ind w:firstLine="3784" w:firstLineChars="1802"/>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投标人法定代表人或被授权人（签名或盖私章）：</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 xml:space="preserve">        </w:t>
      </w:r>
    </w:p>
    <w:p>
      <w:pPr>
        <w:pStyle w:val="67"/>
        <w:spacing w:line="360" w:lineRule="auto"/>
        <w:ind w:firstLine="3784" w:firstLineChars="1802"/>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u w:val="single"/>
        </w:rPr>
        <w:t xml:space="preserve">     年     月      日</w:t>
      </w:r>
    </w:p>
    <w:p>
      <w:pPr>
        <w:spacing w:line="360" w:lineRule="auto"/>
        <w:rPr>
          <w:rFonts w:ascii="Times New Roman" w:hAnsi="Times New Roman"/>
          <w:color w:val="auto"/>
          <w:highlight w:val="none"/>
        </w:rPr>
      </w:pPr>
    </w:p>
    <w:p>
      <w:pPr>
        <w:spacing w:line="560" w:lineRule="exact"/>
        <w:rPr>
          <w:rFonts w:ascii="Times New Roman" w:hAnsi="Times New Roman"/>
          <w:color w:val="auto"/>
          <w:highlight w:val="none"/>
        </w:rPr>
      </w:pPr>
    </w:p>
    <w:p>
      <w:pPr>
        <w:spacing w:line="560" w:lineRule="exact"/>
        <w:rPr>
          <w:rFonts w:ascii="Times New Roman" w:hAnsi="Times New Roman"/>
          <w:color w:val="auto"/>
          <w:highlight w:val="none"/>
        </w:rPr>
      </w:pPr>
    </w:p>
    <w:p>
      <w:pPr>
        <w:spacing w:line="560" w:lineRule="exact"/>
        <w:rPr>
          <w:rFonts w:ascii="Times New Roman" w:hAnsi="Times New Roman"/>
          <w:color w:val="auto"/>
          <w:highlight w:val="none"/>
        </w:rPr>
      </w:pPr>
    </w:p>
    <w:p>
      <w:pPr>
        <w:spacing w:line="560" w:lineRule="exact"/>
        <w:rPr>
          <w:rFonts w:ascii="Times New Roman" w:hAnsi="Times New Roman"/>
          <w:color w:val="auto"/>
          <w:highlight w:val="none"/>
        </w:rPr>
      </w:pPr>
    </w:p>
    <w:p>
      <w:pPr>
        <w:widowControl/>
        <w:jc w:val="left"/>
        <w:rPr>
          <w:rFonts w:ascii="Times New Roman" w:hAnsi="Times New Roman"/>
          <w:b/>
          <w:bCs/>
          <w:color w:val="auto"/>
          <w:sz w:val="24"/>
          <w:szCs w:val="32"/>
          <w:highlight w:val="none"/>
        </w:rPr>
      </w:pPr>
      <w:bookmarkStart w:id="225" w:name="_Toc415"/>
      <w:bookmarkStart w:id="226" w:name="_Toc256783361"/>
      <w:bookmarkStart w:id="227" w:name="_Toc252176852"/>
      <w:bookmarkStart w:id="228" w:name="_Toc441844121"/>
      <w:bookmarkStart w:id="229" w:name="_Toc251236136"/>
      <w:bookmarkStart w:id="230" w:name="_Toc234656243"/>
      <w:bookmarkStart w:id="231" w:name="_Toc50736480"/>
      <w:bookmarkStart w:id="232" w:name="_Toc52165084"/>
      <w:bookmarkStart w:id="233" w:name="_Toc50737332"/>
      <w:bookmarkStart w:id="234" w:name="_Toc50737300"/>
      <w:bookmarkStart w:id="235" w:name="_Toc50691042"/>
    </w:p>
    <w:p>
      <w:pPr>
        <w:widowControl/>
        <w:jc w:val="left"/>
        <w:rPr>
          <w:rFonts w:ascii="Times New Roman" w:hAnsi="Times New Roman"/>
          <w:b/>
          <w:bCs/>
          <w:color w:val="auto"/>
          <w:sz w:val="24"/>
          <w:szCs w:val="32"/>
          <w:highlight w:val="none"/>
        </w:rPr>
      </w:pPr>
      <w:r>
        <w:rPr>
          <w:rFonts w:ascii="Times New Roman" w:hAnsi="Times New Roman"/>
          <w:b/>
          <w:bCs/>
          <w:color w:val="auto"/>
          <w:sz w:val="24"/>
          <w:szCs w:val="32"/>
          <w:highlight w:val="none"/>
        </w:rPr>
        <w:br w:type="page"/>
      </w:r>
    </w:p>
    <w:p>
      <w:pPr>
        <w:pStyle w:val="6"/>
        <w:spacing w:line="360" w:lineRule="auto"/>
        <w:jc w:val="center"/>
        <w:rPr>
          <w:rFonts w:ascii="宋体" w:hAnsi="宋体"/>
          <w:color w:val="auto"/>
          <w:sz w:val="22"/>
          <w:szCs w:val="22"/>
          <w:highlight w:val="none"/>
        </w:rPr>
      </w:pPr>
      <w:bookmarkStart w:id="236" w:name="_Toc61529875"/>
      <w:r>
        <w:rPr>
          <w:rFonts w:ascii="宋体" w:hAnsi="宋体"/>
          <w:color w:val="auto"/>
          <w:sz w:val="22"/>
          <w:szCs w:val="22"/>
          <w:highlight w:val="none"/>
        </w:rPr>
        <w:t>6、投标单位基本情况</w:t>
      </w:r>
      <w:bookmarkEnd w:id="225"/>
      <w:bookmarkEnd w:id="226"/>
      <w:bookmarkEnd w:id="227"/>
      <w:bookmarkEnd w:id="228"/>
      <w:bookmarkEnd w:id="229"/>
      <w:bookmarkEnd w:id="230"/>
      <w:r>
        <w:rPr>
          <w:rFonts w:hint="eastAsia" w:ascii="宋体" w:hAnsi="宋体"/>
          <w:color w:val="auto"/>
          <w:sz w:val="22"/>
          <w:szCs w:val="22"/>
          <w:highlight w:val="none"/>
        </w:rPr>
        <w:t>、简介</w:t>
      </w:r>
      <w:bookmarkEnd w:id="236"/>
    </w:p>
    <w:tbl>
      <w:tblPr>
        <w:tblStyle w:val="5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投标人全称</w:t>
            </w:r>
          </w:p>
        </w:tc>
        <w:tc>
          <w:tcPr>
            <w:tcW w:w="1472"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1255"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企业性质</w:t>
            </w:r>
          </w:p>
        </w:tc>
        <w:tc>
          <w:tcPr>
            <w:tcW w:w="125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地址</w:t>
            </w:r>
          </w:p>
        </w:tc>
        <w:tc>
          <w:tcPr>
            <w:tcW w:w="1472"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1255"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电话</w:t>
            </w:r>
            <w:r>
              <w:rPr>
                <w:rFonts w:asciiTheme="minorEastAsia" w:hAnsiTheme="minorEastAsia" w:eastAsiaTheme="minorEastAsia"/>
                <w:snapToGrid w:val="0"/>
                <w:color w:val="auto"/>
                <w:szCs w:val="21"/>
                <w:highlight w:val="none"/>
              </w:rPr>
              <w:t>/</w:t>
            </w:r>
            <w:r>
              <w:rPr>
                <w:rFonts w:hint="eastAsia" w:asciiTheme="minorEastAsia" w:hAnsiTheme="minorEastAsia" w:eastAsiaTheme="minorEastAsia"/>
                <w:snapToGrid w:val="0"/>
                <w:color w:val="auto"/>
                <w:szCs w:val="21"/>
                <w:highlight w:val="none"/>
              </w:rPr>
              <w:t>传真</w:t>
            </w:r>
          </w:p>
        </w:tc>
        <w:tc>
          <w:tcPr>
            <w:tcW w:w="125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成立年月</w:t>
            </w:r>
          </w:p>
        </w:tc>
        <w:tc>
          <w:tcPr>
            <w:tcW w:w="1472"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1255" w:type="pct"/>
            <w:gridSpan w:val="2"/>
            <w:vMerge w:val="restar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经营范围</w:t>
            </w:r>
          </w:p>
        </w:tc>
        <w:tc>
          <w:tcPr>
            <w:tcW w:w="1255" w:type="pct"/>
            <w:gridSpan w:val="2"/>
            <w:vMerge w:val="restar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营业执照号码</w:t>
            </w:r>
          </w:p>
        </w:tc>
        <w:tc>
          <w:tcPr>
            <w:tcW w:w="1472"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1255" w:type="pct"/>
            <w:gridSpan w:val="2"/>
            <w:vMerge w:val="continue"/>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1255" w:type="pct"/>
            <w:gridSpan w:val="2"/>
            <w:vMerge w:val="continue"/>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注册资金</w:t>
            </w:r>
          </w:p>
        </w:tc>
        <w:tc>
          <w:tcPr>
            <w:tcW w:w="1472"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1255" w:type="pct"/>
            <w:gridSpan w:val="2"/>
            <w:vAlign w:val="bottom"/>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职工人数</w:t>
            </w:r>
          </w:p>
        </w:tc>
        <w:tc>
          <w:tcPr>
            <w:tcW w:w="125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公司所获证书</w:t>
            </w:r>
          </w:p>
        </w:tc>
        <w:tc>
          <w:tcPr>
            <w:tcW w:w="995" w:type="pct"/>
            <w:vAlign w:val="center"/>
          </w:tcPr>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证书名称</w:t>
            </w:r>
          </w:p>
        </w:tc>
        <w:tc>
          <w:tcPr>
            <w:tcW w:w="995" w:type="pct"/>
            <w:gridSpan w:val="2"/>
            <w:vAlign w:val="center"/>
          </w:tcPr>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发证单位</w:t>
            </w:r>
          </w:p>
        </w:tc>
        <w:tc>
          <w:tcPr>
            <w:tcW w:w="995" w:type="pct"/>
            <w:gridSpan w:val="2"/>
            <w:vAlign w:val="center"/>
          </w:tcPr>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证书等级</w:t>
            </w:r>
          </w:p>
        </w:tc>
        <w:tc>
          <w:tcPr>
            <w:tcW w:w="997" w:type="pct"/>
            <w:vAlign w:val="center"/>
          </w:tcPr>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7"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7"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公司财务状况</w:t>
            </w:r>
          </w:p>
        </w:tc>
        <w:tc>
          <w:tcPr>
            <w:tcW w:w="995" w:type="pct"/>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  度</w:t>
            </w:r>
          </w:p>
        </w:tc>
        <w:tc>
          <w:tcPr>
            <w:tcW w:w="995" w:type="pct"/>
            <w:gridSpan w:val="2"/>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总资产（元）</w:t>
            </w:r>
          </w:p>
        </w:tc>
        <w:tc>
          <w:tcPr>
            <w:tcW w:w="995" w:type="pct"/>
            <w:gridSpan w:val="2"/>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年营业额（元）</w:t>
            </w:r>
          </w:p>
        </w:tc>
        <w:tc>
          <w:tcPr>
            <w:tcW w:w="997" w:type="pct"/>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7"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5" w:type="pct"/>
            <w:gridSpan w:val="2"/>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c>
          <w:tcPr>
            <w:tcW w:w="997"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5"/>
              <w:adjustRightInd w:val="0"/>
              <w:snapToGrid w:val="0"/>
              <w:spacing w:line="360" w:lineRule="auto"/>
              <w:jc w:val="center"/>
              <w:rPr>
                <w:rFonts w:asciiTheme="minorEastAsia" w:hAnsiTheme="minorEastAsia" w:eastAsiaTheme="minorEastAsia"/>
                <w:snapToGrid w:val="0"/>
                <w:color w:val="auto"/>
                <w:szCs w:val="21"/>
                <w:highlight w:val="none"/>
              </w:rPr>
            </w:pPr>
            <w:r>
              <w:rPr>
                <w:rFonts w:hint="eastAsia" w:asciiTheme="minorEastAsia" w:hAnsiTheme="minorEastAsia" w:eastAsiaTheme="minorEastAsia"/>
                <w:snapToGrid w:val="0"/>
                <w:color w:val="auto"/>
                <w:szCs w:val="21"/>
                <w:highlight w:val="none"/>
              </w:rPr>
              <w:t>企业简介</w:t>
            </w:r>
          </w:p>
        </w:tc>
        <w:tc>
          <w:tcPr>
            <w:tcW w:w="3982" w:type="pct"/>
            <w:gridSpan w:val="6"/>
            <w:vAlign w:val="center"/>
          </w:tcPr>
          <w:p>
            <w:pPr>
              <w:spacing w:line="360" w:lineRule="auto"/>
              <w:rPr>
                <w:rFonts w:asciiTheme="minorEastAsia" w:hAnsiTheme="minorEastAsia" w:eastAsiaTheme="minorEastAsia"/>
                <w:color w:val="auto"/>
                <w:szCs w:val="21"/>
                <w:highlight w:val="none"/>
              </w:rPr>
            </w:pPr>
          </w:p>
        </w:tc>
      </w:tr>
    </w:tbl>
    <w:p>
      <w:pPr>
        <w:spacing w:line="360" w:lineRule="auto"/>
        <w:rPr>
          <w:rFonts w:ascii="宋体" w:hAnsi="宋体"/>
          <w:color w:val="auto"/>
          <w:sz w:val="22"/>
          <w:szCs w:val="22"/>
          <w:highlight w:val="none"/>
        </w:rPr>
      </w:pPr>
    </w:p>
    <w:p>
      <w:pPr>
        <w:pStyle w:val="67"/>
        <w:spacing w:before="624" w:beforeLines="200" w:line="480" w:lineRule="auto"/>
        <w:ind w:firstLine="0" w:firstLineChars="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480" w:lineRule="auto"/>
        <w:ind w:firstLine="0" w:firstLineChars="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 xml:space="preserve"> 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u w:val="single"/>
        </w:rPr>
        <w:t xml:space="preserve">     年        月         日</w:t>
      </w:r>
    </w:p>
    <w:bookmarkEnd w:id="231"/>
    <w:bookmarkEnd w:id="232"/>
    <w:bookmarkEnd w:id="233"/>
    <w:bookmarkEnd w:id="234"/>
    <w:bookmarkEnd w:id="235"/>
    <w:p>
      <w:pPr>
        <w:spacing w:line="360" w:lineRule="auto"/>
        <w:rPr>
          <w:rFonts w:ascii="宋体" w:hAnsi="宋体"/>
          <w:color w:val="auto"/>
          <w:sz w:val="22"/>
          <w:szCs w:val="22"/>
          <w:highlight w:val="none"/>
        </w:rPr>
      </w:pPr>
    </w:p>
    <w:p>
      <w:pPr>
        <w:pStyle w:val="6"/>
        <w:spacing w:line="360" w:lineRule="auto"/>
        <w:jc w:val="center"/>
        <w:rPr>
          <w:rFonts w:ascii="宋体" w:hAnsi="宋体"/>
          <w:color w:val="auto"/>
          <w:sz w:val="22"/>
          <w:szCs w:val="22"/>
          <w:highlight w:val="none"/>
        </w:rPr>
      </w:pPr>
      <w:bookmarkStart w:id="237" w:name="_Toc321994784"/>
      <w:bookmarkStart w:id="238" w:name="_Toc326689519"/>
      <w:bookmarkStart w:id="239" w:name="_Toc61529876"/>
      <w:bookmarkStart w:id="240" w:name="_Toc441844122"/>
      <w:bookmarkStart w:id="241" w:name="_Toc395863124"/>
      <w:bookmarkStart w:id="242" w:name="_Toc427232353"/>
      <w:bookmarkStart w:id="243" w:name="_Toc401738105"/>
      <w:r>
        <w:rPr>
          <w:rFonts w:ascii="宋体" w:hAnsi="宋体"/>
          <w:color w:val="auto"/>
          <w:sz w:val="22"/>
          <w:szCs w:val="22"/>
          <w:highlight w:val="none"/>
        </w:rPr>
        <w:t>7、投标人资格证明文件</w:t>
      </w:r>
      <w:bookmarkEnd w:id="221"/>
      <w:bookmarkEnd w:id="222"/>
      <w:bookmarkEnd w:id="237"/>
      <w:bookmarkEnd w:id="238"/>
      <w:bookmarkEnd w:id="239"/>
      <w:bookmarkEnd w:id="240"/>
      <w:bookmarkEnd w:id="241"/>
      <w:bookmarkEnd w:id="242"/>
      <w:bookmarkEnd w:id="243"/>
    </w:p>
    <w:p>
      <w:pPr>
        <w:spacing w:line="360" w:lineRule="auto"/>
        <w:jc w:val="center"/>
        <w:rPr>
          <w:rFonts w:ascii="宋体" w:hAnsi="宋体"/>
          <w:b/>
          <w:color w:val="auto"/>
          <w:sz w:val="22"/>
          <w:szCs w:val="22"/>
          <w:highlight w:val="none"/>
        </w:rPr>
      </w:pPr>
    </w:p>
    <w:p>
      <w:pPr>
        <w:pStyle w:val="25"/>
        <w:spacing w:line="360" w:lineRule="auto"/>
        <w:ind w:firstLine="442" w:firstLineChars="200"/>
        <w:rPr>
          <w:rFonts w:hAnsi="宋体" w:cs="Times New Roman"/>
          <w:b/>
          <w:color w:val="auto"/>
          <w:sz w:val="22"/>
          <w:highlight w:val="none"/>
        </w:rPr>
      </w:pPr>
      <w:r>
        <w:rPr>
          <w:rFonts w:hint="eastAsia" w:hAnsi="宋体" w:cs="Times New Roman"/>
          <w:b/>
          <w:color w:val="auto"/>
          <w:sz w:val="22"/>
          <w:highlight w:val="none"/>
        </w:rPr>
        <w:t>投标人资格证明文件请按招标文件投标须知1</w:t>
      </w:r>
      <w:r>
        <w:rPr>
          <w:rFonts w:hAnsi="宋体" w:cs="Times New Roman"/>
          <w:b/>
          <w:color w:val="auto"/>
          <w:sz w:val="22"/>
          <w:highlight w:val="none"/>
        </w:rPr>
        <w:t>1.</w:t>
      </w:r>
      <w:r>
        <w:rPr>
          <w:rFonts w:hint="eastAsia" w:hAnsi="宋体" w:cs="Times New Roman"/>
          <w:b/>
          <w:color w:val="auto"/>
          <w:sz w:val="22"/>
          <w:highlight w:val="none"/>
        </w:rPr>
        <w:t>投标文件构成所要求文件提供。</w:t>
      </w:r>
    </w:p>
    <w:p>
      <w:pPr>
        <w:pStyle w:val="25"/>
        <w:spacing w:line="360" w:lineRule="auto"/>
        <w:ind w:firstLine="440" w:firstLineChars="200"/>
        <w:rPr>
          <w:rFonts w:hAnsi="宋体" w:cs="Times New Roman"/>
          <w:color w:val="auto"/>
          <w:sz w:val="22"/>
          <w:highlight w:val="none"/>
        </w:rPr>
      </w:pPr>
      <w:r>
        <w:rPr>
          <w:rFonts w:hint="eastAsia" w:hAnsi="宋体" w:cs="Times New Roman"/>
          <w:color w:val="auto"/>
          <w:sz w:val="22"/>
          <w:highlight w:val="none"/>
        </w:rPr>
        <w:t>注：</w:t>
      </w:r>
      <w:r>
        <w:rPr>
          <w:rFonts w:hAnsi="宋体" w:cs="Times New Roman"/>
          <w:color w:val="auto"/>
          <w:sz w:val="22"/>
          <w:highlight w:val="none"/>
        </w:rPr>
        <w:t>若投标人提供虚假信息的，将按省市及东莞市交通投资集团有限公司采购管理办法相关规定严肃处理。</w:t>
      </w:r>
    </w:p>
    <w:p>
      <w:pPr>
        <w:pStyle w:val="25"/>
        <w:spacing w:line="360" w:lineRule="auto"/>
        <w:ind w:firstLine="442" w:firstLineChars="200"/>
        <w:rPr>
          <w:rFonts w:hAnsi="宋体" w:cs="Times New Roman"/>
          <w:b/>
          <w:bCs/>
          <w:color w:val="auto"/>
          <w:sz w:val="22"/>
          <w:highlight w:val="none"/>
        </w:rPr>
      </w:pPr>
    </w:p>
    <w:p>
      <w:pPr>
        <w:pStyle w:val="25"/>
        <w:spacing w:line="360" w:lineRule="auto"/>
        <w:jc w:val="center"/>
        <w:rPr>
          <w:rFonts w:hAnsi="宋体" w:cs="Times New Roman"/>
          <w:b/>
          <w:bCs/>
          <w:color w:val="auto"/>
          <w:sz w:val="22"/>
          <w:highlight w:val="none"/>
        </w:rPr>
      </w:pPr>
    </w:p>
    <w:p>
      <w:pPr>
        <w:pStyle w:val="25"/>
        <w:spacing w:line="360" w:lineRule="auto"/>
        <w:jc w:val="center"/>
        <w:rPr>
          <w:rFonts w:hAnsi="宋体" w:cs="Times New Roman"/>
          <w:b/>
          <w:bCs/>
          <w:color w:val="auto"/>
          <w:sz w:val="22"/>
          <w:highlight w:val="none"/>
        </w:rPr>
      </w:pPr>
    </w:p>
    <w:p>
      <w:pPr>
        <w:spacing w:line="560" w:lineRule="exact"/>
        <w:rPr>
          <w:rFonts w:ascii="Times New Roman" w:hAnsi="Times New Roman"/>
          <w:b/>
          <w:color w:val="auto"/>
          <w:sz w:val="24"/>
          <w:highlight w:val="none"/>
        </w:rPr>
      </w:pPr>
    </w:p>
    <w:p>
      <w:pPr>
        <w:spacing w:line="560" w:lineRule="exact"/>
        <w:jc w:val="center"/>
        <w:rPr>
          <w:rFonts w:ascii="Times New Roman" w:hAnsi="Times New Roman"/>
          <w:b/>
          <w:color w:val="auto"/>
          <w:sz w:val="24"/>
          <w:highlight w:val="none"/>
        </w:rPr>
      </w:pPr>
    </w:p>
    <w:p>
      <w:pPr>
        <w:widowControl/>
        <w:jc w:val="left"/>
        <w:rPr>
          <w:rFonts w:ascii="Times New Roman" w:hAnsi="Times New Roman"/>
          <w:b/>
          <w:bCs/>
          <w:color w:val="auto"/>
          <w:sz w:val="24"/>
          <w:szCs w:val="32"/>
          <w:highlight w:val="none"/>
        </w:rPr>
      </w:pPr>
      <w:bookmarkStart w:id="244" w:name="_Toc441844123"/>
      <w:r>
        <w:rPr>
          <w:rFonts w:ascii="Times New Roman" w:hAnsi="Times New Roman"/>
          <w:color w:val="auto"/>
          <w:sz w:val="24"/>
          <w:highlight w:val="none"/>
        </w:rPr>
        <w:br w:type="page"/>
      </w:r>
    </w:p>
    <w:p>
      <w:pPr>
        <w:pStyle w:val="6"/>
        <w:spacing w:line="360" w:lineRule="auto"/>
        <w:jc w:val="center"/>
        <w:rPr>
          <w:rFonts w:ascii="宋体" w:hAnsi="宋体"/>
          <w:color w:val="auto"/>
          <w:sz w:val="22"/>
          <w:szCs w:val="22"/>
          <w:highlight w:val="none"/>
        </w:rPr>
      </w:pPr>
      <w:bookmarkStart w:id="245" w:name="_Toc61529877"/>
      <w:r>
        <w:rPr>
          <w:rFonts w:ascii="宋体" w:hAnsi="宋体"/>
          <w:color w:val="auto"/>
          <w:sz w:val="22"/>
          <w:szCs w:val="22"/>
          <w:highlight w:val="none"/>
        </w:rPr>
        <w:t>8、</w:t>
      </w:r>
      <w:bookmarkEnd w:id="244"/>
      <w:r>
        <w:rPr>
          <w:rFonts w:hint="eastAsia" w:ascii="宋体" w:hAnsi="宋体"/>
          <w:color w:val="auto"/>
          <w:sz w:val="22"/>
          <w:szCs w:val="22"/>
          <w:highlight w:val="none"/>
        </w:rPr>
        <w:t>投标人承诺</w:t>
      </w:r>
      <w:bookmarkEnd w:id="245"/>
    </w:p>
    <w:p>
      <w:pPr>
        <w:spacing w:line="360" w:lineRule="auto"/>
        <w:jc w:val="center"/>
        <w:rPr>
          <w:rFonts w:ascii="宋体" w:hAnsi="宋体"/>
          <w:b/>
          <w:bCs/>
          <w:color w:val="auto"/>
          <w:sz w:val="22"/>
          <w:szCs w:val="22"/>
          <w:highlight w:val="none"/>
          <w:lang w:val="zh-CN"/>
        </w:rPr>
      </w:pPr>
      <w:r>
        <w:rPr>
          <w:rFonts w:hint="eastAsia" w:ascii="宋体" w:hAnsi="宋体"/>
          <w:b/>
          <w:bCs/>
          <w:color w:val="auto"/>
          <w:sz w:val="22"/>
          <w:szCs w:val="22"/>
          <w:highlight w:val="none"/>
          <w:lang w:val="zh-CN"/>
        </w:rPr>
        <w:t>8</w:t>
      </w:r>
      <w:r>
        <w:rPr>
          <w:rFonts w:ascii="宋体" w:hAnsi="宋体"/>
          <w:b/>
          <w:bCs/>
          <w:color w:val="auto"/>
          <w:sz w:val="22"/>
          <w:szCs w:val="22"/>
          <w:highlight w:val="none"/>
          <w:lang w:val="zh-CN"/>
        </w:rPr>
        <w:t>.1</w:t>
      </w:r>
      <w:r>
        <w:rPr>
          <w:rFonts w:hint="eastAsia" w:ascii="宋体" w:hAnsi="宋体"/>
          <w:b/>
          <w:bCs/>
          <w:color w:val="auto"/>
          <w:sz w:val="22"/>
          <w:szCs w:val="22"/>
          <w:highlight w:val="none"/>
          <w:lang w:val="zh-CN"/>
        </w:rPr>
        <w:t>投标人资格承诺</w:t>
      </w:r>
    </w:p>
    <w:tbl>
      <w:tblPr>
        <w:tblStyle w:val="50"/>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1017"/>
        <w:gridCol w:w="20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ascii="宋体" w:hAnsi="宋体"/>
                <w:color w:val="auto"/>
                <w:sz w:val="22"/>
                <w:szCs w:val="22"/>
                <w:highlight w:val="none"/>
                <w:shd w:val="clear" w:color="auto" w:fill="FFFFFF"/>
              </w:rPr>
              <w:t xml:space="preserve">        事项</w:t>
            </w:r>
            <w:r>
              <w:rPr>
                <w:rFonts w:hint="eastAsia" w:ascii="宋体" w:hAnsi="宋体"/>
                <w:color w:val="auto"/>
                <w:sz w:val="22"/>
                <w:szCs w:val="22"/>
                <w:highlight w:val="none"/>
                <w:shd w:val="clear" w:color="auto" w:fill="FFFFFF"/>
              </w:rPr>
              <w:t>名称</w:t>
            </w:r>
          </w:p>
        </w:tc>
        <w:tc>
          <w:tcPr>
            <w:tcW w:w="566" w:type="pct"/>
            <w:vAlign w:val="center"/>
          </w:tcPr>
          <w:p>
            <w:pPr>
              <w:spacing w:line="360" w:lineRule="auto"/>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认定时间</w:t>
            </w:r>
          </w:p>
        </w:tc>
        <w:tc>
          <w:tcPr>
            <w:tcW w:w="1131" w:type="pct"/>
          </w:tcPr>
          <w:p>
            <w:pPr>
              <w:spacing w:line="360" w:lineRule="auto"/>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处罚期届满</w:t>
            </w:r>
            <w:r>
              <w:rPr>
                <w:rFonts w:ascii="宋体" w:hAnsi="宋体"/>
                <w:color w:val="auto"/>
                <w:sz w:val="22"/>
                <w:szCs w:val="22"/>
                <w:highlight w:val="none"/>
                <w:shd w:val="clear" w:color="auto" w:fill="FFFFFF"/>
              </w:rPr>
              <w:t>/异常名录信息失效时间</w:t>
            </w:r>
          </w:p>
        </w:tc>
        <w:tc>
          <w:tcPr>
            <w:tcW w:w="475" w:type="pct"/>
            <w:vAlign w:val="center"/>
          </w:tcPr>
          <w:p>
            <w:pPr>
              <w:spacing w:line="360" w:lineRule="auto"/>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是否被</w:t>
            </w:r>
            <w:r>
              <w:rPr>
                <w:rFonts w:ascii="宋体" w:hAnsi="宋体"/>
                <w:color w:val="auto"/>
                <w:sz w:val="22"/>
                <w:szCs w:val="22"/>
                <w:highlight w:val="none"/>
                <w:shd w:val="clear" w:color="auto" w:fill="FFFFFF"/>
              </w:rPr>
              <w:t>列入“</w:t>
            </w:r>
            <w:r>
              <w:rPr>
                <w:rFonts w:hint="eastAsia" w:ascii="宋体" w:hAnsi="宋体"/>
                <w:color w:val="auto"/>
                <w:sz w:val="22"/>
                <w:szCs w:val="22"/>
                <w:highlight w:val="none"/>
                <w:shd w:val="clear" w:color="auto" w:fill="FFFFFF"/>
              </w:rPr>
              <w:t>中国</w:t>
            </w:r>
            <w:r>
              <w:rPr>
                <w:rFonts w:ascii="宋体" w:hAnsi="宋体"/>
                <w:color w:val="auto"/>
                <w:sz w:val="22"/>
                <w:szCs w:val="22"/>
                <w:highlight w:val="none"/>
                <w:shd w:val="clear" w:color="auto" w:fill="FFFFFF"/>
              </w:rPr>
              <w:t>执行信息公开网”</w:t>
            </w:r>
            <w:r>
              <w:rPr>
                <w:rFonts w:hint="eastAsia" w:ascii="宋体" w:hAnsi="宋体"/>
                <w:color w:val="auto"/>
                <w:sz w:val="22"/>
                <w:szCs w:val="22"/>
                <w:highlight w:val="none"/>
                <w:shd w:val="clear" w:color="auto" w:fill="FFFFFF"/>
              </w:rPr>
              <w:t>被认定为失信被执行人</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是否被认定为重大税收违法案件当事人名单</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是否被认定为严重违法失信行为记录名单</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有无受各级管理部门的处罚</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是否存在大额诉讼或多宗诉讼或其他违法、违约等影响本次招标项目正常履行的情况</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w:t>
            </w:r>
            <w:r>
              <w:rPr>
                <w:rFonts w:ascii="宋体" w:hAnsi="宋体"/>
                <w:color w:val="auto"/>
                <w:sz w:val="22"/>
                <w:szCs w:val="22"/>
                <w:highlight w:val="none"/>
                <w:shd w:val="clear" w:color="auto" w:fill="FFFFFF"/>
              </w:rPr>
              <w:t>存在</w:t>
            </w:r>
            <w:r>
              <w:rPr>
                <w:rFonts w:hint="eastAsia" w:ascii="宋体" w:hAnsi="宋体"/>
                <w:color w:val="auto"/>
                <w:sz w:val="22"/>
                <w:szCs w:val="22"/>
                <w:highlight w:val="none"/>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是否正在与东莞市交通投资集团有限公司及其下属企业发生诉讼</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pPr>
              <w:spacing w:line="360" w:lineRule="auto"/>
              <w:jc w:val="center"/>
              <w:rPr>
                <w:rFonts w:ascii="宋体" w:hAnsi="宋体"/>
                <w:color w:val="auto"/>
                <w:sz w:val="22"/>
                <w:szCs w:val="22"/>
                <w:highlight w:val="none"/>
                <w:shd w:val="clear" w:color="auto" w:fill="FFFFFF"/>
              </w:rPr>
            </w:pPr>
          </w:p>
        </w:tc>
        <w:tc>
          <w:tcPr>
            <w:tcW w:w="1131" w:type="pct"/>
            <w:vAlign w:val="center"/>
          </w:tcPr>
          <w:p>
            <w:pPr>
              <w:spacing w:line="360" w:lineRule="auto"/>
              <w:jc w:val="center"/>
              <w:rPr>
                <w:rFonts w:ascii="宋体" w:hAnsi="宋体"/>
                <w:color w:val="auto"/>
                <w:sz w:val="22"/>
                <w:szCs w:val="22"/>
                <w:highlight w:val="none"/>
                <w:shd w:val="clear" w:color="auto" w:fill="FFFFFF"/>
              </w:rPr>
            </w:pPr>
          </w:p>
        </w:tc>
        <w:tc>
          <w:tcPr>
            <w:tcW w:w="475" w:type="pct"/>
            <w:vAlign w:val="center"/>
          </w:tcPr>
          <w:p>
            <w:pPr>
              <w:spacing w:line="360" w:lineRule="auto"/>
              <w:jc w:val="center"/>
              <w:rPr>
                <w:rFonts w:ascii="宋体" w:hAnsi="宋体"/>
                <w:color w:val="auto"/>
                <w:sz w:val="22"/>
                <w:szCs w:val="22"/>
                <w:highlight w:val="none"/>
                <w:shd w:val="clear" w:color="auto" w:fill="FFFFFF"/>
              </w:rPr>
            </w:pPr>
          </w:p>
        </w:tc>
      </w:tr>
    </w:tbl>
    <w:p>
      <w:pPr>
        <w:spacing w:line="360" w:lineRule="auto"/>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注：</w:t>
      </w:r>
    </w:p>
    <w:p>
      <w:pPr>
        <w:spacing w:line="360" w:lineRule="auto"/>
        <w:ind w:left="284" w:hanging="283" w:hangingChars="129"/>
        <w:rPr>
          <w:rFonts w:ascii="宋体" w:hAnsi="宋体"/>
          <w:color w:val="auto"/>
          <w:sz w:val="22"/>
          <w:szCs w:val="22"/>
          <w:highlight w:val="none"/>
          <w:shd w:val="clear" w:color="auto" w:fill="FFFFFF"/>
        </w:rPr>
      </w:pPr>
      <w:r>
        <w:rPr>
          <w:rFonts w:ascii="宋体" w:hAnsi="宋体"/>
          <w:color w:val="auto"/>
          <w:sz w:val="22"/>
          <w:szCs w:val="22"/>
          <w:highlight w:val="none"/>
          <w:shd w:val="clear" w:color="auto" w:fill="FFFFFF"/>
        </w:rPr>
        <w:t>1.</w:t>
      </w:r>
      <w:r>
        <w:rPr>
          <w:rFonts w:hint="eastAsia" w:ascii="宋体" w:hAnsi="宋体"/>
          <w:color w:val="auto"/>
          <w:sz w:val="22"/>
          <w:szCs w:val="22"/>
          <w:highlight w:val="none"/>
          <w:shd w:val="clear" w:color="auto" w:fill="FFFFFF"/>
        </w:rPr>
        <w:t>根据投标人及其不具有独立法人资格的分支机构的实际情况自行编写，无相关事项的，在</w:t>
      </w:r>
      <w:r>
        <w:rPr>
          <w:rFonts w:ascii="宋体" w:hAnsi="宋体"/>
          <w:color w:val="auto"/>
          <w:sz w:val="22"/>
          <w:szCs w:val="22"/>
          <w:highlight w:val="none"/>
          <w:shd w:val="clear" w:color="auto" w:fill="FFFFFF"/>
        </w:rPr>
        <w:t xml:space="preserve"> </w:t>
      </w:r>
      <w:r>
        <w:rPr>
          <w:rFonts w:hint="eastAsia" w:ascii="宋体" w:hAnsi="宋体"/>
          <w:color w:val="auto"/>
          <w:sz w:val="22"/>
          <w:szCs w:val="22"/>
          <w:highlight w:val="none"/>
          <w:shd w:val="clear" w:color="auto" w:fill="FFFFFF"/>
        </w:rPr>
        <w:t>“认定时间”列填“无”；</w:t>
      </w:r>
    </w:p>
    <w:p>
      <w:pPr>
        <w:spacing w:line="360" w:lineRule="auto"/>
        <w:ind w:left="284" w:hanging="283" w:hangingChars="129"/>
        <w:rPr>
          <w:rFonts w:ascii="宋体" w:hAnsi="宋体"/>
          <w:color w:val="auto"/>
          <w:sz w:val="22"/>
          <w:szCs w:val="22"/>
          <w:highlight w:val="none"/>
          <w:shd w:val="clear" w:color="auto" w:fill="FFFFFF"/>
        </w:rPr>
      </w:pPr>
      <w:r>
        <w:rPr>
          <w:rFonts w:ascii="宋体" w:hAnsi="宋体"/>
          <w:color w:val="auto"/>
          <w:sz w:val="22"/>
          <w:szCs w:val="22"/>
          <w:highlight w:val="none"/>
          <w:shd w:val="clear" w:color="auto" w:fill="FFFFFF"/>
        </w:rPr>
        <w:t>2.</w:t>
      </w:r>
      <w:r>
        <w:rPr>
          <w:rFonts w:hint="eastAsia" w:ascii="宋体" w:hAnsi="宋体"/>
          <w:color w:val="auto"/>
          <w:sz w:val="22"/>
          <w:szCs w:val="22"/>
          <w:highlight w:val="none"/>
          <w:shd w:val="clear" w:color="auto" w:fill="FFFFFF"/>
        </w:rPr>
        <w:t>若受到相关处罚的应附处罚相关材料复印件，发生经济诉讼或纠纷的应附法院判决书、仲裁决议等相关材料复印件（未完结</w:t>
      </w:r>
      <w:r>
        <w:rPr>
          <w:rFonts w:ascii="宋体" w:hAnsi="宋体"/>
          <w:color w:val="auto"/>
          <w:sz w:val="22"/>
          <w:szCs w:val="22"/>
          <w:highlight w:val="none"/>
          <w:shd w:val="clear" w:color="auto" w:fill="FFFFFF"/>
        </w:rPr>
        <w:t>的诉讼或纠纷除外</w:t>
      </w:r>
      <w:r>
        <w:rPr>
          <w:rFonts w:hint="eastAsia" w:ascii="宋体" w:hAnsi="宋体"/>
          <w:color w:val="auto"/>
          <w:sz w:val="22"/>
          <w:szCs w:val="22"/>
          <w:highlight w:val="none"/>
          <w:shd w:val="clear" w:color="auto" w:fill="FFFFFF"/>
        </w:rPr>
        <w:t>）；</w:t>
      </w:r>
    </w:p>
    <w:p>
      <w:pPr>
        <w:spacing w:line="360" w:lineRule="auto"/>
        <w:ind w:left="284" w:hanging="283" w:hangingChars="129"/>
        <w:rPr>
          <w:rFonts w:ascii="宋体" w:hAnsi="宋体"/>
          <w:color w:val="auto"/>
          <w:sz w:val="22"/>
          <w:szCs w:val="22"/>
          <w:highlight w:val="none"/>
          <w:shd w:val="clear" w:color="auto" w:fill="FFFFFF"/>
        </w:rPr>
      </w:pPr>
      <w:r>
        <w:rPr>
          <w:rFonts w:ascii="宋体" w:hAnsi="宋体"/>
          <w:color w:val="auto"/>
          <w:sz w:val="22"/>
          <w:szCs w:val="22"/>
          <w:highlight w:val="none"/>
          <w:shd w:val="clear" w:color="auto" w:fill="FFFFFF"/>
        </w:rPr>
        <w:t>3.</w:t>
      </w:r>
      <w:r>
        <w:rPr>
          <w:rFonts w:hint="eastAsia" w:ascii="宋体" w:hAnsi="宋体"/>
          <w:color w:val="auto"/>
          <w:sz w:val="22"/>
          <w:szCs w:val="22"/>
          <w:highlight w:val="none"/>
          <w:shd w:val="clear" w:color="auto" w:fill="FFFFFF"/>
        </w:rPr>
        <w:t>如相关异常名录信息已失效，投标人需提供相关证明资料；</w:t>
      </w:r>
    </w:p>
    <w:p>
      <w:pPr>
        <w:spacing w:line="360" w:lineRule="auto"/>
        <w:ind w:left="284" w:hanging="283" w:hangingChars="129"/>
        <w:rPr>
          <w:rFonts w:ascii="宋体" w:hAnsi="宋体"/>
          <w:color w:val="auto"/>
          <w:sz w:val="22"/>
          <w:szCs w:val="22"/>
          <w:highlight w:val="none"/>
          <w:shd w:val="clear" w:color="auto" w:fill="FFFFFF"/>
        </w:rPr>
      </w:pPr>
      <w:r>
        <w:rPr>
          <w:rFonts w:ascii="宋体" w:hAnsi="宋体"/>
          <w:color w:val="auto"/>
          <w:sz w:val="22"/>
          <w:szCs w:val="22"/>
          <w:highlight w:val="none"/>
          <w:shd w:val="clear" w:color="auto" w:fill="FFFFFF"/>
        </w:rPr>
        <w:t>4.投标人须按</w:t>
      </w:r>
      <w:r>
        <w:rPr>
          <w:rFonts w:hint="eastAsia" w:ascii="宋体" w:hAnsi="宋体"/>
          <w:color w:val="auto"/>
          <w:sz w:val="22"/>
          <w:szCs w:val="22"/>
          <w:highlight w:val="none"/>
          <w:shd w:val="clear" w:color="auto" w:fill="FFFFFF"/>
        </w:rPr>
        <w:t>其</w:t>
      </w:r>
      <w:r>
        <w:rPr>
          <w:rFonts w:ascii="宋体" w:hAnsi="宋体"/>
          <w:color w:val="auto"/>
          <w:sz w:val="22"/>
          <w:szCs w:val="22"/>
          <w:highlight w:val="none"/>
          <w:shd w:val="clear" w:color="auto" w:fill="FFFFFF"/>
        </w:rPr>
        <w:t>实际情况如实填写上述承诺事宜，招标人及</w:t>
      </w:r>
      <w:r>
        <w:rPr>
          <w:rFonts w:hint="eastAsia" w:ascii="宋体" w:hAnsi="宋体"/>
          <w:color w:val="auto"/>
          <w:sz w:val="22"/>
          <w:szCs w:val="22"/>
          <w:highlight w:val="none"/>
          <w:shd w:val="clear" w:color="auto" w:fill="FFFFFF"/>
        </w:rPr>
        <w:t>招标</w:t>
      </w:r>
      <w:r>
        <w:rPr>
          <w:rFonts w:ascii="宋体" w:hAnsi="宋体"/>
          <w:color w:val="auto"/>
          <w:sz w:val="22"/>
          <w:szCs w:val="22"/>
          <w:highlight w:val="none"/>
          <w:shd w:val="clear" w:color="auto" w:fill="FFFFFF"/>
        </w:rPr>
        <w:t>代理机构有权在开标</w:t>
      </w:r>
      <w:r>
        <w:rPr>
          <w:rFonts w:hint="eastAsia" w:ascii="宋体" w:hAnsi="宋体"/>
          <w:color w:val="auto"/>
          <w:sz w:val="22"/>
          <w:szCs w:val="22"/>
          <w:highlight w:val="none"/>
          <w:shd w:val="clear" w:color="auto" w:fill="FFFFFF"/>
        </w:rPr>
        <w:t>后</w:t>
      </w:r>
      <w:r>
        <w:rPr>
          <w:rFonts w:ascii="宋体" w:hAnsi="宋体"/>
          <w:color w:val="auto"/>
          <w:sz w:val="22"/>
          <w:szCs w:val="22"/>
          <w:highlight w:val="none"/>
          <w:shd w:val="clear" w:color="auto" w:fill="FFFFFF"/>
        </w:rPr>
        <w:t>对投标人的上述承诺进行逐一核实，如发现投标人存在</w:t>
      </w:r>
      <w:r>
        <w:rPr>
          <w:rFonts w:hint="eastAsia" w:ascii="宋体" w:hAnsi="宋体"/>
          <w:color w:val="auto"/>
          <w:sz w:val="22"/>
          <w:szCs w:val="22"/>
          <w:highlight w:val="none"/>
          <w:shd w:val="clear" w:color="auto" w:fill="FFFFFF"/>
        </w:rPr>
        <w:t>虚报</w:t>
      </w:r>
      <w:r>
        <w:rPr>
          <w:rFonts w:ascii="宋体" w:hAnsi="宋体"/>
          <w:color w:val="auto"/>
          <w:sz w:val="22"/>
          <w:szCs w:val="22"/>
          <w:highlight w:val="none"/>
          <w:shd w:val="clear" w:color="auto" w:fill="FFFFFF"/>
        </w:rPr>
        <w:t>、瞒报等情况，将取消</w:t>
      </w:r>
      <w:r>
        <w:rPr>
          <w:rFonts w:hint="eastAsia" w:ascii="宋体" w:hAnsi="宋体"/>
          <w:color w:val="auto"/>
          <w:sz w:val="22"/>
          <w:szCs w:val="22"/>
          <w:highlight w:val="none"/>
          <w:shd w:val="clear" w:color="auto" w:fill="FFFFFF"/>
        </w:rPr>
        <w:t>其</w:t>
      </w:r>
      <w:r>
        <w:rPr>
          <w:rFonts w:ascii="宋体" w:hAnsi="宋体"/>
          <w:color w:val="auto"/>
          <w:sz w:val="22"/>
          <w:szCs w:val="22"/>
          <w:highlight w:val="none"/>
          <w:shd w:val="clear" w:color="auto" w:fill="FFFFFF"/>
        </w:rPr>
        <w:t>中标资格。</w:t>
      </w:r>
    </w:p>
    <w:p>
      <w:pPr>
        <w:pStyle w:val="67"/>
        <w:spacing w:before="624" w:beforeLines="200" w:line="480" w:lineRule="auto"/>
        <w:ind w:firstLine="4515" w:firstLineChars="215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480" w:lineRule="auto"/>
        <w:ind w:firstLine="4515" w:firstLineChars="215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 xml:space="preserve"> 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u w:val="single"/>
        </w:rPr>
        <w:t xml:space="preserve">     年        月         日</w:t>
      </w:r>
    </w:p>
    <w:p>
      <w:pPr>
        <w:widowControl/>
        <w:jc w:val="left"/>
        <w:rPr>
          <w:rFonts w:asciiTheme="minorEastAsia" w:hAnsiTheme="minorEastAsia" w:eastAsiaTheme="minorEastAsia"/>
          <w:color w:val="auto"/>
          <w:szCs w:val="21"/>
          <w:highlight w:val="none"/>
          <w:u w:val="single"/>
        </w:rPr>
      </w:pPr>
    </w:p>
    <w:p>
      <w:pPr>
        <w:widowControl/>
        <w:jc w:val="left"/>
        <w:rPr>
          <w:rFonts w:ascii="宋体" w:hAnsi="宋体"/>
          <w:b/>
          <w:bCs/>
          <w:color w:val="auto"/>
          <w:sz w:val="22"/>
          <w:szCs w:val="22"/>
          <w:highlight w:val="none"/>
          <w:lang w:val="zh-CN"/>
        </w:rPr>
      </w:pPr>
      <w:r>
        <w:rPr>
          <w:rFonts w:ascii="宋体" w:hAnsi="宋体"/>
          <w:b/>
          <w:bCs/>
          <w:color w:val="auto"/>
          <w:sz w:val="22"/>
          <w:szCs w:val="22"/>
          <w:highlight w:val="none"/>
          <w:lang w:val="zh-CN"/>
        </w:rPr>
        <w:br w:type="page"/>
      </w:r>
    </w:p>
    <w:p>
      <w:pPr>
        <w:spacing w:line="360" w:lineRule="auto"/>
        <w:jc w:val="center"/>
        <w:rPr>
          <w:rFonts w:ascii="宋体" w:hAnsi="宋体"/>
          <w:b/>
          <w:bCs/>
          <w:color w:val="auto"/>
          <w:sz w:val="22"/>
          <w:szCs w:val="22"/>
          <w:highlight w:val="none"/>
          <w:lang w:val="zh-CN"/>
        </w:rPr>
      </w:pPr>
      <w:r>
        <w:rPr>
          <w:rFonts w:ascii="宋体" w:hAnsi="宋体"/>
          <w:b/>
          <w:bCs/>
          <w:color w:val="auto"/>
          <w:sz w:val="22"/>
          <w:szCs w:val="22"/>
          <w:highlight w:val="none"/>
          <w:lang w:val="zh-CN"/>
        </w:rPr>
        <w:t>8.2</w:t>
      </w:r>
      <w:r>
        <w:rPr>
          <w:rFonts w:hint="eastAsia" w:ascii="宋体" w:hAnsi="宋体"/>
          <w:b/>
          <w:bCs/>
          <w:color w:val="auto"/>
          <w:sz w:val="22"/>
          <w:szCs w:val="22"/>
          <w:highlight w:val="none"/>
          <w:lang w:val="zh-CN"/>
        </w:rPr>
        <w:t>其他承诺（如有）</w:t>
      </w:r>
    </w:p>
    <w:p>
      <w:pPr>
        <w:spacing w:line="360" w:lineRule="auto"/>
        <w:jc w:val="center"/>
        <w:rPr>
          <w:rFonts w:ascii="宋体" w:hAnsi="宋体"/>
          <w:bCs/>
          <w:color w:val="auto"/>
          <w:sz w:val="22"/>
          <w:szCs w:val="22"/>
          <w:highlight w:val="none"/>
        </w:rPr>
      </w:pPr>
      <w:r>
        <w:rPr>
          <w:rFonts w:hint="eastAsia" w:ascii="宋体" w:hAnsi="宋体"/>
          <w:b/>
          <w:bCs/>
          <w:color w:val="auto"/>
          <w:sz w:val="22"/>
          <w:szCs w:val="22"/>
          <w:highlight w:val="none"/>
          <w:lang w:val="zh-CN"/>
        </w:rPr>
        <w:t>（格式由投标人自定义）</w:t>
      </w:r>
    </w:p>
    <w:p>
      <w:pPr>
        <w:widowControl/>
        <w:jc w:val="left"/>
        <w:rPr>
          <w:rFonts w:ascii="Times New Roman" w:hAnsi="Times New Roman"/>
          <w:b/>
          <w:bCs/>
          <w:color w:val="auto"/>
          <w:sz w:val="22"/>
          <w:szCs w:val="22"/>
          <w:highlight w:val="none"/>
        </w:rPr>
      </w:pPr>
      <w:r>
        <w:rPr>
          <w:rFonts w:ascii="Times New Roman" w:hAnsi="Times New Roman"/>
          <w:b/>
          <w:bCs/>
          <w:color w:val="auto"/>
          <w:sz w:val="22"/>
          <w:szCs w:val="22"/>
          <w:highlight w:val="none"/>
        </w:rPr>
        <w:br w:type="page"/>
      </w:r>
    </w:p>
    <w:p>
      <w:pPr>
        <w:widowControl/>
        <w:jc w:val="left"/>
        <w:rPr>
          <w:rFonts w:ascii="Times New Roman" w:hAnsi="Times New Roman"/>
          <w:b/>
          <w:bCs/>
          <w:color w:val="auto"/>
          <w:sz w:val="22"/>
          <w:szCs w:val="22"/>
          <w:highlight w:val="none"/>
        </w:rPr>
      </w:pPr>
    </w:p>
    <w:p>
      <w:pPr>
        <w:pStyle w:val="6"/>
        <w:spacing w:line="360" w:lineRule="auto"/>
        <w:jc w:val="center"/>
        <w:rPr>
          <w:rFonts w:ascii="宋体" w:hAnsi="宋体"/>
          <w:color w:val="auto"/>
          <w:sz w:val="22"/>
          <w:szCs w:val="22"/>
          <w:highlight w:val="none"/>
        </w:rPr>
      </w:pPr>
      <w:bookmarkStart w:id="246" w:name="_Toc32310"/>
      <w:bookmarkStart w:id="247" w:name="_Toc23885"/>
      <w:bookmarkStart w:id="248" w:name="_Toc22389"/>
      <w:bookmarkStart w:id="249" w:name="_Toc2461"/>
      <w:bookmarkStart w:id="250" w:name="_Toc11396"/>
      <w:bookmarkStart w:id="251" w:name="_Toc61529878"/>
      <w:bookmarkStart w:id="252" w:name="_Toc441844124"/>
      <w:r>
        <w:rPr>
          <w:rFonts w:ascii="宋体" w:hAnsi="宋体"/>
          <w:color w:val="auto"/>
          <w:sz w:val="22"/>
          <w:szCs w:val="22"/>
          <w:highlight w:val="none"/>
        </w:rPr>
        <w:t>9</w:t>
      </w:r>
      <w:bookmarkEnd w:id="246"/>
      <w:bookmarkEnd w:id="247"/>
      <w:bookmarkEnd w:id="248"/>
      <w:bookmarkEnd w:id="249"/>
      <w:bookmarkEnd w:id="250"/>
      <w:r>
        <w:rPr>
          <w:rFonts w:ascii="宋体" w:hAnsi="宋体"/>
          <w:color w:val="auto"/>
          <w:sz w:val="22"/>
          <w:szCs w:val="22"/>
          <w:highlight w:val="none"/>
        </w:rPr>
        <w:t>、业绩情况一览表</w:t>
      </w:r>
      <w:bookmarkEnd w:id="251"/>
      <w:bookmarkEnd w:id="252"/>
    </w:p>
    <w:p>
      <w:pPr>
        <w:spacing w:line="360" w:lineRule="auto"/>
        <w:rPr>
          <w:rFonts w:ascii="Times New Roman" w:hAnsi="Times New Roman"/>
          <w:color w:val="auto"/>
          <w:szCs w:val="21"/>
          <w:highlight w:val="none"/>
          <w:u w:val="single"/>
        </w:rPr>
      </w:pPr>
      <w:r>
        <w:rPr>
          <w:rFonts w:hint="eastAsia" w:ascii="Times New Roman" w:hAnsi="宋体"/>
          <w:color w:val="auto"/>
          <w:szCs w:val="21"/>
          <w:highlight w:val="none"/>
        </w:rPr>
        <w:t>项目</w:t>
      </w:r>
      <w:r>
        <w:rPr>
          <w:rFonts w:ascii="Times New Roman" w:hAnsi="宋体"/>
          <w:color w:val="auto"/>
          <w:szCs w:val="21"/>
          <w:highlight w:val="none"/>
        </w:rPr>
        <w:t>名称：</w:t>
      </w:r>
      <w:r>
        <w:rPr>
          <w:rFonts w:ascii="Times New Roman" w:hAnsi="Times New Roman"/>
          <w:color w:val="auto"/>
          <w:szCs w:val="21"/>
          <w:highlight w:val="none"/>
        </w:rPr>
        <w:t xml:space="preserve">                               </w:t>
      </w:r>
      <w:r>
        <w:rPr>
          <w:rFonts w:ascii="Times New Roman" w:hAnsi="宋体"/>
          <w:color w:val="auto"/>
          <w:szCs w:val="21"/>
          <w:highlight w:val="none"/>
        </w:rPr>
        <w:t>项目编号：</w:t>
      </w:r>
      <w:r>
        <w:rPr>
          <w:rFonts w:hint="eastAsia" w:ascii="Times New Roman" w:hAnsi="宋体"/>
          <w:color w:val="auto"/>
          <w:szCs w:val="21"/>
          <w:highlight w:val="none"/>
        </w:rPr>
        <w:t xml:space="preserve"> </w:t>
      </w:r>
      <w:r>
        <w:rPr>
          <w:rFonts w:ascii="Times New Roman" w:hAnsi="宋体"/>
          <w:color w:val="auto"/>
          <w:szCs w:val="21"/>
          <w:highlight w:val="none"/>
        </w:rPr>
        <w:t xml:space="preserve">               </w:t>
      </w:r>
      <w:r>
        <w:rPr>
          <w:rFonts w:hint="eastAsia" w:ascii="Times New Roman" w:hAnsi="宋体"/>
          <w:color w:val="auto"/>
          <w:szCs w:val="21"/>
          <w:highlight w:val="none"/>
        </w:rPr>
        <w:t>包号：</w:t>
      </w:r>
    </w:p>
    <w:tbl>
      <w:tblPr>
        <w:tblStyle w:val="50"/>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r>
              <w:rPr>
                <w:rFonts w:hint="eastAsia"/>
                <w:color w:val="auto"/>
                <w:szCs w:val="21"/>
                <w:highlight w:val="none"/>
                <w:lang w:val="zh-CN"/>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r>
              <w:rPr>
                <w:rFonts w:hint="eastAsia"/>
                <w:color w:val="auto"/>
                <w:szCs w:val="21"/>
                <w:highlight w:val="none"/>
                <w:lang w:val="zh-CN"/>
              </w:rPr>
              <w:t xml:space="preserve">项目名称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Cs w:val="21"/>
                <w:highlight w:val="none"/>
              </w:rPr>
            </w:pPr>
            <w:r>
              <w:rPr>
                <w:rFonts w:hint="eastAsia" w:hAnsi="宋体" w:cs="宋体"/>
                <w:color w:val="auto"/>
                <w:szCs w:val="21"/>
                <w:highlight w:val="none"/>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lang w:val="zh-CN"/>
              </w:rPr>
            </w:pPr>
            <w:r>
              <w:rPr>
                <w:rFonts w:hint="eastAsia" w:ascii="Times New Roman"/>
                <w:color w:val="auto"/>
                <w:szCs w:val="21"/>
                <w:highlight w:val="none"/>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r>
              <w:rPr>
                <w:rFonts w:hint="eastAsia"/>
                <w:color w:val="auto"/>
                <w:szCs w:val="21"/>
                <w:highlight w:val="none"/>
                <w:lang w:val="zh-CN"/>
              </w:rPr>
              <w:t>合同</w:t>
            </w:r>
          </w:p>
          <w:p>
            <w:pPr>
              <w:jc w:val="center"/>
              <w:rPr>
                <w:rFonts w:ascii="Times New Roman"/>
                <w:color w:val="auto"/>
                <w:szCs w:val="21"/>
                <w:highlight w:val="none"/>
              </w:rPr>
            </w:pPr>
            <w:r>
              <w:rPr>
                <w:rFonts w:hint="eastAsia"/>
                <w:color w:val="auto"/>
                <w:szCs w:val="21"/>
                <w:highlight w:val="none"/>
                <w:lang w:val="zh-CN"/>
              </w:rPr>
              <w:t>金额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lang w:val="zh-CN"/>
              </w:rPr>
            </w:pPr>
            <w:r>
              <w:rPr>
                <w:rFonts w:hint="eastAsia"/>
                <w:color w:val="auto"/>
                <w:szCs w:val="21"/>
                <w:highlight w:val="none"/>
                <w:lang w:val="zh-CN"/>
              </w:rPr>
              <w:t>签约</w:t>
            </w:r>
          </w:p>
          <w:p>
            <w:pPr>
              <w:jc w:val="center"/>
              <w:rPr>
                <w:rFonts w:ascii="Times New Roman"/>
                <w:color w:val="auto"/>
                <w:szCs w:val="21"/>
                <w:highlight w:val="none"/>
              </w:rPr>
            </w:pPr>
            <w:r>
              <w:rPr>
                <w:rFonts w:hint="eastAsia"/>
                <w:color w:val="auto"/>
                <w:szCs w:val="21"/>
                <w:highlight w:val="none"/>
                <w:lang w:val="zh-CN"/>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r>
              <w:rPr>
                <w:rFonts w:hint="eastAsia"/>
                <w:color w:val="auto"/>
                <w:szCs w:val="21"/>
                <w:highlight w:val="none"/>
                <w:lang w:val="zh-CN"/>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r>
              <w:rPr>
                <w:rFonts w:hint="eastAsia"/>
                <w:color w:val="auto"/>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lang w:val="zh-CN"/>
              </w:rPr>
            </w:pPr>
            <w:r>
              <w:rPr>
                <w:color w:val="auto"/>
                <w:szCs w:val="21"/>
                <w:highlight w:val="none"/>
                <w:lang w:val="zh-CN"/>
              </w:rPr>
              <w:t>1</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lang w:val="zh-CN"/>
              </w:rPr>
            </w:pPr>
            <w:r>
              <w:rPr>
                <w:color w:val="auto"/>
                <w:szCs w:val="21"/>
                <w:highlight w:val="none"/>
                <w:lang w:val="zh-CN"/>
              </w:rPr>
              <w:t>2</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lang w:val="zh-CN"/>
              </w:rPr>
            </w:pPr>
            <w:r>
              <w:rPr>
                <w:color w:val="auto"/>
                <w:szCs w:val="21"/>
                <w:highlight w:val="none"/>
                <w:lang w:val="zh-CN"/>
              </w:rPr>
              <w:t>3</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highlight w:val="none"/>
              </w:rPr>
            </w:pPr>
            <w:r>
              <w:rPr>
                <w:rFonts w:ascii="Courier New" w:hAnsi="Courier New" w:cs="Courier New"/>
                <w:color w:val="auto"/>
                <w:highlight w:val="none"/>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Cs w:val="21"/>
                <w:highlight w:val="none"/>
              </w:rPr>
            </w:pPr>
          </w:p>
        </w:tc>
      </w:tr>
    </w:tbl>
    <w:p>
      <w:pPr>
        <w:rPr>
          <w:rFonts w:ascii="宋体" w:hAnsi="宋体"/>
          <w:color w:val="auto"/>
          <w:szCs w:val="21"/>
          <w:highlight w:val="none"/>
        </w:rPr>
      </w:pPr>
    </w:p>
    <w:p>
      <w:pPr>
        <w:spacing w:line="360" w:lineRule="auto"/>
        <w:ind w:left="735" w:hanging="735" w:hangingChars="350"/>
        <w:rPr>
          <w:rFonts w:hAnsi="宋体"/>
          <w:color w:val="auto"/>
          <w:szCs w:val="21"/>
          <w:highlight w:val="none"/>
        </w:rPr>
      </w:pPr>
      <w:r>
        <w:rPr>
          <w:rFonts w:hint="eastAsia" w:hAnsi="宋体"/>
          <w:color w:val="auto"/>
          <w:szCs w:val="21"/>
          <w:highlight w:val="none"/>
        </w:rPr>
        <w:t>注：</w:t>
      </w:r>
      <w:r>
        <w:rPr>
          <w:rFonts w:hint="eastAsia" w:hAnsi="宋体"/>
          <w:color w:val="auto"/>
          <w:szCs w:val="21"/>
          <w:highlight w:val="none"/>
          <w:lang w:val="zh-CN"/>
        </w:rPr>
        <w:t>1）</w:t>
      </w:r>
      <w:r>
        <w:rPr>
          <w:rFonts w:hint="eastAsia" w:hAnsi="宋体"/>
          <w:color w:val="auto"/>
          <w:szCs w:val="21"/>
          <w:highlight w:val="none"/>
        </w:rPr>
        <w:t>所提供的业绩资料须按评分标准中所列要求提供证明资料，若未按上述要求提供证明材料的业绩，或所附材料无法证明符合评分要求的业绩，在评标时将不予考虑。</w:t>
      </w:r>
    </w:p>
    <w:p>
      <w:pPr>
        <w:spacing w:line="360" w:lineRule="auto"/>
        <w:ind w:left="685" w:leftChars="226" w:hanging="210" w:hangingChars="100"/>
        <w:rPr>
          <w:rFonts w:hAnsi="宋体"/>
          <w:color w:val="auto"/>
          <w:szCs w:val="21"/>
          <w:highlight w:val="none"/>
        </w:rPr>
      </w:pPr>
      <w:r>
        <w:rPr>
          <w:rFonts w:hAnsi="宋体"/>
          <w:color w:val="auto"/>
          <w:szCs w:val="21"/>
          <w:highlight w:val="none"/>
        </w:rPr>
        <w:t>2</w:t>
      </w:r>
      <w:r>
        <w:rPr>
          <w:rFonts w:hint="eastAsia" w:hAnsi="宋体"/>
          <w:color w:val="auto"/>
          <w:szCs w:val="21"/>
          <w:highlight w:val="none"/>
        </w:rPr>
        <w:t>）</w:t>
      </w:r>
      <w:r>
        <w:rPr>
          <w:rFonts w:hint="eastAsia" w:hAnsi="宋体"/>
          <w:color w:val="auto"/>
          <w:szCs w:val="21"/>
          <w:highlight w:val="none"/>
          <w:lang w:val="zh-CN"/>
        </w:rPr>
        <w:t>如被发现虚假将取消中标资格。</w:t>
      </w:r>
    </w:p>
    <w:p>
      <w:pPr>
        <w:spacing w:line="360" w:lineRule="auto"/>
        <w:rPr>
          <w:rFonts w:ascii="宋体" w:hAnsi="宋体"/>
          <w:color w:val="auto"/>
          <w:sz w:val="22"/>
          <w:szCs w:val="22"/>
          <w:highlight w:val="none"/>
        </w:rPr>
      </w:pPr>
    </w:p>
    <w:p>
      <w:pPr>
        <w:pStyle w:val="67"/>
        <w:spacing w:before="624" w:beforeLines="200" w:line="480" w:lineRule="auto"/>
        <w:ind w:firstLine="4620" w:firstLineChars="22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480" w:lineRule="auto"/>
        <w:ind w:firstLine="4620" w:firstLineChars="22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 xml:space="preserve"> 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u w:val="single"/>
        </w:rPr>
        <w:t xml:space="preserve">     年        月         日</w:t>
      </w:r>
    </w:p>
    <w:p>
      <w:pPr>
        <w:spacing w:line="360" w:lineRule="auto"/>
        <w:rPr>
          <w:rFonts w:ascii="宋体" w:hAnsi="宋体"/>
          <w:color w:val="auto"/>
          <w:sz w:val="22"/>
          <w:szCs w:val="22"/>
          <w:highlight w:val="none"/>
        </w:rPr>
      </w:pPr>
      <w:r>
        <w:rPr>
          <w:rFonts w:ascii="宋体" w:hAnsi="宋体"/>
          <w:color w:val="auto"/>
          <w:sz w:val="22"/>
          <w:szCs w:val="22"/>
          <w:highlight w:val="none"/>
        </w:rPr>
        <w:tab/>
      </w:r>
    </w:p>
    <w:p>
      <w:pPr>
        <w:widowControl/>
        <w:jc w:val="left"/>
        <w:rPr>
          <w:rFonts w:ascii="宋体" w:hAnsi="宋体"/>
          <w:color w:val="auto"/>
          <w:sz w:val="22"/>
          <w:szCs w:val="22"/>
          <w:highlight w:val="none"/>
        </w:rPr>
      </w:pPr>
      <w:r>
        <w:rPr>
          <w:rFonts w:ascii="宋体" w:hAnsi="宋体"/>
          <w:color w:val="auto"/>
          <w:sz w:val="22"/>
          <w:szCs w:val="22"/>
          <w:highlight w:val="none"/>
        </w:rPr>
        <w:br w:type="page"/>
      </w:r>
    </w:p>
    <w:p>
      <w:pPr>
        <w:pStyle w:val="6"/>
        <w:spacing w:line="360" w:lineRule="auto"/>
        <w:jc w:val="center"/>
        <w:rPr>
          <w:rFonts w:ascii="宋体" w:hAnsi="宋体"/>
          <w:color w:val="auto"/>
          <w:sz w:val="22"/>
          <w:szCs w:val="22"/>
          <w:highlight w:val="none"/>
        </w:rPr>
      </w:pPr>
      <w:bookmarkStart w:id="253" w:name="_Toc61529879"/>
      <w:r>
        <w:rPr>
          <w:rFonts w:hint="eastAsia" w:ascii="宋体" w:hAnsi="宋体"/>
          <w:color w:val="auto"/>
          <w:sz w:val="22"/>
          <w:szCs w:val="22"/>
          <w:highlight w:val="none"/>
        </w:rPr>
        <w:t>1</w:t>
      </w:r>
      <w:r>
        <w:rPr>
          <w:rFonts w:ascii="宋体" w:hAnsi="宋体"/>
          <w:color w:val="auto"/>
          <w:sz w:val="22"/>
          <w:szCs w:val="22"/>
          <w:highlight w:val="none"/>
        </w:rPr>
        <w:t>0</w:t>
      </w:r>
      <w:r>
        <w:rPr>
          <w:rFonts w:hint="eastAsia" w:ascii="宋体" w:hAnsi="宋体"/>
          <w:color w:val="auto"/>
          <w:sz w:val="22"/>
          <w:szCs w:val="22"/>
          <w:highlight w:val="none"/>
        </w:rPr>
        <w:t>、拟投入本项目的服务团队人员情况表格式</w:t>
      </w:r>
      <w:bookmarkEnd w:id="253"/>
    </w:p>
    <w:p>
      <w:pPr>
        <w:spacing w:line="360" w:lineRule="auto"/>
        <w:jc w:val="center"/>
        <w:rPr>
          <w:rFonts w:ascii="宋体" w:hAnsi="宋体"/>
          <w:b/>
          <w:color w:val="auto"/>
          <w:sz w:val="22"/>
          <w:szCs w:val="22"/>
          <w:highlight w:val="none"/>
        </w:rPr>
      </w:pPr>
      <w:r>
        <w:rPr>
          <w:rFonts w:hint="eastAsia" w:ascii="宋体" w:hAnsi="宋体"/>
          <w:b/>
          <w:color w:val="auto"/>
          <w:sz w:val="22"/>
          <w:szCs w:val="22"/>
          <w:highlight w:val="none"/>
        </w:rPr>
        <w:t>10-1 拟投入本项目管理人员情况表</w:t>
      </w:r>
    </w:p>
    <w:p>
      <w:pPr>
        <w:spacing w:line="360" w:lineRule="auto"/>
        <w:rPr>
          <w:rFonts w:ascii="Times New Roman" w:hAnsi="Times New Roman"/>
          <w:color w:val="auto"/>
          <w:szCs w:val="21"/>
          <w:highlight w:val="none"/>
          <w:u w:val="single"/>
        </w:rPr>
      </w:pPr>
      <w:r>
        <w:rPr>
          <w:rFonts w:hint="eastAsia" w:ascii="Times New Roman" w:hAnsi="宋体"/>
          <w:color w:val="auto"/>
          <w:szCs w:val="21"/>
          <w:highlight w:val="none"/>
        </w:rPr>
        <w:t>项目</w:t>
      </w:r>
      <w:r>
        <w:rPr>
          <w:rFonts w:ascii="Times New Roman" w:hAnsi="宋体"/>
          <w:color w:val="auto"/>
          <w:szCs w:val="21"/>
          <w:highlight w:val="none"/>
        </w:rPr>
        <w:t>名称：</w:t>
      </w:r>
      <w:r>
        <w:rPr>
          <w:rFonts w:ascii="Times New Roman" w:hAnsi="Times New Roman"/>
          <w:color w:val="auto"/>
          <w:szCs w:val="21"/>
          <w:highlight w:val="none"/>
        </w:rPr>
        <w:t xml:space="preserve">                                     </w:t>
      </w:r>
      <w:r>
        <w:rPr>
          <w:rFonts w:ascii="Times New Roman" w:hAnsi="宋体"/>
          <w:color w:val="auto"/>
          <w:szCs w:val="21"/>
          <w:highlight w:val="none"/>
        </w:rPr>
        <w:t>项目编号：</w:t>
      </w:r>
      <w:r>
        <w:rPr>
          <w:rFonts w:hint="eastAsia" w:ascii="Times New Roman" w:hAnsi="宋体"/>
          <w:color w:val="auto"/>
          <w:szCs w:val="21"/>
          <w:highlight w:val="none"/>
        </w:rPr>
        <w:t xml:space="preserve"> </w:t>
      </w:r>
      <w:r>
        <w:rPr>
          <w:rFonts w:ascii="Times New Roman" w:hAnsi="宋体"/>
          <w:color w:val="auto"/>
          <w:szCs w:val="21"/>
          <w:highlight w:val="none"/>
        </w:rPr>
        <w:t xml:space="preserve">          </w:t>
      </w:r>
      <w:r>
        <w:rPr>
          <w:rFonts w:hint="eastAsia" w:ascii="Times New Roman" w:hAnsi="宋体"/>
          <w:color w:val="auto"/>
          <w:szCs w:val="21"/>
          <w:highlight w:val="none"/>
        </w:rPr>
        <w:t>包号：</w:t>
      </w:r>
    </w:p>
    <w:tbl>
      <w:tblPr>
        <w:tblStyle w:val="5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auto"/>
                <w:szCs w:val="21"/>
                <w:highlight w:val="none"/>
              </w:rPr>
            </w:pPr>
            <w:r>
              <w:rPr>
                <w:rFonts w:hint="eastAsia" w:hAnsi="宋体"/>
                <w:color w:val="auto"/>
                <w:szCs w:val="21"/>
                <w:highlight w:val="none"/>
              </w:rPr>
              <w:t>序号</w:t>
            </w:r>
          </w:p>
        </w:tc>
        <w:tc>
          <w:tcPr>
            <w:tcW w:w="1169" w:type="dxa"/>
            <w:vAlign w:val="center"/>
          </w:tcPr>
          <w:p>
            <w:pPr>
              <w:spacing w:line="360" w:lineRule="auto"/>
              <w:jc w:val="center"/>
              <w:rPr>
                <w:rFonts w:hAnsi="宋体"/>
                <w:color w:val="auto"/>
                <w:szCs w:val="21"/>
                <w:highlight w:val="none"/>
              </w:rPr>
            </w:pPr>
            <w:r>
              <w:rPr>
                <w:rFonts w:hint="eastAsia" w:hAnsi="宋体"/>
                <w:color w:val="auto"/>
                <w:szCs w:val="21"/>
                <w:highlight w:val="none"/>
              </w:rPr>
              <w:t>姓名</w:t>
            </w:r>
          </w:p>
        </w:tc>
        <w:tc>
          <w:tcPr>
            <w:tcW w:w="677" w:type="dxa"/>
            <w:vAlign w:val="center"/>
          </w:tcPr>
          <w:p>
            <w:pPr>
              <w:spacing w:line="360" w:lineRule="auto"/>
              <w:jc w:val="center"/>
              <w:rPr>
                <w:rFonts w:hAnsi="宋体"/>
                <w:color w:val="auto"/>
                <w:szCs w:val="21"/>
                <w:highlight w:val="none"/>
              </w:rPr>
            </w:pPr>
            <w:r>
              <w:rPr>
                <w:rFonts w:hint="eastAsia" w:hAnsi="宋体"/>
                <w:color w:val="auto"/>
                <w:szCs w:val="21"/>
                <w:highlight w:val="none"/>
              </w:rPr>
              <w:t>性别</w:t>
            </w:r>
          </w:p>
        </w:tc>
        <w:tc>
          <w:tcPr>
            <w:tcW w:w="677" w:type="dxa"/>
            <w:vAlign w:val="center"/>
          </w:tcPr>
          <w:p>
            <w:pPr>
              <w:spacing w:line="360" w:lineRule="auto"/>
              <w:jc w:val="center"/>
              <w:rPr>
                <w:rFonts w:hAnsi="宋体"/>
                <w:color w:val="auto"/>
                <w:szCs w:val="21"/>
                <w:highlight w:val="none"/>
              </w:rPr>
            </w:pPr>
            <w:r>
              <w:rPr>
                <w:rFonts w:hint="eastAsia" w:hAnsi="宋体"/>
                <w:color w:val="auto"/>
                <w:szCs w:val="21"/>
                <w:highlight w:val="none"/>
              </w:rPr>
              <w:t>年龄</w:t>
            </w:r>
          </w:p>
        </w:tc>
        <w:tc>
          <w:tcPr>
            <w:tcW w:w="677" w:type="dxa"/>
            <w:vAlign w:val="center"/>
          </w:tcPr>
          <w:p>
            <w:pPr>
              <w:spacing w:line="360" w:lineRule="auto"/>
              <w:jc w:val="center"/>
              <w:rPr>
                <w:rFonts w:hAnsi="宋体"/>
                <w:color w:val="auto"/>
                <w:szCs w:val="21"/>
                <w:highlight w:val="none"/>
              </w:rPr>
            </w:pPr>
            <w:r>
              <w:rPr>
                <w:rFonts w:hint="eastAsia" w:hAnsi="宋体"/>
                <w:color w:val="auto"/>
                <w:szCs w:val="21"/>
                <w:highlight w:val="none"/>
              </w:rPr>
              <w:t>学历</w:t>
            </w:r>
          </w:p>
        </w:tc>
        <w:tc>
          <w:tcPr>
            <w:tcW w:w="1647" w:type="dxa"/>
            <w:vAlign w:val="center"/>
          </w:tcPr>
          <w:p>
            <w:pPr>
              <w:spacing w:line="360" w:lineRule="auto"/>
              <w:jc w:val="center"/>
              <w:rPr>
                <w:rFonts w:hAnsi="宋体"/>
                <w:color w:val="auto"/>
                <w:szCs w:val="21"/>
                <w:highlight w:val="none"/>
              </w:rPr>
            </w:pPr>
            <w:r>
              <w:rPr>
                <w:rFonts w:hint="eastAsia" w:hAnsi="宋体"/>
                <w:color w:val="auto"/>
                <w:szCs w:val="21"/>
                <w:highlight w:val="none"/>
              </w:rPr>
              <w:t>资格/职称证书/退伍或复员证</w:t>
            </w:r>
          </w:p>
        </w:tc>
        <w:tc>
          <w:tcPr>
            <w:tcW w:w="1134" w:type="dxa"/>
            <w:vAlign w:val="center"/>
          </w:tcPr>
          <w:p>
            <w:pPr>
              <w:spacing w:line="360" w:lineRule="auto"/>
              <w:jc w:val="center"/>
              <w:rPr>
                <w:rFonts w:hAnsi="宋体"/>
                <w:color w:val="auto"/>
                <w:szCs w:val="21"/>
                <w:highlight w:val="none"/>
              </w:rPr>
            </w:pPr>
            <w:r>
              <w:rPr>
                <w:rFonts w:hint="eastAsia" w:hAnsi="宋体"/>
                <w:color w:val="auto"/>
                <w:szCs w:val="21"/>
                <w:highlight w:val="none"/>
              </w:rPr>
              <w:t>拟任职务</w:t>
            </w:r>
          </w:p>
        </w:tc>
        <w:tc>
          <w:tcPr>
            <w:tcW w:w="1939" w:type="dxa"/>
            <w:vAlign w:val="center"/>
          </w:tcPr>
          <w:p>
            <w:pPr>
              <w:spacing w:line="360" w:lineRule="auto"/>
              <w:jc w:val="center"/>
              <w:rPr>
                <w:rFonts w:hAnsi="宋体"/>
                <w:color w:val="auto"/>
                <w:szCs w:val="21"/>
                <w:highlight w:val="none"/>
              </w:rPr>
            </w:pPr>
            <w:r>
              <w:rPr>
                <w:rFonts w:hint="eastAsia" w:hAnsi="宋体"/>
                <w:color w:val="auto"/>
                <w:szCs w:val="21"/>
                <w:highlight w:val="none"/>
              </w:rPr>
              <w:t>从事本行业年限</w:t>
            </w:r>
          </w:p>
        </w:tc>
        <w:tc>
          <w:tcPr>
            <w:tcW w:w="947" w:type="dxa"/>
            <w:vAlign w:val="center"/>
          </w:tcPr>
          <w:p>
            <w:pPr>
              <w:spacing w:line="360" w:lineRule="auto"/>
              <w:rPr>
                <w:rFonts w:hAnsi="宋体"/>
                <w:color w:val="auto"/>
                <w:szCs w:val="21"/>
                <w:highlight w:val="none"/>
              </w:rPr>
            </w:pPr>
            <w:r>
              <w:rPr>
                <w:rFonts w:hint="eastAsia" w:hAnsi="宋体"/>
                <w:color w:val="auto"/>
                <w:szCs w:val="21"/>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bl>
    <w:p>
      <w:pPr>
        <w:spacing w:line="360" w:lineRule="auto"/>
        <w:ind w:left="735" w:hanging="735" w:hangingChars="350"/>
        <w:rPr>
          <w:rFonts w:hAnsi="宋体"/>
          <w:color w:val="auto"/>
          <w:szCs w:val="21"/>
          <w:highlight w:val="none"/>
        </w:rPr>
      </w:pPr>
      <w:r>
        <w:rPr>
          <w:rFonts w:hint="eastAsia" w:hAnsi="宋体"/>
          <w:color w:val="auto"/>
          <w:szCs w:val="21"/>
          <w:highlight w:val="none"/>
        </w:rPr>
        <w:t>注：</w:t>
      </w:r>
      <w:r>
        <w:rPr>
          <w:rFonts w:hint="eastAsia" w:hAnsi="宋体"/>
          <w:color w:val="auto"/>
          <w:szCs w:val="21"/>
          <w:highlight w:val="none"/>
          <w:lang w:val="zh-CN"/>
        </w:rPr>
        <w:t>1）</w:t>
      </w:r>
      <w:r>
        <w:rPr>
          <w:rFonts w:hint="eastAsia" w:hAnsi="宋体"/>
          <w:color w:val="auto"/>
          <w:szCs w:val="21"/>
          <w:highlight w:val="none"/>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auto"/>
          <w:szCs w:val="21"/>
          <w:highlight w:val="none"/>
        </w:rPr>
      </w:pPr>
      <w:r>
        <w:rPr>
          <w:rFonts w:hAnsi="宋体"/>
          <w:color w:val="auto"/>
          <w:szCs w:val="21"/>
          <w:highlight w:val="none"/>
        </w:rPr>
        <w:t>2</w:t>
      </w:r>
      <w:r>
        <w:rPr>
          <w:rFonts w:hint="eastAsia" w:hAnsi="宋体"/>
          <w:color w:val="auto"/>
          <w:szCs w:val="21"/>
          <w:highlight w:val="none"/>
        </w:rPr>
        <w:t>）</w:t>
      </w:r>
      <w:r>
        <w:rPr>
          <w:rFonts w:hint="eastAsia" w:hAnsi="宋体"/>
          <w:color w:val="auto"/>
          <w:szCs w:val="21"/>
          <w:highlight w:val="none"/>
          <w:lang w:val="zh-CN"/>
        </w:rPr>
        <w:t>如被发现虚假将取消中标资格。</w:t>
      </w:r>
    </w:p>
    <w:p>
      <w:pPr>
        <w:spacing w:line="360" w:lineRule="auto"/>
        <w:rPr>
          <w:rFonts w:hAnsi="宋体"/>
          <w:color w:val="auto"/>
          <w:szCs w:val="21"/>
          <w:highlight w:val="none"/>
        </w:rPr>
      </w:pPr>
    </w:p>
    <w:p>
      <w:pPr>
        <w:pStyle w:val="67"/>
        <w:spacing w:before="624" w:beforeLines="200" w:line="480" w:lineRule="auto"/>
        <w:ind w:firstLine="4830" w:firstLineChars="23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480" w:lineRule="auto"/>
        <w:ind w:firstLine="4830" w:firstLineChars="23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 xml:space="preserve"> 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u w:val="single"/>
        </w:rPr>
        <w:t xml:space="preserve">     年        月         日</w:t>
      </w:r>
    </w:p>
    <w:p>
      <w:pPr>
        <w:spacing w:line="360" w:lineRule="auto"/>
        <w:jc w:val="center"/>
        <w:rPr>
          <w:rFonts w:ascii="宋体" w:hAnsi="宋体"/>
          <w:b/>
          <w:color w:val="auto"/>
          <w:sz w:val="22"/>
          <w:szCs w:val="22"/>
          <w:highlight w:val="none"/>
        </w:rPr>
      </w:pPr>
      <w:r>
        <w:rPr>
          <w:rFonts w:hAnsi="宋体"/>
          <w:b/>
          <w:color w:val="auto"/>
          <w:sz w:val="30"/>
          <w:szCs w:val="30"/>
          <w:highlight w:val="none"/>
        </w:rPr>
        <w:br w:type="page"/>
      </w:r>
      <w:r>
        <w:rPr>
          <w:rFonts w:hint="eastAsia" w:ascii="宋体" w:hAnsi="宋体"/>
          <w:b/>
          <w:color w:val="auto"/>
          <w:sz w:val="22"/>
          <w:szCs w:val="22"/>
          <w:highlight w:val="none"/>
        </w:rPr>
        <w:t>10-2 拟投入本项目的服务人员情况表</w:t>
      </w:r>
    </w:p>
    <w:p>
      <w:pPr>
        <w:spacing w:line="360" w:lineRule="auto"/>
        <w:rPr>
          <w:rFonts w:ascii="Times New Roman" w:hAnsi="Times New Roman"/>
          <w:color w:val="auto"/>
          <w:szCs w:val="21"/>
          <w:highlight w:val="none"/>
          <w:u w:val="single"/>
        </w:rPr>
      </w:pPr>
      <w:r>
        <w:rPr>
          <w:rFonts w:hint="eastAsia" w:ascii="Times New Roman" w:hAnsi="宋体"/>
          <w:color w:val="auto"/>
          <w:szCs w:val="21"/>
          <w:highlight w:val="none"/>
        </w:rPr>
        <w:t>项目</w:t>
      </w:r>
      <w:r>
        <w:rPr>
          <w:rFonts w:ascii="Times New Roman" w:hAnsi="宋体"/>
          <w:color w:val="auto"/>
          <w:szCs w:val="21"/>
          <w:highlight w:val="none"/>
        </w:rPr>
        <w:t>名称：</w:t>
      </w:r>
      <w:r>
        <w:rPr>
          <w:rFonts w:ascii="Times New Roman" w:hAnsi="Times New Roman"/>
          <w:color w:val="auto"/>
          <w:szCs w:val="21"/>
          <w:highlight w:val="none"/>
        </w:rPr>
        <w:t xml:space="preserve">                                     </w:t>
      </w:r>
      <w:r>
        <w:rPr>
          <w:rFonts w:ascii="Times New Roman" w:hAnsi="宋体"/>
          <w:color w:val="auto"/>
          <w:szCs w:val="21"/>
          <w:highlight w:val="none"/>
        </w:rPr>
        <w:t>项目编号：</w:t>
      </w:r>
      <w:r>
        <w:rPr>
          <w:rFonts w:hint="eastAsia" w:ascii="Times New Roman" w:hAnsi="宋体"/>
          <w:color w:val="auto"/>
          <w:szCs w:val="21"/>
          <w:highlight w:val="none"/>
        </w:rPr>
        <w:t xml:space="preserve"> </w:t>
      </w:r>
      <w:r>
        <w:rPr>
          <w:rFonts w:ascii="Times New Roman" w:hAnsi="宋体"/>
          <w:color w:val="auto"/>
          <w:szCs w:val="21"/>
          <w:highlight w:val="none"/>
        </w:rPr>
        <w:t xml:space="preserve">          </w:t>
      </w:r>
      <w:r>
        <w:rPr>
          <w:rFonts w:hint="eastAsia" w:ascii="Times New Roman" w:hAnsi="宋体"/>
          <w:color w:val="auto"/>
          <w:szCs w:val="21"/>
          <w:highlight w:val="none"/>
        </w:rPr>
        <w:t>包号：</w:t>
      </w:r>
    </w:p>
    <w:tbl>
      <w:tblPr>
        <w:tblStyle w:val="5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auto"/>
                <w:szCs w:val="21"/>
                <w:highlight w:val="none"/>
              </w:rPr>
            </w:pPr>
            <w:r>
              <w:rPr>
                <w:rFonts w:hint="eastAsia" w:hAnsi="宋体"/>
                <w:color w:val="auto"/>
                <w:szCs w:val="21"/>
                <w:highlight w:val="none"/>
              </w:rPr>
              <w:t>序号</w:t>
            </w:r>
          </w:p>
        </w:tc>
        <w:tc>
          <w:tcPr>
            <w:tcW w:w="1169" w:type="dxa"/>
            <w:vAlign w:val="center"/>
          </w:tcPr>
          <w:p>
            <w:pPr>
              <w:spacing w:line="360" w:lineRule="auto"/>
              <w:jc w:val="center"/>
              <w:rPr>
                <w:rFonts w:hAnsi="宋体"/>
                <w:color w:val="auto"/>
                <w:szCs w:val="21"/>
                <w:highlight w:val="none"/>
              </w:rPr>
            </w:pPr>
            <w:r>
              <w:rPr>
                <w:rFonts w:hint="eastAsia" w:hAnsi="宋体"/>
                <w:color w:val="auto"/>
                <w:szCs w:val="21"/>
                <w:highlight w:val="none"/>
              </w:rPr>
              <w:t>姓名</w:t>
            </w:r>
          </w:p>
        </w:tc>
        <w:tc>
          <w:tcPr>
            <w:tcW w:w="677" w:type="dxa"/>
            <w:vAlign w:val="center"/>
          </w:tcPr>
          <w:p>
            <w:pPr>
              <w:spacing w:line="360" w:lineRule="auto"/>
              <w:jc w:val="center"/>
              <w:rPr>
                <w:rFonts w:hAnsi="宋体"/>
                <w:color w:val="auto"/>
                <w:szCs w:val="21"/>
                <w:highlight w:val="none"/>
              </w:rPr>
            </w:pPr>
            <w:r>
              <w:rPr>
                <w:rFonts w:hint="eastAsia" w:hAnsi="宋体"/>
                <w:color w:val="auto"/>
                <w:szCs w:val="21"/>
                <w:highlight w:val="none"/>
              </w:rPr>
              <w:t>性别</w:t>
            </w:r>
          </w:p>
        </w:tc>
        <w:tc>
          <w:tcPr>
            <w:tcW w:w="677" w:type="dxa"/>
            <w:vAlign w:val="center"/>
          </w:tcPr>
          <w:p>
            <w:pPr>
              <w:spacing w:line="360" w:lineRule="auto"/>
              <w:jc w:val="center"/>
              <w:rPr>
                <w:rFonts w:hAnsi="宋体"/>
                <w:color w:val="auto"/>
                <w:szCs w:val="21"/>
                <w:highlight w:val="none"/>
              </w:rPr>
            </w:pPr>
            <w:r>
              <w:rPr>
                <w:rFonts w:hint="eastAsia" w:hAnsi="宋体"/>
                <w:color w:val="auto"/>
                <w:szCs w:val="21"/>
                <w:highlight w:val="none"/>
              </w:rPr>
              <w:t>年龄</w:t>
            </w:r>
          </w:p>
        </w:tc>
        <w:tc>
          <w:tcPr>
            <w:tcW w:w="677" w:type="dxa"/>
            <w:vAlign w:val="center"/>
          </w:tcPr>
          <w:p>
            <w:pPr>
              <w:spacing w:line="360" w:lineRule="auto"/>
              <w:jc w:val="center"/>
              <w:rPr>
                <w:rFonts w:hAnsi="宋体"/>
                <w:color w:val="auto"/>
                <w:szCs w:val="21"/>
                <w:highlight w:val="none"/>
              </w:rPr>
            </w:pPr>
            <w:r>
              <w:rPr>
                <w:rFonts w:hint="eastAsia" w:hAnsi="宋体"/>
                <w:color w:val="auto"/>
                <w:szCs w:val="21"/>
                <w:highlight w:val="none"/>
              </w:rPr>
              <w:t>学历</w:t>
            </w:r>
          </w:p>
        </w:tc>
        <w:tc>
          <w:tcPr>
            <w:tcW w:w="1647" w:type="dxa"/>
            <w:vAlign w:val="center"/>
          </w:tcPr>
          <w:p>
            <w:pPr>
              <w:spacing w:line="360" w:lineRule="auto"/>
              <w:jc w:val="center"/>
              <w:rPr>
                <w:rFonts w:hAnsi="宋体"/>
                <w:color w:val="auto"/>
                <w:szCs w:val="21"/>
                <w:highlight w:val="none"/>
              </w:rPr>
            </w:pPr>
            <w:r>
              <w:rPr>
                <w:rFonts w:hint="eastAsia" w:hAnsi="宋体"/>
                <w:color w:val="auto"/>
                <w:szCs w:val="21"/>
                <w:highlight w:val="none"/>
              </w:rPr>
              <w:t>资格/职称证书/退伍或复员证</w:t>
            </w:r>
          </w:p>
        </w:tc>
        <w:tc>
          <w:tcPr>
            <w:tcW w:w="1134" w:type="dxa"/>
            <w:vAlign w:val="center"/>
          </w:tcPr>
          <w:p>
            <w:pPr>
              <w:spacing w:line="360" w:lineRule="auto"/>
              <w:jc w:val="center"/>
              <w:rPr>
                <w:rFonts w:hAnsi="宋体"/>
                <w:color w:val="auto"/>
                <w:szCs w:val="21"/>
                <w:highlight w:val="none"/>
              </w:rPr>
            </w:pPr>
            <w:r>
              <w:rPr>
                <w:rFonts w:hint="eastAsia" w:hAnsi="宋体"/>
                <w:color w:val="auto"/>
                <w:szCs w:val="21"/>
                <w:highlight w:val="none"/>
              </w:rPr>
              <w:t>拟任职务</w:t>
            </w:r>
          </w:p>
        </w:tc>
        <w:tc>
          <w:tcPr>
            <w:tcW w:w="1939" w:type="dxa"/>
            <w:vAlign w:val="center"/>
          </w:tcPr>
          <w:p>
            <w:pPr>
              <w:spacing w:line="360" w:lineRule="auto"/>
              <w:jc w:val="center"/>
              <w:rPr>
                <w:rFonts w:hAnsi="宋体"/>
                <w:color w:val="auto"/>
                <w:szCs w:val="21"/>
                <w:highlight w:val="none"/>
              </w:rPr>
            </w:pPr>
            <w:r>
              <w:rPr>
                <w:rFonts w:hint="eastAsia" w:hAnsi="宋体"/>
                <w:color w:val="auto"/>
                <w:szCs w:val="21"/>
                <w:highlight w:val="none"/>
              </w:rPr>
              <w:t>从事本行业年限</w:t>
            </w:r>
          </w:p>
        </w:tc>
        <w:tc>
          <w:tcPr>
            <w:tcW w:w="947" w:type="dxa"/>
            <w:vAlign w:val="center"/>
          </w:tcPr>
          <w:p>
            <w:pPr>
              <w:spacing w:line="360" w:lineRule="auto"/>
              <w:rPr>
                <w:rFonts w:hAnsi="宋体"/>
                <w:color w:val="auto"/>
                <w:szCs w:val="21"/>
                <w:highlight w:val="none"/>
              </w:rPr>
            </w:pPr>
            <w:r>
              <w:rPr>
                <w:rFonts w:hint="eastAsia" w:hAnsi="宋体"/>
                <w:color w:val="auto"/>
                <w:szCs w:val="21"/>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auto"/>
                <w:szCs w:val="21"/>
                <w:highlight w:val="none"/>
              </w:rPr>
            </w:pPr>
          </w:p>
        </w:tc>
        <w:tc>
          <w:tcPr>
            <w:tcW w:w="1169"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677" w:type="dxa"/>
            <w:vAlign w:val="center"/>
          </w:tcPr>
          <w:p>
            <w:pPr>
              <w:spacing w:line="360" w:lineRule="auto"/>
              <w:jc w:val="center"/>
              <w:rPr>
                <w:rFonts w:hAnsi="宋体"/>
                <w:color w:val="auto"/>
                <w:szCs w:val="21"/>
                <w:highlight w:val="none"/>
              </w:rPr>
            </w:pPr>
          </w:p>
        </w:tc>
        <w:tc>
          <w:tcPr>
            <w:tcW w:w="1647" w:type="dxa"/>
            <w:vAlign w:val="center"/>
          </w:tcPr>
          <w:p>
            <w:pPr>
              <w:spacing w:line="360" w:lineRule="auto"/>
              <w:jc w:val="center"/>
              <w:rPr>
                <w:rFonts w:hAnsi="宋体"/>
                <w:color w:val="auto"/>
                <w:szCs w:val="21"/>
                <w:highlight w:val="none"/>
              </w:rPr>
            </w:pPr>
          </w:p>
        </w:tc>
        <w:tc>
          <w:tcPr>
            <w:tcW w:w="1134" w:type="dxa"/>
            <w:vAlign w:val="center"/>
          </w:tcPr>
          <w:p>
            <w:pPr>
              <w:spacing w:line="360" w:lineRule="auto"/>
              <w:jc w:val="center"/>
              <w:rPr>
                <w:rFonts w:hAnsi="宋体"/>
                <w:color w:val="auto"/>
                <w:szCs w:val="21"/>
                <w:highlight w:val="none"/>
              </w:rPr>
            </w:pPr>
          </w:p>
        </w:tc>
        <w:tc>
          <w:tcPr>
            <w:tcW w:w="1939" w:type="dxa"/>
            <w:vAlign w:val="center"/>
          </w:tcPr>
          <w:p>
            <w:pPr>
              <w:spacing w:line="360" w:lineRule="auto"/>
              <w:jc w:val="center"/>
              <w:rPr>
                <w:rFonts w:hAnsi="宋体"/>
                <w:color w:val="auto"/>
                <w:szCs w:val="21"/>
                <w:highlight w:val="none"/>
              </w:rPr>
            </w:pPr>
          </w:p>
        </w:tc>
        <w:tc>
          <w:tcPr>
            <w:tcW w:w="947" w:type="dxa"/>
            <w:vAlign w:val="center"/>
          </w:tcPr>
          <w:p>
            <w:pPr>
              <w:spacing w:line="360" w:lineRule="auto"/>
              <w:jc w:val="center"/>
              <w:rPr>
                <w:rFonts w:hAnsi="宋体"/>
                <w:color w:val="auto"/>
                <w:szCs w:val="21"/>
                <w:highlight w:val="none"/>
              </w:rPr>
            </w:pPr>
          </w:p>
        </w:tc>
      </w:tr>
    </w:tbl>
    <w:p>
      <w:pPr>
        <w:spacing w:line="360" w:lineRule="auto"/>
        <w:ind w:left="735" w:hanging="735" w:hangingChars="350"/>
        <w:rPr>
          <w:rFonts w:hAnsi="宋体"/>
          <w:color w:val="auto"/>
          <w:szCs w:val="21"/>
          <w:highlight w:val="none"/>
        </w:rPr>
      </w:pPr>
      <w:r>
        <w:rPr>
          <w:rFonts w:hint="eastAsia" w:hAnsi="宋体"/>
          <w:color w:val="auto"/>
          <w:szCs w:val="21"/>
          <w:highlight w:val="none"/>
        </w:rPr>
        <w:t>注：</w:t>
      </w:r>
      <w:r>
        <w:rPr>
          <w:rFonts w:hint="eastAsia" w:hAnsi="宋体"/>
          <w:color w:val="auto"/>
          <w:szCs w:val="21"/>
          <w:highlight w:val="none"/>
          <w:lang w:val="zh-CN"/>
        </w:rPr>
        <w:t>1）</w:t>
      </w:r>
      <w:r>
        <w:rPr>
          <w:rFonts w:hint="eastAsia" w:hAnsi="宋体"/>
          <w:color w:val="auto"/>
          <w:szCs w:val="21"/>
          <w:highlight w:val="none"/>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auto"/>
          <w:szCs w:val="21"/>
          <w:highlight w:val="none"/>
        </w:rPr>
      </w:pPr>
      <w:r>
        <w:rPr>
          <w:rFonts w:hAnsi="宋体"/>
          <w:color w:val="auto"/>
          <w:szCs w:val="21"/>
          <w:highlight w:val="none"/>
        </w:rPr>
        <w:t>2</w:t>
      </w:r>
      <w:r>
        <w:rPr>
          <w:rFonts w:hint="eastAsia" w:hAnsi="宋体"/>
          <w:color w:val="auto"/>
          <w:szCs w:val="21"/>
          <w:highlight w:val="none"/>
        </w:rPr>
        <w:t>）</w:t>
      </w:r>
      <w:r>
        <w:rPr>
          <w:rFonts w:hint="eastAsia" w:hAnsi="宋体"/>
          <w:color w:val="auto"/>
          <w:szCs w:val="21"/>
          <w:highlight w:val="none"/>
          <w:lang w:val="zh-CN"/>
        </w:rPr>
        <w:t>如被发现虚假将取消中标资格。</w:t>
      </w:r>
    </w:p>
    <w:p>
      <w:pPr>
        <w:spacing w:line="360" w:lineRule="auto"/>
        <w:rPr>
          <w:rFonts w:hAnsi="宋体"/>
          <w:color w:val="auto"/>
          <w:szCs w:val="21"/>
          <w:highlight w:val="none"/>
        </w:rPr>
      </w:pPr>
    </w:p>
    <w:p>
      <w:pPr>
        <w:pStyle w:val="67"/>
        <w:spacing w:before="624" w:beforeLines="200" w:line="480" w:lineRule="auto"/>
        <w:ind w:firstLine="4620" w:firstLineChars="22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 xml:space="preserve">投标人名称（加盖公章）： </w:t>
      </w:r>
      <w:r>
        <w:rPr>
          <w:rFonts w:hint="eastAsia" w:asciiTheme="minorEastAsia" w:hAnsiTheme="minorEastAsia" w:eastAsiaTheme="minorEastAsia"/>
          <w:color w:val="auto"/>
          <w:sz w:val="21"/>
          <w:szCs w:val="21"/>
          <w:highlight w:val="none"/>
          <w:u w:val="single"/>
        </w:rPr>
        <w:t xml:space="preserve">                 </w:t>
      </w:r>
    </w:p>
    <w:p>
      <w:pPr>
        <w:pStyle w:val="67"/>
        <w:spacing w:line="480" w:lineRule="auto"/>
        <w:ind w:firstLine="4620" w:firstLineChars="2200"/>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日</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rPr>
        <w:t xml:space="preserve"> 期：</w:t>
      </w:r>
      <w:r>
        <w:rPr>
          <w:rFonts w:asciiTheme="minorEastAsia" w:hAnsiTheme="minorEastAsia" w:eastAsiaTheme="minorEastAsia"/>
          <w:color w:val="auto"/>
          <w:sz w:val="21"/>
          <w:szCs w:val="21"/>
          <w:highlight w:val="none"/>
        </w:rPr>
        <w:t xml:space="preserve"> </w:t>
      </w:r>
      <w:r>
        <w:rPr>
          <w:rFonts w:hint="eastAsia" w:asciiTheme="minorEastAsia" w:hAnsiTheme="minorEastAsia" w:eastAsiaTheme="minorEastAsia"/>
          <w:color w:val="auto"/>
          <w:sz w:val="21"/>
          <w:szCs w:val="21"/>
          <w:highlight w:val="none"/>
          <w:u w:val="single"/>
        </w:rPr>
        <w:t xml:space="preserve">     年        月         日</w:t>
      </w:r>
    </w:p>
    <w:p>
      <w:pPr>
        <w:rPr>
          <w:color w:val="auto"/>
          <w:highlight w:val="none"/>
        </w:rPr>
      </w:pPr>
    </w:p>
    <w:p>
      <w:pPr>
        <w:rPr>
          <w:color w:val="auto"/>
          <w:highlight w:val="none"/>
        </w:rPr>
        <w:sectPr>
          <w:pgSz w:w="11906" w:h="16838"/>
          <w:pgMar w:top="1327" w:right="1440" w:bottom="1327" w:left="1440" w:header="851" w:footer="992" w:gutter="0"/>
          <w:cols w:space="720" w:num="1"/>
          <w:titlePg/>
          <w:docGrid w:type="lines" w:linePitch="312" w:charSpace="0"/>
        </w:sectPr>
      </w:pPr>
      <w:bookmarkStart w:id="254" w:name="_Toc441844127"/>
      <w:bookmarkStart w:id="255" w:name="_Toc439325723"/>
    </w:p>
    <w:bookmarkEnd w:id="254"/>
    <w:bookmarkEnd w:id="255"/>
    <w:p>
      <w:pPr>
        <w:pStyle w:val="6"/>
        <w:jc w:val="center"/>
        <w:rPr>
          <w:rFonts w:ascii="Times New Roman" w:hAnsi="Times New Roman"/>
          <w:color w:val="auto"/>
          <w:sz w:val="24"/>
          <w:highlight w:val="none"/>
        </w:rPr>
      </w:pPr>
      <w:bookmarkStart w:id="256" w:name="_Toc439325724"/>
      <w:bookmarkStart w:id="257" w:name="_Toc61529880"/>
      <w:bookmarkStart w:id="258" w:name="_Toc441844128"/>
      <w:r>
        <w:rPr>
          <w:rFonts w:ascii="Times New Roman" w:hAnsi="Times New Roman"/>
          <w:color w:val="auto"/>
          <w:sz w:val="24"/>
          <w:highlight w:val="none"/>
        </w:rPr>
        <w:t>11、投标方案</w:t>
      </w:r>
      <w:bookmarkEnd w:id="256"/>
      <w:bookmarkEnd w:id="257"/>
      <w:bookmarkEnd w:id="258"/>
    </w:p>
    <w:p>
      <w:pPr>
        <w:spacing w:line="360" w:lineRule="auto"/>
        <w:ind w:firstLine="442" w:firstLineChars="200"/>
        <w:rPr>
          <w:b/>
          <w:color w:val="auto"/>
          <w:sz w:val="22"/>
          <w:szCs w:val="22"/>
          <w:highlight w:val="none"/>
        </w:rPr>
      </w:pPr>
      <w:r>
        <w:rPr>
          <w:rFonts w:ascii="宋体" w:hAnsi="宋体"/>
          <w:b/>
          <w:color w:val="auto"/>
          <w:sz w:val="22"/>
          <w:szCs w:val="22"/>
          <w:highlight w:val="none"/>
        </w:rPr>
        <w:t>投标人应编制详细、完整的</w:t>
      </w:r>
      <w:r>
        <w:rPr>
          <w:rFonts w:hint="eastAsia" w:ascii="宋体" w:hAnsi="宋体"/>
          <w:b/>
          <w:color w:val="auto"/>
          <w:sz w:val="22"/>
          <w:szCs w:val="22"/>
          <w:highlight w:val="none"/>
        </w:rPr>
        <w:t>供货或</w:t>
      </w:r>
      <w:r>
        <w:rPr>
          <w:rFonts w:ascii="宋体" w:hAnsi="宋体"/>
          <w:b/>
          <w:color w:val="auto"/>
          <w:sz w:val="22"/>
          <w:szCs w:val="22"/>
          <w:highlight w:val="none"/>
        </w:rPr>
        <w:t>服务方案</w:t>
      </w:r>
      <w:r>
        <w:rPr>
          <w:rFonts w:hint="eastAsia" w:ascii="宋体" w:hAnsi="宋体"/>
          <w:b/>
          <w:color w:val="auto"/>
          <w:sz w:val="22"/>
          <w:szCs w:val="22"/>
          <w:highlight w:val="none"/>
        </w:rPr>
        <w:t>，</w:t>
      </w:r>
      <w:r>
        <w:rPr>
          <w:rFonts w:ascii="宋体" w:hAnsi="宋体"/>
          <w:b/>
          <w:color w:val="auto"/>
          <w:sz w:val="22"/>
          <w:szCs w:val="22"/>
          <w:highlight w:val="none"/>
        </w:rPr>
        <w:t>该方案应满足或高于招标文件要求，具体内</w:t>
      </w:r>
      <w:r>
        <w:rPr>
          <w:rFonts w:hint="eastAsia" w:ascii="宋体" w:hAnsi="宋体"/>
          <w:b/>
          <w:color w:val="auto"/>
          <w:sz w:val="22"/>
          <w:szCs w:val="22"/>
          <w:highlight w:val="none"/>
        </w:rPr>
        <w:t>容包括不限于本项目招标文件评分标准中所列内容。</w:t>
      </w:r>
      <w:r>
        <w:rPr>
          <w:rFonts w:hint="eastAsia"/>
          <w:b/>
          <w:color w:val="auto"/>
          <w:sz w:val="22"/>
          <w:szCs w:val="22"/>
          <w:highlight w:val="none"/>
        </w:rPr>
        <w:t>投标人应尽可能提供详细说明，以便评委会对投标方案有详细了解。</w:t>
      </w:r>
    </w:p>
    <w:p>
      <w:pPr>
        <w:spacing w:line="360" w:lineRule="auto"/>
        <w:ind w:left="691" w:leftChars="59" w:hanging="567" w:hangingChars="270"/>
        <w:rPr>
          <w:rFonts w:ascii="宋体"/>
          <w:color w:val="auto"/>
          <w:sz w:val="22"/>
          <w:szCs w:val="22"/>
          <w:highlight w:val="none"/>
        </w:rPr>
      </w:pPr>
      <w:r>
        <w:rPr>
          <w:rFonts w:ascii="宋体"/>
          <w:color w:val="auto"/>
          <w:highlight w:val="none"/>
        </w:rPr>
        <w:br w:type="page"/>
      </w:r>
    </w:p>
    <w:p>
      <w:pPr>
        <w:pStyle w:val="6"/>
        <w:jc w:val="center"/>
        <w:rPr>
          <w:rFonts w:ascii="Times New Roman" w:hAnsi="Times New Roman"/>
          <w:color w:val="auto"/>
          <w:sz w:val="22"/>
          <w:szCs w:val="22"/>
          <w:highlight w:val="none"/>
        </w:rPr>
      </w:pPr>
      <w:bookmarkStart w:id="259" w:name="_Toc439325725"/>
      <w:bookmarkStart w:id="260" w:name="_Toc441844129"/>
      <w:bookmarkStart w:id="261" w:name="_Toc61529881"/>
      <w:r>
        <w:rPr>
          <w:rFonts w:ascii="Times New Roman" w:hAnsi="Times New Roman"/>
          <w:color w:val="auto"/>
          <w:sz w:val="22"/>
          <w:szCs w:val="22"/>
          <w:highlight w:val="none"/>
        </w:rPr>
        <w:t>12、</w:t>
      </w:r>
      <w:r>
        <w:rPr>
          <w:rFonts w:hint="eastAsia" w:ascii="Times New Roman" w:hAnsi="Times New Roman"/>
          <w:color w:val="auto"/>
          <w:sz w:val="22"/>
          <w:szCs w:val="22"/>
          <w:highlight w:val="none"/>
        </w:rPr>
        <w:t>用户需求</w:t>
      </w:r>
      <w:r>
        <w:rPr>
          <w:rFonts w:ascii="Times New Roman" w:hAnsi="Times New Roman"/>
          <w:color w:val="auto"/>
          <w:sz w:val="22"/>
          <w:szCs w:val="22"/>
          <w:highlight w:val="none"/>
        </w:rPr>
        <w:t>偏离表</w:t>
      </w:r>
      <w:bookmarkEnd w:id="259"/>
      <w:bookmarkEnd w:id="260"/>
      <w:bookmarkEnd w:id="261"/>
    </w:p>
    <w:p>
      <w:pPr>
        <w:spacing w:line="560" w:lineRule="exact"/>
        <w:rPr>
          <w:rFonts w:ascii="宋体" w:hAnsi="宋体"/>
          <w:color w:val="auto"/>
          <w:sz w:val="22"/>
          <w:szCs w:val="22"/>
          <w:highlight w:val="none"/>
          <w:u w:val="single"/>
        </w:rPr>
      </w:pPr>
      <w:r>
        <w:rPr>
          <w:rFonts w:hint="eastAsia" w:ascii="宋体" w:hAnsi="宋体"/>
          <w:color w:val="auto"/>
          <w:sz w:val="22"/>
          <w:szCs w:val="22"/>
          <w:highlight w:val="none"/>
        </w:rPr>
        <w:t>项目名称：</w:t>
      </w:r>
      <w:r>
        <w:rPr>
          <w:rFonts w:ascii="宋体" w:hAnsi="宋体"/>
          <w:color w:val="auto"/>
          <w:sz w:val="22"/>
          <w:szCs w:val="22"/>
          <w:highlight w:val="none"/>
        </w:rPr>
        <w:t xml:space="preserve">                       </w:t>
      </w:r>
      <w:r>
        <w:rPr>
          <w:rFonts w:hint="eastAsia" w:ascii="宋体" w:hAnsi="宋体"/>
          <w:color w:val="auto"/>
          <w:sz w:val="22"/>
          <w:szCs w:val="22"/>
          <w:highlight w:val="none"/>
        </w:rPr>
        <w:t>项目编号：</w:t>
      </w:r>
      <w:r>
        <w:rPr>
          <w:rFonts w:ascii="宋体" w:hAnsi="宋体"/>
          <w:color w:val="auto"/>
          <w:sz w:val="22"/>
          <w:szCs w:val="22"/>
          <w:highlight w:val="none"/>
        </w:rPr>
        <w:t xml:space="preserve">          </w:t>
      </w:r>
      <w:r>
        <w:rPr>
          <w:rFonts w:hint="eastAsia" w:ascii="宋体" w:hAnsi="宋体"/>
          <w:color w:val="auto"/>
          <w:sz w:val="22"/>
          <w:szCs w:val="22"/>
          <w:highlight w:val="none"/>
        </w:rPr>
        <w:t>包号：</w:t>
      </w:r>
    </w:p>
    <w:tbl>
      <w:tblPr>
        <w:tblStyle w:val="50"/>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color w:val="auto"/>
                <w:szCs w:val="21"/>
                <w:highlight w:val="none"/>
              </w:rPr>
            </w:pPr>
            <w:r>
              <w:rPr>
                <w:rFonts w:hint="eastAsia" w:hAnsi="宋体"/>
                <w:color w:val="auto"/>
                <w:szCs w:val="21"/>
                <w:highlight w:val="none"/>
              </w:rPr>
              <w:t>序号</w:t>
            </w:r>
          </w:p>
        </w:tc>
        <w:tc>
          <w:tcPr>
            <w:tcW w:w="3241" w:type="dxa"/>
            <w:gridSpan w:val="2"/>
            <w:vAlign w:val="center"/>
          </w:tcPr>
          <w:p>
            <w:pPr>
              <w:spacing w:line="400" w:lineRule="exact"/>
              <w:jc w:val="center"/>
              <w:rPr>
                <w:rFonts w:hAnsi="宋体"/>
                <w:color w:val="auto"/>
                <w:szCs w:val="21"/>
                <w:highlight w:val="none"/>
              </w:rPr>
            </w:pPr>
            <w:r>
              <w:rPr>
                <w:rFonts w:hint="eastAsia" w:hAnsi="宋体"/>
                <w:color w:val="auto"/>
                <w:szCs w:val="21"/>
                <w:highlight w:val="none"/>
              </w:rPr>
              <w:t>招标文件要求</w:t>
            </w:r>
          </w:p>
        </w:tc>
        <w:tc>
          <w:tcPr>
            <w:tcW w:w="5148" w:type="dxa"/>
            <w:gridSpan w:val="3"/>
            <w:vAlign w:val="center"/>
          </w:tcPr>
          <w:p>
            <w:pPr>
              <w:spacing w:line="400" w:lineRule="exact"/>
              <w:jc w:val="center"/>
              <w:rPr>
                <w:rFonts w:hAnsi="宋体"/>
                <w:color w:val="auto"/>
                <w:szCs w:val="21"/>
                <w:highlight w:val="none"/>
              </w:rPr>
            </w:pPr>
            <w:r>
              <w:rPr>
                <w:rFonts w:hint="eastAsia" w:hAnsi="宋体"/>
                <w:color w:val="auto"/>
                <w:szCs w:val="21"/>
                <w:highlight w:val="none"/>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color w:val="auto"/>
                <w:szCs w:val="21"/>
                <w:highlight w:val="none"/>
              </w:rPr>
            </w:pPr>
          </w:p>
        </w:tc>
        <w:tc>
          <w:tcPr>
            <w:tcW w:w="1115" w:type="dxa"/>
            <w:vAlign w:val="center"/>
          </w:tcPr>
          <w:p>
            <w:pPr>
              <w:spacing w:line="400" w:lineRule="exact"/>
              <w:jc w:val="center"/>
              <w:rPr>
                <w:rFonts w:hAnsi="宋体"/>
                <w:color w:val="auto"/>
                <w:szCs w:val="21"/>
                <w:highlight w:val="none"/>
              </w:rPr>
            </w:pPr>
            <w:r>
              <w:rPr>
                <w:rFonts w:hint="eastAsia" w:hAnsi="宋体"/>
                <w:color w:val="auto"/>
                <w:szCs w:val="21"/>
                <w:highlight w:val="none"/>
              </w:rPr>
              <w:t>条款号</w:t>
            </w:r>
          </w:p>
        </w:tc>
        <w:tc>
          <w:tcPr>
            <w:tcW w:w="2126" w:type="dxa"/>
            <w:vAlign w:val="center"/>
          </w:tcPr>
          <w:p>
            <w:pPr>
              <w:spacing w:line="400" w:lineRule="exact"/>
              <w:jc w:val="center"/>
              <w:rPr>
                <w:rFonts w:hAnsi="宋体"/>
                <w:color w:val="auto"/>
                <w:szCs w:val="21"/>
                <w:highlight w:val="none"/>
              </w:rPr>
            </w:pPr>
            <w:r>
              <w:rPr>
                <w:rFonts w:hint="eastAsia" w:hAnsi="宋体"/>
                <w:color w:val="auto"/>
                <w:szCs w:val="21"/>
                <w:highlight w:val="none"/>
              </w:rPr>
              <w:t>简要内容</w:t>
            </w:r>
          </w:p>
        </w:tc>
        <w:tc>
          <w:tcPr>
            <w:tcW w:w="1462" w:type="dxa"/>
            <w:vAlign w:val="center"/>
          </w:tcPr>
          <w:p>
            <w:pPr>
              <w:spacing w:line="400" w:lineRule="exact"/>
              <w:jc w:val="center"/>
              <w:rPr>
                <w:rFonts w:hAnsi="宋体"/>
                <w:color w:val="auto"/>
                <w:szCs w:val="21"/>
                <w:highlight w:val="none"/>
              </w:rPr>
            </w:pPr>
            <w:r>
              <w:rPr>
                <w:rFonts w:hint="eastAsia" w:hAnsi="宋体"/>
                <w:color w:val="auto"/>
                <w:szCs w:val="21"/>
                <w:highlight w:val="none"/>
              </w:rPr>
              <w:t>偏离情况</w:t>
            </w:r>
          </w:p>
        </w:tc>
        <w:tc>
          <w:tcPr>
            <w:tcW w:w="2410" w:type="dxa"/>
            <w:vAlign w:val="center"/>
          </w:tcPr>
          <w:p>
            <w:pPr>
              <w:spacing w:line="400" w:lineRule="exact"/>
              <w:jc w:val="center"/>
              <w:rPr>
                <w:rFonts w:hAnsi="宋体"/>
                <w:color w:val="auto"/>
                <w:szCs w:val="21"/>
                <w:highlight w:val="none"/>
              </w:rPr>
            </w:pPr>
            <w:r>
              <w:rPr>
                <w:rFonts w:hint="eastAsia" w:hAnsi="宋体"/>
                <w:color w:val="auto"/>
                <w:szCs w:val="21"/>
                <w:highlight w:val="none"/>
              </w:rPr>
              <w:t>具体偏离内容</w:t>
            </w:r>
          </w:p>
        </w:tc>
        <w:tc>
          <w:tcPr>
            <w:tcW w:w="1276" w:type="dxa"/>
          </w:tcPr>
          <w:p>
            <w:pPr>
              <w:spacing w:line="400" w:lineRule="exact"/>
              <w:jc w:val="center"/>
              <w:rPr>
                <w:rFonts w:hAnsi="宋体"/>
                <w:color w:val="auto"/>
                <w:szCs w:val="21"/>
                <w:highlight w:val="none"/>
              </w:rPr>
            </w:pPr>
            <w:r>
              <w:rPr>
                <w:rFonts w:hint="eastAsia" w:hAnsi="宋体" w:cs="宋体"/>
                <w:color w:val="auto"/>
                <w:szCs w:val="21"/>
                <w:highlight w:val="none"/>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color w:val="auto"/>
                <w:szCs w:val="21"/>
                <w:highlight w:val="none"/>
              </w:rPr>
            </w:pPr>
          </w:p>
        </w:tc>
        <w:tc>
          <w:tcPr>
            <w:tcW w:w="1115" w:type="dxa"/>
            <w:vAlign w:val="center"/>
          </w:tcPr>
          <w:p>
            <w:pPr>
              <w:spacing w:line="360" w:lineRule="auto"/>
              <w:jc w:val="center"/>
              <w:rPr>
                <w:rFonts w:hAnsi="宋体"/>
                <w:color w:val="auto"/>
                <w:szCs w:val="21"/>
                <w:highlight w:val="none"/>
              </w:rPr>
            </w:pPr>
          </w:p>
        </w:tc>
        <w:tc>
          <w:tcPr>
            <w:tcW w:w="2126" w:type="dxa"/>
            <w:vAlign w:val="center"/>
          </w:tcPr>
          <w:p>
            <w:pPr>
              <w:spacing w:line="400" w:lineRule="exact"/>
              <w:jc w:val="center"/>
              <w:rPr>
                <w:rFonts w:hAnsi="宋体"/>
                <w:color w:val="auto"/>
                <w:szCs w:val="21"/>
                <w:highlight w:val="none"/>
              </w:rPr>
            </w:pPr>
          </w:p>
        </w:tc>
        <w:tc>
          <w:tcPr>
            <w:tcW w:w="1462" w:type="dxa"/>
            <w:vAlign w:val="center"/>
          </w:tcPr>
          <w:p>
            <w:pPr>
              <w:spacing w:line="360" w:lineRule="auto"/>
              <w:jc w:val="center"/>
              <w:rPr>
                <w:rFonts w:hAnsi="宋体"/>
                <w:color w:val="auto"/>
                <w:szCs w:val="21"/>
                <w:highlight w:val="none"/>
              </w:rPr>
            </w:pPr>
          </w:p>
        </w:tc>
        <w:tc>
          <w:tcPr>
            <w:tcW w:w="2410" w:type="dxa"/>
            <w:vAlign w:val="center"/>
          </w:tcPr>
          <w:p>
            <w:pPr>
              <w:spacing w:line="360" w:lineRule="auto"/>
              <w:jc w:val="center"/>
              <w:rPr>
                <w:rFonts w:hAnsi="宋体"/>
                <w:color w:val="auto"/>
                <w:szCs w:val="21"/>
                <w:highlight w:val="none"/>
              </w:rPr>
            </w:pPr>
          </w:p>
        </w:tc>
        <w:tc>
          <w:tcPr>
            <w:tcW w:w="1276"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auto"/>
                <w:szCs w:val="21"/>
                <w:highlight w:val="none"/>
              </w:rPr>
            </w:pPr>
          </w:p>
        </w:tc>
        <w:tc>
          <w:tcPr>
            <w:tcW w:w="1115" w:type="dxa"/>
            <w:vAlign w:val="center"/>
          </w:tcPr>
          <w:p>
            <w:pPr>
              <w:spacing w:line="360" w:lineRule="auto"/>
              <w:jc w:val="center"/>
              <w:rPr>
                <w:rFonts w:hAnsi="宋体"/>
                <w:color w:val="auto"/>
                <w:szCs w:val="21"/>
                <w:highlight w:val="none"/>
              </w:rPr>
            </w:pPr>
          </w:p>
        </w:tc>
        <w:tc>
          <w:tcPr>
            <w:tcW w:w="2126" w:type="dxa"/>
            <w:vAlign w:val="center"/>
          </w:tcPr>
          <w:p>
            <w:pPr>
              <w:spacing w:line="400" w:lineRule="exact"/>
              <w:jc w:val="center"/>
              <w:rPr>
                <w:rFonts w:hAnsi="宋体"/>
                <w:color w:val="auto"/>
                <w:szCs w:val="21"/>
                <w:highlight w:val="none"/>
              </w:rPr>
            </w:pPr>
          </w:p>
        </w:tc>
        <w:tc>
          <w:tcPr>
            <w:tcW w:w="1462" w:type="dxa"/>
            <w:vAlign w:val="center"/>
          </w:tcPr>
          <w:p>
            <w:pPr>
              <w:spacing w:line="360" w:lineRule="auto"/>
              <w:jc w:val="center"/>
              <w:rPr>
                <w:rFonts w:hAnsi="宋体"/>
                <w:color w:val="auto"/>
                <w:szCs w:val="21"/>
                <w:highlight w:val="none"/>
              </w:rPr>
            </w:pPr>
          </w:p>
        </w:tc>
        <w:tc>
          <w:tcPr>
            <w:tcW w:w="2410" w:type="dxa"/>
            <w:vAlign w:val="center"/>
          </w:tcPr>
          <w:p>
            <w:pPr>
              <w:spacing w:line="360" w:lineRule="auto"/>
              <w:jc w:val="center"/>
              <w:rPr>
                <w:rFonts w:hAnsi="宋体"/>
                <w:color w:val="auto"/>
                <w:szCs w:val="21"/>
                <w:highlight w:val="none"/>
              </w:rPr>
            </w:pPr>
          </w:p>
        </w:tc>
        <w:tc>
          <w:tcPr>
            <w:tcW w:w="1276"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auto"/>
                <w:szCs w:val="21"/>
                <w:highlight w:val="none"/>
              </w:rPr>
            </w:pPr>
          </w:p>
        </w:tc>
        <w:tc>
          <w:tcPr>
            <w:tcW w:w="1115" w:type="dxa"/>
            <w:vAlign w:val="center"/>
          </w:tcPr>
          <w:p>
            <w:pPr>
              <w:spacing w:line="360" w:lineRule="auto"/>
              <w:jc w:val="center"/>
              <w:rPr>
                <w:rFonts w:hAnsi="宋体"/>
                <w:color w:val="auto"/>
                <w:szCs w:val="21"/>
                <w:highlight w:val="none"/>
              </w:rPr>
            </w:pPr>
          </w:p>
        </w:tc>
        <w:tc>
          <w:tcPr>
            <w:tcW w:w="2126" w:type="dxa"/>
            <w:vAlign w:val="center"/>
          </w:tcPr>
          <w:p>
            <w:pPr>
              <w:spacing w:line="400" w:lineRule="exact"/>
              <w:jc w:val="center"/>
              <w:rPr>
                <w:rFonts w:hAnsi="宋体"/>
                <w:color w:val="auto"/>
                <w:szCs w:val="21"/>
                <w:highlight w:val="none"/>
              </w:rPr>
            </w:pPr>
          </w:p>
        </w:tc>
        <w:tc>
          <w:tcPr>
            <w:tcW w:w="1462" w:type="dxa"/>
            <w:vAlign w:val="center"/>
          </w:tcPr>
          <w:p>
            <w:pPr>
              <w:spacing w:line="360" w:lineRule="auto"/>
              <w:jc w:val="center"/>
              <w:rPr>
                <w:rFonts w:hAnsi="宋体"/>
                <w:color w:val="auto"/>
                <w:szCs w:val="21"/>
                <w:highlight w:val="none"/>
              </w:rPr>
            </w:pPr>
          </w:p>
        </w:tc>
        <w:tc>
          <w:tcPr>
            <w:tcW w:w="2410" w:type="dxa"/>
            <w:vAlign w:val="center"/>
          </w:tcPr>
          <w:p>
            <w:pPr>
              <w:spacing w:line="360" w:lineRule="auto"/>
              <w:jc w:val="center"/>
              <w:rPr>
                <w:rFonts w:hAnsi="宋体"/>
                <w:color w:val="auto"/>
                <w:szCs w:val="21"/>
                <w:highlight w:val="none"/>
              </w:rPr>
            </w:pPr>
          </w:p>
        </w:tc>
        <w:tc>
          <w:tcPr>
            <w:tcW w:w="1276" w:type="dxa"/>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auto"/>
                <w:szCs w:val="21"/>
                <w:highlight w:val="none"/>
              </w:rPr>
            </w:pPr>
          </w:p>
        </w:tc>
        <w:tc>
          <w:tcPr>
            <w:tcW w:w="1115" w:type="dxa"/>
            <w:vAlign w:val="center"/>
          </w:tcPr>
          <w:p>
            <w:pPr>
              <w:spacing w:line="360" w:lineRule="auto"/>
              <w:jc w:val="center"/>
              <w:rPr>
                <w:rFonts w:hAnsi="宋体"/>
                <w:color w:val="auto"/>
                <w:szCs w:val="21"/>
                <w:highlight w:val="none"/>
              </w:rPr>
            </w:pPr>
          </w:p>
        </w:tc>
        <w:tc>
          <w:tcPr>
            <w:tcW w:w="2126" w:type="dxa"/>
            <w:vAlign w:val="center"/>
          </w:tcPr>
          <w:p>
            <w:pPr>
              <w:spacing w:line="400" w:lineRule="exact"/>
              <w:jc w:val="center"/>
              <w:rPr>
                <w:rFonts w:hAnsi="宋体"/>
                <w:color w:val="auto"/>
                <w:szCs w:val="21"/>
                <w:highlight w:val="none"/>
              </w:rPr>
            </w:pPr>
          </w:p>
        </w:tc>
        <w:tc>
          <w:tcPr>
            <w:tcW w:w="1462" w:type="dxa"/>
            <w:vAlign w:val="center"/>
          </w:tcPr>
          <w:p>
            <w:pPr>
              <w:spacing w:line="360" w:lineRule="auto"/>
              <w:jc w:val="center"/>
              <w:rPr>
                <w:rFonts w:hAnsi="宋体"/>
                <w:color w:val="auto"/>
                <w:szCs w:val="21"/>
                <w:highlight w:val="none"/>
              </w:rPr>
            </w:pPr>
          </w:p>
        </w:tc>
        <w:tc>
          <w:tcPr>
            <w:tcW w:w="2410" w:type="dxa"/>
            <w:vAlign w:val="center"/>
          </w:tcPr>
          <w:p>
            <w:pPr>
              <w:spacing w:line="360" w:lineRule="auto"/>
              <w:jc w:val="center"/>
              <w:rPr>
                <w:rFonts w:hAnsi="宋体"/>
                <w:color w:val="auto"/>
                <w:szCs w:val="21"/>
                <w:highlight w:val="none"/>
              </w:rPr>
            </w:pPr>
          </w:p>
        </w:tc>
        <w:tc>
          <w:tcPr>
            <w:tcW w:w="1276" w:type="dxa"/>
            <w:vAlign w:val="center"/>
          </w:tcPr>
          <w:p>
            <w:pPr>
              <w:spacing w:line="360" w:lineRule="auto"/>
              <w:jc w:val="center"/>
              <w:rPr>
                <w:rFonts w:hAnsi="宋体"/>
                <w:color w:val="auto"/>
                <w:szCs w:val="21"/>
                <w:highlight w:val="none"/>
              </w:rPr>
            </w:pPr>
          </w:p>
        </w:tc>
      </w:tr>
    </w:tbl>
    <w:p>
      <w:pPr>
        <w:spacing w:line="360" w:lineRule="auto"/>
        <w:ind w:left="1047" w:leftChars="132" w:hanging="770" w:hangingChars="350"/>
        <w:rPr>
          <w:rFonts w:ascii="宋体" w:hAnsi="宋体"/>
          <w:color w:val="auto"/>
          <w:sz w:val="22"/>
          <w:szCs w:val="22"/>
          <w:highlight w:val="none"/>
        </w:rPr>
      </w:pPr>
      <w:r>
        <w:rPr>
          <w:rFonts w:hint="eastAsia" w:ascii="宋体" w:hAnsi="宋体"/>
          <w:color w:val="auto"/>
          <w:sz w:val="22"/>
          <w:szCs w:val="22"/>
          <w:highlight w:val="none"/>
        </w:rPr>
        <w:t>备注：</w:t>
      </w:r>
    </w:p>
    <w:p>
      <w:pPr>
        <w:spacing w:line="360" w:lineRule="auto"/>
        <w:ind w:left="718" w:leftChars="59" w:hanging="594" w:hangingChars="27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hint="eastAsia" w:ascii="宋体" w:hAnsi="宋体"/>
          <w:color w:val="auto"/>
          <w:sz w:val="22"/>
          <w:szCs w:val="22"/>
          <w:highlight w:val="none"/>
        </w:rPr>
        <w:t>）</w:t>
      </w:r>
      <w:r>
        <w:rPr>
          <w:rFonts w:hint="eastAsia" w:ascii="宋体" w:hAnsi="宋体"/>
          <w:b/>
          <w:color w:val="auto"/>
          <w:sz w:val="22"/>
          <w:szCs w:val="22"/>
          <w:highlight w:val="none"/>
          <w:u w:val="single"/>
        </w:rPr>
        <w:t>投标人应对照招标文件用户需求书的响应，逐条逐项、如实地填写“偏离情况”，若发现未填写本表，或虚假填写本表，或伪造、变造证明材料的，按无效投标文件处理</w:t>
      </w:r>
      <w:r>
        <w:rPr>
          <w:rFonts w:hint="eastAsia" w:ascii="宋体" w:hAnsi="宋体"/>
          <w:color w:val="auto"/>
          <w:sz w:val="22"/>
          <w:szCs w:val="22"/>
          <w:highlight w:val="none"/>
        </w:rPr>
        <w:t>。</w:t>
      </w:r>
    </w:p>
    <w:p>
      <w:pPr>
        <w:spacing w:line="360" w:lineRule="auto"/>
        <w:ind w:left="718" w:leftChars="59" w:hanging="594" w:hangingChars="27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w:t>
      </w:r>
      <w:r>
        <w:rPr>
          <w:rFonts w:hint="eastAsia" w:ascii="宋体" w:hAnsi="宋体"/>
          <w:color w:val="auto"/>
          <w:sz w:val="22"/>
          <w:szCs w:val="22"/>
          <w:highlight w:val="none"/>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b/>
          <w:color w:val="auto"/>
          <w:sz w:val="22"/>
          <w:szCs w:val="22"/>
          <w:highlight w:val="none"/>
          <w:u w:val="single"/>
        </w:rPr>
      </w:pPr>
      <w:r>
        <w:rPr>
          <w:rFonts w:hint="eastAsia" w:ascii="宋体" w:hAnsi="宋体"/>
          <w:color w:val="auto"/>
          <w:sz w:val="22"/>
          <w:szCs w:val="22"/>
          <w:highlight w:val="none"/>
        </w:rPr>
        <w:t>（</w:t>
      </w:r>
      <w:r>
        <w:rPr>
          <w:rFonts w:ascii="宋体" w:hAnsi="宋体"/>
          <w:color w:val="auto"/>
          <w:sz w:val="22"/>
          <w:szCs w:val="22"/>
          <w:highlight w:val="none"/>
        </w:rPr>
        <w:t>3</w:t>
      </w:r>
      <w:r>
        <w:rPr>
          <w:rFonts w:hint="eastAsia" w:ascii="宋体" w:hAnsi="宋体"/>
          <w:color w:val="auto"/>
          <w:sz w:val="22"/>
          <w:szCs w:val="22"/>
          <w:highlight w:val="none"/>
        </w:rPr>
        <w:t>）</w:t>
      </w:r>
      <w:r>
        <w:rPr>
          <w:rFonts w:hint="eastAsia" w:ascii="宋体" w:hAnsi="宋体"/>
          <w:b/>
          <w:color w:val="auto"/>
          <w:sz w:val="22"/>
          <w:szCs w:val="22"/>
          <w:highlight w:val="none"/>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67"/>
        <w:spacing w:line="480" w:lineRule="auto"/>
        <w:ind w:left="3969" w:leftChars="1890" w:firstLine="891" w:firstLineChars="405"/>
        <w:rPr>
          <w:rFonts w:ascii="宋体" w:eastAsia="宋体"/>
          <w:color w:val="auto"/>
          <w:sz w:val="22"/>
          <w:szCs w:val="22"/>
          <w:highlight w:val="none"/>
          <w:u w:val="single"/>
        </w:rPr>
      </w:pPr>
      <w:r>
        <w:rPr>
          <w:rFonts w:hint="eastAsia" w:ascii="宋体" w:eastAsia="宋体"/>
          <w:color w:val="auto"/>
          <w:sz w:val="22"/>
          <w:szCs w:val="22"/>
          <w:highlight w:val="none"/>
        </w:rPr>
        <w:t xml:space="preserve">投标人名称（加盖公章）： </w:t>
      </w:r>
      <w:r>
        <w:rPr>
          <w:rFonts w:hint="eastAsia" w:ascii="宋体" w:eastAsia="宋体"/>
          <w:color w:val="auto"/>
          <w:sz w:val="22"/>
          <w:szCs w:val="22"/>
          <w:highlight w:val="none"/>
          <w:u w:val="single"/>
        </w:rPr>
        <w:t xml:space="preserve">                </w:t>
      </w:r>
    </w:p>
    <w:p>
      <w:pPr>
        <w:pStyle w:val="67"/>
        <w:spacing w:line="480" w:lineRule="auto"/>
        <w:ind w:left="3969" w:leftChars="1890" w:firstLine="891" w:firstLineChars="405"/>
        <w:rPr>
          <w:rFonts w:ascii="宋体" w:eastAsia="宋体"/>
          <w:color w:val="auto"/>
          <w:sz w:val="22"/>
          <w:szCs w:val="22"/>
          <w:highlight w:val="none"/>
          <w:u w:val="single"/>
        </w:rPr>
      </w:pPr>
      <w:r>
        <w:rPr>
          <w:rFonts w:hint="eastAsia" w:ascii="宋体" w:eastAsia="宋体"/>
          <w:color w:val="auto"/>
          <w:sz w:val="22"/>
          <w:szCs w:val="22"/>
          <w:highlight w:val="none"/>
        </w:rPr>
        <w:t>日</w:t>
      </w:r>
      <w:r>
        <w:rPr>
          <w:rFonts w:ascii="宋体" w:eastAsia="宋体"/>
          <w:color w:val="auto"/>
          <w:sz w:val="22"/>
          <w:szCs w:val="22"/>
          <w:highlight w:val="none"/>
        </w:rPr>
        <w:t xml:space="preserve">  </w:t>
      </w:r>
      <w:r>
        <w:rPr>
          <w:rFonts w:hint="eastAsia" w:ascii="宋体" w:eastAsia="宋体"/>
          <w:color w:val="auto"/>
          <w:sz w:val="22"/>
          <w:szCs w:val="22"/>
          <w:highlight w:val="none"/>
        </w:rPr>
        <w:t>期：</w:t>
      </w:r>
      <w:r>
        <w:rPr>
          <w:rFonts w:hint="eastAsia" w:ascii="宋体" w:eastAsia="宋体"/>
          <w:color w:val="auto"/>
          <w:sz w:val="22"/>
          <w:szCs w:val="22"/>
          <w:highlight w:val="none"/>
          <w:u w:val="single"/>
        </w:rPr>
        <w:t xml:space="preserve">          年         月       日</w:t>
      </w:r>
    </w:p>
    <w:p>
      <w:pPr>
        <w:widowControl/>
        <w:ind w:firstLine="5280" w:firstLineChars="2400"/>
        <w:jc w:val="left"/>
        <w:rPr>
          <w:rFonts w:ascii="宋体" w:hAnsi="宋体"/>
          <w:color w:val="auto"/>
          <w:sz w:val="22"/>
          <w:szCs w:val="22"/>
          <w:highlight w:val="none"/>
        </w:rPr>
      </w:pPr>
      <w:r>
        <w:rPr>
          <w:rFonts w:ascii="宋体" w:hAnsi="宋体"/>
          <w:color w:val="auto"/>
          <w:sz w:val="22"/>
          <w:szCs w:val="22"/>
          <w:highlight w:val="none"/>
        </w:rPr>
        <w:br w:type="page"/>
      </w:r>
    </w:p>
    <w:p>
      <w:pPr>
        <w:pStyle w:val="6"/>
        <w:jc w:val="center"/>
        <w:rPr>
          <w:rFonts w:ascii="Times New Roman" w:hAnsi="Times New Roman"/>
          <w:color w:val="auto"/>
          <w:sz w:val="24"/>
          <w:highlight w:val="none"/>
        </w:rPr>
      </w:pPr>
      <w:bookmarkStart w:id="262" w:name="_Toc441844130"/>
      <w:bookmarkStart w:id="263" w:name="_Toc439325726"/>
      <w:bookmarkStart w:id="264" w:name="_Toc61529882"/>
      <w:r>
        <w:rPr>
          <w:rFonts w:ascii="Times New Roman" w:hAnsi="Times New Roman"/>
          <w:color w:val="auto"/>
          <w:sz w:val="24"/>
          <w:highlight w:val="none"/>
        </w:rPr>
        <w:t>13、</w:t>
      </w:r>
      <w:r>
        <w:rPr>
          <w:rFonts w:hint="eastAsia" w:ascii="宋体" w:hAnsi="宋体"/>
          <w:b w:val="0"/>
          <w:bCs w:val="0"/>
          <w:color w:val="auto"/>
          <w:sz w:val="22"/>
          <w:szCs w:val="22"/>
          <w:highlight w:val="none"/>
        </w:rPr>
        <w:t>★</w:t>
      </w:r>
      <w:r>
        <w:rPr>
          <w:rFonts w:hint="eastAsia" w:ascii="Times New Roman" w:hAnsi="Times New Roman"/>
          <w:color w:val="auto"/>
          <w:sz w:val="24"/>
          <w:highlight w:val="none"/>
        </w:rPr>
        <w:t>号</w:t>
      </w:r>
      <w:r>
        <w:rPr>
          <w:rFonts w:ascii="Times New Roman" w:hAnsi="Times New Roman"/>
          <w:color w:val="auto"/>
          <w:sz w:val="24"/>
          <w:highlight w:val="none"/>
        </w:rPr>
        <w:t>条款</w:t>
      </w:r>
      <w:r>
        <w:rPr>
          <w:rFonts w:hint="eastAsia" w:ascii="Times New Roman" w:hAnsi="Times New Roman"/>
          <w:color w:val="auto"/>
          <w:sz w:val="24"/>
          <w:highlight w:val="none"/>
        </w:rPr>
        <w:t>响应</w:t>
      </w:r>
      <w:r>
        <w:rPr>
          <w:rFonts w:ascii="Times New Roman" w:hAnsi="Times New Roman"/>
          <w:color w:val="auto"/>
          <w:sz w:val="24"/>
          <w:highlight w:val="none"/>
        </w:rPr>
        <w:t>表</w:t>
      </w:r>
      <w:bookmarkEnd w:id="262"/>
      <w:bookmarkEnd w:id="263"/>
      <w:bookmarkEnd w:id="264"/>
    </w:p>
    <w:p>
      <w:pPr>
        <w:spacing w:line="560" w:lineRule="exact"/>
        <w:rPr>
          <w:rFonts w:ascii="Times New Roman" w:hAnsi="Times New Roman"/>
          <w:color w:val="auto"/>
          <w:sz w:val="22"/>
          <w:szCs w:val="22"/>
          <w:highlight w:val="none"/>
        </w:rPr>
      </w:pPr>
      <w:r>
        <w:rPr>
          <w:rFonts w:hint="eastAsia" w:ascii="Times New Roman" w:hAnsi="Times New Roman"/>
          <w:color w:val="auto"/>
          <w:sz w:val="22"/>
          <w:szCs w:val="22"/>
          <w:highlight w:val="none"/>
        </w:rPr>
        <w:t>项目</w:t>
      </w:r>
      <w:r>
        <w:rPr>
          <w:rFonts w:ascii="Times New Roman" w:hAnsi="Times New Roman"/>
          <w:color w:val="auto"/>
          <w:sz w:val="22"/>
          <w:szCs w:val="22"/>
          <w:highlight w:val="none"/>
        </w:rPr>
        <w:t xml:space="preserve">名称：                       　        </w:t>
      </w:r>
      <w:r>
        <w:rPr>
          <w:rFonts w:hint="eastAsia" w:ascii="Times New Roman" w:hAnsi="Times New Roman"/>
          <w:color w:val="auto"/>
          <w:sz w:val="22"/>
          <w:szCs w:val="22"/>
          <w:highlight w:val="none"/>
        </w:rPr>
        <w:t>项目</w:t>
      </w:r>
      <w:r>
        <w:rPr>
          <w:rFonts w:ascii="Times New Roman" w:hAnsi="Times New Roman"/>
          <w:color w:val="auto"/>
          <w:sz w:val="22"/>
          <w:szCs w:val="22"/>
          <w:highlight w:val="none"/>
        </w:rPr>
        <w:t>编号：</w:t>
      </w:r>
      <w:r>
        <w:rPr>
          <w:rFonts w:hint="eastAsia" w:ascii="Times New Roman" w:hAnsi="Times New Roman"/>
          <w:color w:val="auto"/>
          <w:sz w:val="22"/>
          <w:szCs w:val="22"/>
          <w:highlight w:val="none"/>
        </w:rPr>
        <w:t xml:space="preserve"> </w:t>
      </w:r>
      <w:r>
        <w:rPr>
          <w:rFonts w:ascii="Times New Roman" w:hAnsi="Times New Roman"/>
          <w:color w:val="auto"/>
          <w:sz w:val="22"/>
          <w:szCs w:val="22"/>
          <w:highlight w:val="none"/>
        </w:rPr>
        <w:t xml:space="preserve">             </w:t>
      </w:r>
      <w:r>
        <w:rPr>
          <w:rFonts w:hint="eastAsia" w:ascii="Times New Roman" w:hAnsi="Times New Roman"/>
          <w:color w:val="auto"/>
          <w:sz w:val="22"/>
          <w:szCs w:val="22"/>
          <w:highlight w:val="none"/>
        </w:rPr>
        <w:t>包号：</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19"/>
        <w:gridCol w:w="2513"/>
        <w:gridCol w:w="272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restart"/>
            <w:vAlign w:val="center"/>
          </w:tcPr>
          <w:p>
            <w:pPr>
              <w:spacing w:line="400" w:lineRule="exact"/>
              <w:jc w:val="center"/>
              <w:rPr>
                <w:rFonts w:hAnsi="宋体"/>
                <w:color w:val="auto"/>
                <w:szCs w:val="21"/>
                <w:highlight w:val="none"/>
              </w:rPr>
            </w:pPr>
            <w:r>
              <w:rPr>
                <w:rFonts w:hint="eastAsia" w:hAnsi="宋体"/>
                <w:color w:val="auto"/>
                <w:szCs w:val="21"/>
                <w:highlight w:val="none"/>
              </w:rPr>
              <w:t>序号</w:t>
            </w:r>
          </w:p>
        </w:tc>
        <w:tc>
          <w:tcPr>
            <w:tcW w:w="2037" w:type="pct"/>
            <w:gridSpan w:val="2"/>
            <w:vAlign w:val="center"/>
          </w:tcPr>
          <w:p>
            <w:pPr>
              <w:spacing w:line="400" w:lineRule="exact"/>
              <w:jc w:val="center"/>
              <w:rPr>
                <w:rFonts w:hAnsi="宋体"/>
                <w:color w:val="auto"/>
                <w:szCs w:val="21"/>
                <w:highlight w:val="none"/>
              </w:rPr>
            </w:pPr>
            <w:r>
              <w:rPr>
                <w:rFonts w:hint="eastAsia" w:hAnsi="宋体"/>
                <w:color w:val="auto"/>
                <w:szCs w:val="21"/>
                <w:highlight w:val="none"/>
              </w:rPr>
              <w:t>招标文件要求</w:t>
            </w:r>
          </w:p>
        </w:tc>
        <w:tc>
          <w:tcPr>
            <w:tcW w:w="1449" w:type="pct"/>
            <w:vMerge w:val="restart"/>
            <w:vAlign w:val="center"/>
          </w:tcPr>
          <w:p>
            <w:pPr>
              <w:spacing w:line="400" w:lineRule="exact"/>
              <w:jc w:val="center"/>
              <w:rPr>
                <w:rFonts w:hAnsi="宋体"/>
                <w:color w:val="auto"/>
                <w:szCs w:val="21"/>
                <w:highlight w:val="none"/>
              </w:rPr>
            </w:pPr>
            <w:bookmarkStart w:id="265" w:name="_Hlk61528856"/>
            <w:r>
              <w:rPr>
                <w:rFonts w:hint="eastAsia" w:hAnsi="宋体"/>
                <w:color w:val="auto"/>
                <w:szCs w:val="21"/>
                <w:highlight w:val="none"/>
              </w:rPr>
              <w:t>投标文件对应内容</w:t>
            </w:r>
            <w:bookmarkEnd w:id="265"/>
          </w:p>
        </w:tc>
        <w:tc>
          <w:tcPr>
            <w:tcW w:w="988" w:type="pct"/>
            <w:vMerge w:val="restart"/>
            <w:vAlign w:val="center"/>
          </w:tcPr>
          <w:p>
            <w:pPr>
              <w:spacing w:line="400" w:lineRule="exact"/>
              <w:jc w:val="center"/>
              <w:rPr>
                <w:rFonts w:hAnsi="宋体"/>
                <w:color w:val="auto"/>
                <w:szCs w:val="21"/>
                <w:highlight w:val="none"/>
              </w:rPr>
            </w:pPr>
            <w:r>
              <w:rPr>
                <w:rFonts w:hint="eastAsia" w:hAnsi="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continue"/>
            <w:vAlign w:val="center"/>
          </w:tcPr>
          <w:p>
            <w:pPr>
              <w:spacing w:line="400" w:lineRule="exact"/>
              <w:jc w:val="center"/>
              <w:rPr>
                <w:rFonts w:hAnsi="宋体"/>
                <w:color w:val="auto"/>
                <w:szCs w:val="21"/>
                <w:highlight w:val="none"/>
              </w:rPr>
            </w:pPr>
          </w:p>
        </w:tc>
        <w:tc>
          <w:tcPr>
            <w:tcW w:w="701" w:type="pct"/>
            <w:vAlign w:val="center"/>
          </w:tcPr>
          <w:p>
            <w:pPr>
              <w:spacing w:line="400" w:lineRule="exact"/>
              <w:jc w:val="center"/>
              <w:rPr>
                <w:rFonts w:hAnsi="宋体"/>
                <w:color w:val="auto"/>
                <w:szCs w:val="21"/>
                <w:highlight w:val="none"/>
              </w:rPr>
            </w:pPr>
            <w:r>
              <w:rPr>
                <w:rFonts w:hint="eastAsia" w:hAnsi="宋体"/>
                <w:color w:val="auto"/>
                <w:szCs w:val="21"/>
                <w:highlight w:val="none"/>
              </w:rPr>
              <w:t>条款号</w:t>
            </w:r>
          </w:p>
        </w:tc>
        <w:tc>
          <w:tcPr>
            <w:tcW w:w="1336" w:type="pct"/>
            <w:vAlign w:val="center"/>
          </w:tcPr>
          <w:p>
            <w:pPr>
              <w:spacing w:line="400" w:lineRule="exact"/>
              <w:jc w:val="center"/>
              <w:rPr>
                <w:rFonts w:hAnsi="宋体"/>
                <w:color w:val="auto"/>
                <w:szCs w:val="21"/>
                <w:highlight w:val="none"/>
              </w:rPr>
            </w:pPr>
            <w:r>
              <w:rPr>
                <w:rFonts w:hint="eastAsia" w:hAnsi="宋体"/>
                <w:color w:val="auto"/>
                <w:szCs w:val="21"/>
                <w:highlight w:val="none"/>
              </w:rPr>
              <w:t>招标文件要求</w:t>
            </w:r>
          </w:p>
        </w:tc>
        <w:tc>
          <w:tcPr>
            <w:tcW w:w="1449" w:type="pct"/>
            <w:vMerge w:val="continue"/>
            <w:vAlign w:val="center"/>
          </w:tcPr>
          <w:p>
            <w:pPr>
              <w:spacing w:line="400" w:lineRule="exact"/>
              <w:jc w:val="center"/>
              <w:rPr>
                <w:rFonts w:hAnsi="宋体"/>
                <w:color w:val="auto"/>
                <w:szCs w:val="21"/>
                <w:highlight w:val="none"/>
              </w:rPr>
            </w:pPr>
          </w:p>
        </w:tc>
        <w:tc>
          <w:tcPr>
            <w:tcW w:w="988" w:type="pct"/>
            <w:vMerge w:val="continue"/>
            <w:vAlign w:val="center"/>
          </w:tcPr>
          <w:p>
            <w:pPr>
              <w:spacing w:line="40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526" w:type="pct"/>
            <w:vAlign w:val="center"/>
          </w:tcPr>
          <w:p>
            <w:pPr>
              <w:spacing w:line="360" w:lineRule="auto"/>
              <w:jc w:val="center"/>
              <w:rPr>
                <w:rFonts w:hAnsi="宋体"/>
                <w:color w:val="auto"/>
                <w:szCs w:val="21"/>
                <w:highlight w:val="none"/>
              </w:rPr>
            </w:pPr>
            <w:r>
              <w:rPr>
                <w:rFonts w:hAnsi="宋体"/>
                <w:color w:val="auto"/>
                <w:szCs w:val="21"/>
                <w:highlight w:val="none"/>
              </w:rPr>
              <w:t>1</w:t>
            </w:r>
          </w:p>
        </w:tc>
        <w:tc>
          <w:tcPr>
            <w:tcW w:w="701" w:type="pct"/>
            <w:vAlign w:val="center"/>
          </w:tcPr>
          <w:p>
            <w:pPr>
              <w:spacing w:line="360" w:lineRule="auto"/>
              <w:jc w:val="center"/>
              <w:rPr>
                <w:rFonts w:hAnsi="宋体"/>
                <w:color w:val="auto"/>
                <w:szCs w:val="21"/>
                <w:highlight w:val="none"/>
              </w:rPr>
            </w:pPr>
          </w:p>
        </w:tc>
        <w:tc>
          <w:tcPr>
            <w:tcW w:w="1336" w:type="pct"/>
            <w:vAlign w:val="center"/>
          </w:tcPr>
          <w:p>
            <w:pPr>
              <w:spacing w:line="400" w:lineRule="exact"/>
              <w:jc w:val="center"/>
              <w:rPr>
                <w:rFonts w:hAnsi="宋体"/>
                <w:color w:val="auto"/>
                <w:szCs w:val="21"/>
                <w:highlight w:val="none"/>
              </w:rPr>
            </w:pPr>
          </w:p>
        </w:tc>
        <w:tc>
          <w:tcPr>
            <w:tcW w:w="1449" w:type="pct"/>
            <w:vAlign w:val="center"/>
          </w:tcPr>
          <w:p>
            <w:pPr>
              <w:spacing w:line="360" w:lineRule="auto"/>
              <w:jc w:val="center"/>
              <w:rPr>
                <w:rFonts w:hAnsi="宋体"/>
                <w:color w:val="auto"/>
                <w:szCs w:val="21"/>
                <w:highlight w:val="none"/>
              </w:rPr>
            </w:pPr>
          </w:p>
        </w:tc>
        <w:tc>
          <w:tcPr>
            <w:tcW w:w="988" w:type="pct"/>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auto"/>
                <w:szCs w:val="21"/>
                <w:highlight w:val="none"/>
              </w:rPr>
            </w:pPr>
            <w:r>
              <w:rPr>
                <w:rFonts w:hAnsi="宋体"/>
                <w:color w:val="auto"/>
                <w:szCs w:val="21"/>
                <w:highlight w:val="none"/>
              </w:rPr>
              <w:t>2</w:t>
            </w:r>
          </w:p>
        </w:tc>
        <w:tc>
          <w:tcPr>
            <w:tcW w:w="701" w:type="pct"/>
            <w:vAlign w:val="center"/>
          </w:tcPr>
          <w:p>
            <w:pPr>
              <w:spacing w:line="360" w:lineRule="auto"/>
              <w:jc w:val="center"/>
              <w:rPr>
                <w:rFonts w:hAnsi="宋体"/>
                <w:color w:val="auto"/>
                <w:szCs w:val="21"/>
                <w:highlight w:val="none"/>
              </w:rPr>
            </w:pPr>
          </w:p>
        </w:tc>
        <w:tc>
          <w:tcPr>
            <w:tcW w:w="1336" w:type="pct"/>
            <w:vAlign w:val="center"/>
          </w:tcPr>
          <w:p>
            <w:pPr>
              <w:spacing w:line="400" w:lineRule="exact"/>
              <w:jc w:val="center"/>
              <w:rPr>
                <w:rFonts w:hAnsi="宋体"/>
                <w:color w:val="auto"/>
                <w:szCs w:val="21"/>
                <w:highlight w:val="none"/>
              </w:rPr>
            </w:pPr>
          </w:p>
        </w:tc>
        <w:tc>
          <w:tcPr>
            <w:tcW w:w="1449" w:type="pct"/>
            <w:vAlign w:val="center"/>
          </w:tcPr>
          <w:p>
            <w:pPr>
              <w:spacing w:line="360" w:lineRule="auto"/>
              <w:jc w:val="center"/>
              <w:rPr>
                <w:rFonts w:hAnsi="宋体"/>
                <w:color w:val="auto"/>
                <w:szCs w:val="21"/>
                <w:highlight w:val="none"/>
              </w:rPr>
            </w:pPr>
          </w:p>
        </w:tc>
        <w:tc>
          <w:tcPr>
            <w:tcW w:w="988" w:type="pct"/>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auto"/>
                <w:szCs w:val="21"/>
                <w:highlight w:val="none"/>
              </w:rPr>
            </w:pPr>
            <w:r>
              <w:rPr>
                <w:rFonts w:hAnsi="宋体"/>
                <w:color w:val="auto"/>
                <w:szCs w:val="21"/>
                <w:highlight w:val="none"/>
              </w:rPr>
              <w:t>3</w:t>
            </w:r>
          </w:p>
        </w:tc>
        <w:tc>
          <w:tcPr>
            <w:tcW w:w="701" w:type="pct"/>
            <w:vAlign w:val="center"/>
          </w:tcPr>
          <w:p>
            <w:pPr>
              <w:spacing w:line="360" w:lineRule="auto"/>
              <w:jc w:val="center"/>
              <w:rPr>
                <w:rFonts w:hAnsi="宋体"/>
                <w:color w:val="auto"/>
                <w:szCs w:val="21"/>
                <w:highlight w:val="none"/>
              </w:rPr>
            </w:pPr>
          </w:p>
        </w:tc>
        <w:tc>
          <w:tcPr>
            <w:tcW w:w="1336" w:type="pct"/>
            <w:vAlign w:val="center"/>
          </w:tcPr>
          <w:p>
            <w:pPr>
              <w:spacing w:line="400" w:lineRule="exact"/>
              <w:jc w:val="center"/>
              <w:rPr>
                <w:rFonts w:hAnsi="宋体"/>
                <w:color w:val="auto"/>
                <w:szCs w:val="21"/>
                <w:highlight w:val="none"/>
              </w:rPr>
            </w:pPr>
          </w:p>
        </w:tc>
        <w:tc>
          <w:tcPr>
            <w:tcW w:w="1449" w:type="pct"/>
            <w:vAlign w:val="center"/>
          </w:tcPr>
          <w:p>
            <w:pPr>
              <w:spacing w:line="360" w:lineRule="auto"/>
              <w:jc w:val="center"/>
              <w:rPr>
                <w:rFonts w:hAnsi="宋体"/>
                <w:color w:val="auto"/>
                <w:szCs w:val="21"/>
                <w:highlight w:val="none"/>
              </w:rPr>
            </w:pPr>
          </w:p>
        </w:tc>
        <w:tc>
          <w:tcPr>
            <w:tcW w:w="988" w:type="pct"/>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auto"/>
                <w:szCs w:val="21"/>
                <w:highlight w:val="none"/>
              </w:rPr>
            </w:pPr>
            <w:r>
              <w:rPr>
                <w:rFonts w:hAnsi="宋体"/>
                <w:color w:val="auto"/>
                <w:szCs w:val="21"/>
                <w:highlight w:val="none"/>
              </w:rPr>
              <w:t>4</w:t>
            </w:r>
          </w:p>
        </w:tc>
        <w:tc>
          <w:tcPr>
            <w:tcW w:w="701" w:type="pct"/>
            <w:vAlign w:val="center"/>
          </w:tcPr>
          <w:p>
            <w:pPr>
              <w:spacing w:line="360" w:lineRule="auto"/>
              <w:jc w:val="center"/>
              <w:rPr>
                <w:rFonts w:hAnsi="宋体"/>
                <w:color w:val="auto"/>
                <w:szCs w:val="21"/>
                <w:highlight w:val="none"/>
              </w:rPr>
            </w:pPr>
          </w:p>
        </w:tc>
        <w:tc>
          <w:tcPr>
            <w:tcW w:w="1336" w:type="pct"/>
            <w:vAlign w:val="center"/>
          </w:tcPr>
          <w:p>
            <w:pPr>
              <w:spacing w:line="400" w:lineRule="exact"/>
              <w:jc w:val="center"/>
              <w:rPr>
                <w:rFonts w:hAnsi="宋体"/>
                <w:color w:val="auto"/>
                <w:szCs w:val="21"/>
                <w:highlight w:val="none"/>
              </w:rPr>
            </w:pPr>
          </w:p>
        </w:tc>
        <w:tc>
          <w:tcPr>
            <w:tcW w:w="1449" w:type="pct"/>
            <w:vAlign w:val="center"/>
          </w:tcPr>
          <w:p>
            <w:pPr>
              <w:spacing w:line="360" w:lineRule="auto"/>
              <w:jc w:val="center"/>
              <w:rPr>
                <w:rFonts w:hAnsi="宋体"/>
                <w:color w:val="auto"/>
                <w:szCs w:val="21"/>
                <w:highlight w:val="none"/>
              </w:rPr>
            </w:pPr>
          </w:p>
        </w:tc>
        <w:tc>
          <w:tcPr>
            <w:tcW w:w="988" w:type="pct"/>
            <w:vAlign w:val="center"/>
          </w:tcPr>
          <w:p>
            <w:pPr>
              <w:spacing w:line="360" w:lineRule="auto"/>
              <w:jc w:val="center"/>
              <w:rPr>
                <w:rFonts w:hAnsi="宋体"/>
                <w:color w:val="auto"/>
                <w:szCs w:val="21"/>
                <w:highlight w:val="none"/>
              </w:rPr>
            </w:pPr>
          </w:p>
        </w:tc>
      </w:tr>
    </w:tbl>
    <w:p>
      <w:pPr>
        <w:spacing w:line="560" w:lineRule="exact"/>
        <w:rPr>
          <w:rFonts w:ascii="Times New Roman" w:hAnsi="Times New Roman"/>
          <w:color w:val="auto"/>
          <w:sz w:val="22"/>
          <w:szCs w:val="22"/>
          <w:highlight w:val="none"/>
        </w:rPr>
      </w:pPr>
    </w:p>
    <w:p>
      <w:pPr>
        <w:spacing w:line="360" w:lineRule="auto"/>
        <w:rPr>
          <w:rFonts w:ascii="宋体" w:hAnsi="宋体"/>
          <w:color w:val="auto"/>
          <w:sz w:val="22"/>
          <w:szCs w:val="22"/>
          <w:highlight w:val="none"/>
        </w:rPr>
      </w:pPr>
      <w:r>
        <w:rPr>
          <w:rFonts w:ascii="宋体" w:hAnsi="宋体"/>
          <w:color w:val="auto"/>
          <w:sz w:val="22"/>
          <w:szCs w:val="22"/>
          <w:highlight w:val="none"/>
        </w:rPr>
        <w:t>注：</w:t>
      </w:r>
    </w:p>
    <w:p>
      <w:pPr>
        <w:spacing w:line="360" w:lineRule="auto"/>
        <w:ind w:left="550" w:hanging="550" w:hangingChars="250"/>
        <w:rPr>
          <w:rFonts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b/>
          <w:bCs/>
          <w:color w:val="auto"/>
          <w:sz w:val="22"/>
          <w:szCs w:val="22"/>
          <w:highlight w:val="none"/>
          <w:u w:val="single"/>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hAnsi="宋体"/>
          <w:color w:val="auto"/>
          <w:szCs w:val="21"/>
          <w:highlight w:val="none"/>
        </w:rPr>
      </w:pPr>
      <w:r>
        <w:rPr>
          <w:rFonts w:hint="eastAsia" w:ascii="宋体" w:hAnsi="宋体"/>
          <w:color w:val="auto"/>
          <w:sz w:val="22"/>
          <w:szCs w:val="22"/>
          <w:highlight w:val="none"/>
        </w:rPr>
        <w:t>（2）“投标文件对应内容”填写“★”内容的响应内容，“</w:t>
      </w:r>
      <w:r>
        <w:rPr>
          <w:rFonts w:hint="eastAsia" w:hAnsi="宋体"/>
          <w:color w:val="auto"/>
          <w:szCs w:val="21"/>
          <w:highlight w:val="none"/>
        </w:rPr>
        <w:t>响应情况”填写“完全响应”。</w:t>
      </w:r>
    </w:p>
    <w:p>
      <w:pPr>
        <w:spacing w:line="360" w:lineRule="auto"/>
        <w:ind w:firstLine="4840" w:firstLineChars="2200"/>
        <w:rPr>
          <w:rFonts w:ascii="宋体" w:hAnsi="宋体"/>
          <w:color w:val="auto"/>
          <w:sz w:val="22"/>
          <w:szCs w:val="22"/>
          <w:highlight w:val="none"/>
        </w:rPr>
      </w:pPr>
    </w:p>
    <w:p>
      <w:pPr>
        <w:spacing w:line="360" w:lineRule="auto"/>
        <w:ind w:firstLine="4840" w:firstLineChars="2200"/>
        <w:rPr>
          <w:rFonts w:ascii="宋体"/>
          <w:color w:val="auto"/>
          <w:sz w:val="22"/>
          <w:szCs w:val="22"/>
          <w:highlight w:val="none"/>
          <w:u w:val="single"/>
        </w:rPr>
      </w:pPr>
      <w:r>
        <w:rPr>
          <w:rFonts w:hint="eastAsia" w:ascii="宋体" w:hAnsi="宋体"/>
          <w:color w:val="auto"/>
          <w:sz w:val="22"/>
          <w:szCs w:val="22"/>
          <w:highlight w:val="none"/>
        </w:rPr>
        <w:t xml:space="preserve">投标人名称（加盖公章）： </w:t>
      </w:r>
      <w:r>
        <w:rPr>
          <w:rFonts w:hint="eastAsia" w:ascii="宋体" w:hAnsi="宋体"/>
          <w:color w:val="auto"/>
          <w:sz w:val="22"/>
          <w:szCs w:val="22"/>
          <w:highlight w:val="none"/>
          <w:u w:val="single"/>
        </w:rPr>
        <w:t xml:space="preserve">                </w:t>
      </w:r>
    </w:p>
    <w:p>
      <w:pPr>
        <w:pStyle w:val="67"/>
        <w:spacing w:line="480" w:lineRule="auto"/>
        <w:ind w:left="3969" w:leftChars="1890" w:firstLine="891" w:firstLineChars="405"/>
        <w:rPr>
          <w:rFonts w:ascii="宋体" w:eastAsia="宋体"/>
          <w:color w:val="auto"/>
          <w:sz w:val="22"/>
          <w:szCs w:val="22"/>
          <w:highlight w:val="none"/>
          <w:u w:val="single"/>
        </w:rPr>
      </w:pPr>
      <w:r>
        <w:rPr>
          <w:rFonts w:hint="eastAsia" w:ascii="宋体" w:eastAsia="宋体"/>
          <w:color w:val="auto"/>
          <w:sz w:val="22"/>
          <w:szCs w:val="22"/>
          <w:highlight w:val="none"/>
        </w:rPr>
        <w:t>日</w:t>
      </w:r>
      <w:r>
        <w:rPr>
          <w:rFonts w:ascii="宋体" w:eastAsia="宋体"/>
          <w:color w:val="auto"/>
          <w:sz w:val="22"/>
          <w:szCs w:val="22"/>
          <w:highlight w:val="none"/>
        </w:rPr>
        <w:t xml:space="preserve">  </w:t>
      </w:r>
      <w:r>
        <w:rPr>
          <w:rFonts w:hint="eastAsia" w:ascii="宋体" w:eastAsia="宋体"/>
          <w:color w:val="auto"/>
          <w:sz w:val="22"/>
          <w:szCs w:val="22"/>
          <w:highlight w:val="none"/>
        </w:rPr>
        <w:t>期：</w:t>
      </w:r>
      <w:r>
        <w:rPr>
          <w:rFonts w:hint="eastAsia" w:ascii="宋体" w:eastAsia="宋体"/>
          <w:color w:val="auto"/>
          <w:sz w:val="22"/>
          <w:szCs w:val="22"/>
          <w:highlight w:val="none"/>
          <w:u w:val="single"/>
        </w:rPr>
        <w:t xml:space="preserve">          年         月       日</w:t>
      </w:r>
    </w:p>
    <w:p>
      <w:pPr>
        <w:widowControl/>
        <w:jc w:val="left"/>
        <w:rPr>
          <w:rFonts w:ascii="宋体" w:hAnsi="宋体"/>
          <w:color w:val="auto"/>
          <w:sz w:val="22"/>
          <w:szCs w:val="22"/>
          <w:highlight w:val="none"/>
        </w:rPr>
      </w:pPr>
      <w:r>
        <w:rPr>
          <w:rFonts w:ascii="宋体" w:hAnsi="宋体"/>
          <w:color w:val="auto"/>
          <w:sz w:val="22"/>
          <w:szCs w:val="22"/>
          <w:highlight w:val="none"/>
        </w:rPr>
        <w:br w:type="page"/>
      </w:r>
    </w:p>
    <w:p>
      <w:pPr>
        <w:widowControl/>
        <w:jc w:val="left"/>
        <w:rPr>
          <w:rFonts w:ascii="宋体" w:hAnsi="宋体"/>
          <w:color w:val="auto"/>
          <w:sz w:val="22"/>
          <w:szCs w:val="22"/>
          <w:highlight w:val="none"/>
        </w:rPr>
      </w:pPr>
    </w:p>
    <w:p>
      <w:pPr>
        <w:pStyle w:val="6"/>
        <w:jc w:val="center"/>
        <w:rPr>
          <w:rFonts w:ascii="Times New Roman" w:hAnsi="Times New Roman"/>
          <w:color w:val="auto"/>
          <w:sz w:val="24"/>
          <w:highlight w:val="none"/>
        </w:rPr>
      </w:pPr>
      <w:bookmarkStart w:id="266" w:name="_Toc61529883"/>
      <w:bookmarkStart w:id="267" w:name="_Toc46400005"/>
      <w:bookmarkStart w:id="268" w:name="_Toc441844132"/>
      <w:r>
        <w:rPr>
          <w:rFonts w:ascii="Times New Roman" w:hAnsi="Times New Roman"/>
          <w:color w:val="auto"/>
          <w:sz w:val="24"/>
          <w:highlight w:val="none"/>
        </w:rPr>
        <w:t>14</w:t>
      </w:r>
      <w:r>
        <w:rPr>
          <w:rFonts w:hint="eastAsia" w:ascii="Times New Roman" w:hAnsi="Times New Roman"/>
          <w:color w:val="auto"/>
          <w:sz w:val="24"/>
          <w:highlight w:val="none"/>
        </w:rPr>
        <w:t>、合同条款偏离表</w:t>
      </w:r>
      <w:bookmarkEnd w:id="266"/>
      <w:bookmarkEnd w:id="267"/>
    </w:p>
    <w:p>
      <w:pPr>
        <w:spacing w:line="360" w:lineRule="auto"/>
        <w:rPr>
          <w:rFonts w:ascii="宋体" w:hAnsi="宋体"/>
          <w:color w:val="auto"/>
          <w:sz w:val="22"/>
          <w:szCs w:val="22"/>
          <w:highlight w:val="none"/>
        </w:rPr>
      </w:pPr>
      <w:r>
        <w:rPr>
          <w:rFonts w:hint="eastAsia" w:ascii="宋体" w:hAnsi="宋体"/>
          <w:color w:val="auto"/>
          <w:sz w:val="22"/>
          <w:szCs w:val="22"/>
          <w:highlight w:val="none"/>
        </w:rPr>
        <w:t>项目名称：</w:t>
      </w:r>
      <w:r>
        <w:rPr>
          <w:rFonts w:ascii="宋体" w:hAnsi="宋体"/>
          <w:color w:val="auto"/>
          <w:sz w:val="22"/>
          <w:szCs w:val="22"/>
          <w:highlight w:val="none"/>
        </w:rPr>
        <w:t xml:space="preserve">                       </w:t>
      </w:r>
      <w:r>
        <w:rPr>
          <w:rFonts w:hint="eastAsia" w:ascii="宋体" w:hAnsi="宋体"/>
          <w:color w:val="auto"/>
          <w:sz w:val="22"/>
          <w:szCs w:val="22"/>
          <w:highlight w:val="none"/>
        </w:rPr>
        <w:t>　</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 xml:space="preserve">项目编号： </w:t>
      </w:r>
      <w:r>
        <w:rPr>
          <w:rFonts w:ascii="宋体" w:hAnsi="宋体"/>
          <w:color w:val="auto"/>
          <w:sz w:val="22"/>
          <w:szCs w:val="22"/>
          <w:highlight w:val="none"/>
        </w:rPr>
        <w:t xml:space="preserve">     </w:t>
      </w:r>
      <w:r>
        <w:rPr>
          <w:rFonts w:hint="eastAsia" w:ascii="宋体" w:hAnsi="宋体"/>
          <w:color w:val="auto"/>
          <w:sz w:val="22"/>
          <w:szCs w:val="22"/>
          <w:highlight w:val="none"/>
        </w:rPr>
        <w:t>包号：</w:t>
      </w:r>
    </w:p>
    <w:tbl>
      <w:tblPr>
        <w:tblStyle w:val="5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color w:val="auto"/>
                <w:sz w:val="22"/>
                <w:szCs w:val="22"/>
                <w:highlight w:val="none"/>
              </w:rPr>
            </w:pPr>
            <w:r>
              <w:rPr>
                <w:rFonts w:ascii="宋体" w:hAnsi="宋体"/>
                <w:color w:val="auto"/>
                <w:sz w:val="22"/>
                <w:szCs w:val="22"/>
                <w:highlight w:val="none"/>
              </w:rPr>
              <w:t>序号</w:t>
            </w:r>
          </w:p>
        </w:tc>
        <w:tc>
          <w:tcPr>
            <w:tcW w:w="3290" w:type="dxa"/>
            <w:vAlign w:val="center"/>
          </w:tcPr>
          <w:p>
            <w:pPr>
              <w:spacing w:line="300" w:lineRule="auto"/>
              <w:jc w:val="center"/>
              <w:rPr>
                <w:rFonts w:ascii="宋体" w:hAnsi="宋体"/>
                <w:color w:val="auto"/>
                <w:sz w:val="22"/>
                <w:szCs w:val="22"/>
                <w:highlight w:val="none"/>
              </w:rPr>
            </w:pPr>
            <w:r>
              <w:rPr>
                <w:rFonts w:ascii="宋体" w:hAnsi="宋体"/>
                <w:color w:val="auto"/>
                <w:sz w:val="22"/>
                <w:szCs w:val="22"/>
                <w:highlight w:val="none"/>
              </w:rPr>
              <w:t>招标文件要求</w:t>
            </w:r>
          </w:p>
        </w:tc>
        <w:tc>
          <w:tcPr>
            <w:tcW w:w="4870" w:type="dxa"/>
            <w:gridSpan w:val="2"/>
            <w:vAlign w:val="center"/>
          </w:tcPr>
          <w:p>
            <w:pPr>
              <w:spacing w:line="300" w:lineRule="auto"/>
              <w:jc w:val="center"/>
              <w:rPr>
                <w:rFonts w:ascii="宋体" w:hAnsi="宋体"/>
                <w:color w:val="auto"/>
                <w:sz w:val="22"/>
                <w:szCs w:val="22"/>
                <w:highlight w:val="none"/>
              </w:rPr>
            </w:pPr>
            <w:r>
              <w:rPr>
                <w:rFonts w:ascii="宋体" w:hAnsi="宋体"/>
                <w:color w:val="auto"/>
                <w:sz w:val="22"/>
                <w:szCs w:val="22"/>
                <w:highlight w:val="none"/>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color w:val="auto"/>
                <w:sz w:val="22"/>
                <w:szCs w:val="22"/>
                <w:highlight w:val="none"/>
              </w:rPr>
            </w:pPr>
          </w:p>
        </w:tc>
        <w:tc>
          <w:tcPr>
            <w:tcW w:w="3290" w:type="dxa"/>
            <w:vAlign w:val="center"/>
          </w:tcPr>
          <w:p>
            <w:pPr>
              <w:spacing w:line="300" w:lineRule="auto"/>
              <w:jc w:val="center"/>
              <w:rPr>
                <w:rFonts w:ascii="宋体" w:hAnsi="宋体"/>
                <w:color w:val="auto"/>
                <w:sz w:val="22"/>
                <w:szCs w:val="22"/>
                <w:highlight w:val="none"/>
              </w:rPr>
            </w:pPr>
            <w:r>
              <w:rPr>
                <w:rFonts w:ascii="宋体" w:hAnsi="宋体"/>
                <w:color w:val="auto"/>
                <w:sz w:val="22"/>
                <w:szCs w:val="22"/>
                <w:highlight w:val="none"/>
              </w:rPr>
              <w:t>简要内容</w:t>
            </w:r>
          </w:p>
        </w:tc>
        <w:tc>
          <w:tcPr>
            <w:tcW w:w="1346" w:type="dxa"/>
            <w:vAlign w:val="center"/>
          </w:tcPr>
          <w:p>
            <w:pPr>
              <w:spacing w:line="300" w:lineRule="auto"/>
              <w:jc w:val="center"/>
              <w:rPr>
                <w:rFonts w:ascii="宋体" w:hAnsi="宋体"/>
                <w:color w:val="auto"/>
                <w:sz w:val="22"/>
                <w:szCs w:val="22"/>
                <w:highlight w:val="none"/>
              </w:rPr>
            </w:pPr>
            <w:r>
              <w:rPr>
                <w:rFonts w:ascii="宋体" w:hAnsi="宋体"/>
                <w:color w:val="auto"/>
                <w:sz w:val="22"/>
                <w:szCs w:val="22"/>
                <w:highlight w:val="none"/>
              </w:rPr>
              <w:t>偏离情况</w:t>
            </w:r>
          </w:p>
        </w:tc>
        <w:tc>
          <w:tcPr>
            <w:tcW w:w="3524" w:type="dxa"/>
            <w:vAlign w:val="center"/>
          </w:tcPr>
          <w:p>
            <w:pPr>
              <w:spacing w:line="300" w:lineRule="auto"/>
              <w:jc w:val="center"/>
              <w:rPr>
                <w:rFonts w:ascii="宋体" w:hAnsi="宋体"/>
                <w:color w:val="auto"/>
                <w:sz w:val="22"/>
                <w:szCs w:val="22"/>
                <w:highlight w:val="none"/>
              </w:rPr>
            </w:pPr>
            <w:r>
              <w:rPr>
                <w:rFonts w:ascii="宋体" w:hAnsi="宋体"/>
                <w:color w:val="auto"/>
                <w:sz w:val="22"/>
                <w:szCs w:val="22"/>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auto"/>
                <w:sz w:val="22"/>
                <w:szCs w:val="22"/>
                <w:highlight w:val="none"/>
              </w:rPr>
            </w:pPr>
          </w:p>
        </w:tc>
        <w:tc>
          <w:tcPr>
            <w:tcW w:w="3290" w:type="dxa"/>
            <w:vAlign w:val="center"/>
          </w:tcPr>
          <w:p>
            <w:pPr>
              <w:pStyle w:val="67"/>
              <w:spacing w:line="360" w:lineRule="exact"/>
              <w:ind w:firstLine="0" w:firstLineChars="0"/>
              <w:jc w:val="left"/>
              <w:rPr>
                <w:rFonts w:ascii="宋体" w:eastAsia="宋体"/>
                <w:b/>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auto"/>
                <w:sz w:val="22"/>
                <w:szCs w:val="22"/>
                <w:highlight w:val="none"/>
              </w:rPr>
            </w:pPr>
          </w:p>
        </w:tc>
        <w:tc>
          <w:tcPr>
            <w:tcW w:w="3290" w:type="dxa"/>
            <w:vAlign w:val="center"/>
          </w:tcPr>
          <w:p>
            <w:pPr>
              <w:spacing w:line="300" w:lineRule="auto"/>
              <w:rPr>
                <w:rFonts w:ascii="宋体" w:hAnsi="宋体"/>
                <w:bCs/>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auto"/>
                <w:sz w:val="22"/>
                <w:szCs w:val="22"/>
                <w:highlight w:val="none"/>
              </w:rPr>
            </w:pPr>
          </w:p>
        </w:tc>
        <w:tc>
          <w:tcPr>
            <w:tcW w:w="3290" w:type="dxa"/>
            <w:vAlign w:val="center"/>
          </w:tcPr>
          <w:p>
            <w:pPr>
              <w:spacing w:line="300" w:lineRule="auto"/>
              <w:rPr>
                <w:rFonts w:ascii="宋体" w:hAnsi="宋体"/>
                <w:bCs/>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auto"/>
                <w:sz w:val="22"/>
                <w:szCs w:val="22"/>
                <w:highlight w:val="none"/>
              </w:rPr>
            </w:pPr>
          </w:p>
        </w:tc>
        <w:tc>
          <w:tcPr>
            <w:tcW w:w="3290" w:type="dxa"/>
            <w:vAlign w:val="center"/>
          </w:tcPr>
          <w:p>
            <w:pPr>
              <w:spacing w:line="300" w:lineRule="auto"/>
              <w:rPr>
                <w:rFonts w:ascii="宋体" w:hAnsi="宋体"/>
                <w:bCs/>
                <w:color w:val="auto"/>
                <w:sz w:val="22"/>
                <w:szCs w:val="22"/>
                <w:highlight w:val="none"/>
              </w:rPr>
            </w:pPr>
          </w:p>
        </w:tc>
        <w:tc>
          <w:tcPr>
            <w:tcW w:w="1346" w:type="dxa"/>
            <w:vAlign w:val="center"/>
          </w:tcPr>
          <w:p>
            <w:pPr>
              <w:spacing w:line="300" w:lineRule="auto"/>
              <w:jc w:val="center"/>
              <w:rPr>
                <w:rFonts w:ascii="宋体" w:hAnsi="宋体"/>
                <w:color w:val="auto"/>
                <w:sz w:val="22"/>
                <w:szCs w:val="22"/>
                <w:highlight w:val="none"/>
              </w:rPr>
            </w:pPr>
          </w:p>
        </w:tc>
        <w:tc>
          <w:tcPr>
            <w:tcW w:w="3524" w:type="dxa"/>
            <w:vAlign w:val="center"/>
          </w:tcPr>
          <w:p>
            <w:pPr>
              <w:spacing w:line="300" w:lineRule="auto"/>
              <w:jc w:val="center"/>
              <w:rPr>
                <w:rFonts w:ascii="宋体" w:hAnsi="宋体"/>
                <w:color w:val="auto"/>
                <w:sz w:val="22"/>
                <w:szCs w:val="22"/>
                <w:highlight w:val="none"/>
              </w:rPr>
            </w:pPr>
          </w:p>
        </w:tc>
      </w:tr>
    </w:tbl>
    <w:p>
      <w:pPr>
        <w:snapToGrid w:val="0"/>
        <w:spacing w:line="360" w:lineRule="auto"/>
        <w:ind w:left="421" w:leftChars="-58" w:hanging="543" w:hangingChars="247"/>
        <w:rPr>
          <w:rFonts w:ascii="宋体" w:hAnsi="宋体"/>
          <w:color w:val="auto"/>
          <w:sz w:val="22"/>
          <w:szCs w:val="22"/>
          <w:highlight w:val="none"/>
        </w:rPr>
      </w:pPr>
      <w:r>
        <w:rPr>
          <w:rFonts w:ascii="宋体" w:hAnsi="宋体"/>
          <w:color w:val="auto"/>
          <w:sz w:val="22"/>
          <w:szCs w:val="22"/>
          <w:highlight w:val="none"/>
        </w:rPr>
        <w:t xml:space="preserve">      </w:t>
      </w:r>
      <w:r>
        <w:rPr>
          <w:rFonts w:hint="eastAsia" w:ascii="宋体" w:hAnsi="宋体"/>
          <w:color w:val="auto"/>
          <w:sz w:val="22"/>
          <w:szCs w:val="22"/>
          <w:highlight w:val="none"/>
        </w:rPr>
        <w:t>备</w:t>
      </w:r>
      <w:r>
        <w:rPr>
          <w:rFonts w:ascii="宋体" w:hAnsi="宋体"/>
          <w:color w:val="auto"/>
          <w:sz w:val="22"/>
          <w:szCs w:val="22"/>
          <w:highlight w:val="none"/>
        </w:rPr>
        <w:t>注：</w:t>
      </w:r>
    </w:p>
    <w:p>
      <w:pPr>
        <w:snapToGrid w:val="0"/>
        <w:spacing w:line="360" w:lineRule="auto"/>
        <w:ind w:left="421" w:leftChars="-58" w:hanging="543" w:hangingChars="247"/>
        <w:rPr>
          <w:rFonts w:ascii="宋体" w:hAnsi="宋体"/>
          <w:b/>
          <w:color w:val="auto"/>
          <w:sz w:val="22"/>
          <w:szCs w:val="22"/>
          <w:highlight w:val="none"/>
        </w:rPr>
      </w:pPr>
      <w:r>
        <w:rPr>
          <w:rFonts w:ascii="宋体" w:hAnsi="宋体"/>
          <w:color w:val="auto"/>
          <w:sz w:val="22"/>
          <w:szCs w:val="22"/>
          <w:highlight w:val="none"/>
        </w:rPr>
        <w:t>（1）</w:t>
      </w:r>
      <w:r>
        <w:rPr>
          <w:rFonts w:ascii="宋体" w:hAnsi="宋体"/>
          <w:b/>
          <w:color w:val="auto"/>
          <w:sz w:val="22"/>
          <w:szCs w:val="22"/>
          <w:highlight w:val="none"/>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hint="eastAsia" w:ascii="宋体" w:hAnsi="宋体"/>
          <w:b/>
          <w:color w:val="auto"/>
          <w:sz w:val="22"/>
          <w:szCs w:val="22"/>
          <w:highlight w:val="none"/>
          <w:u w:val="single"/>
        </w:rPr>
        <w:t>或不填写</w:t>
      </w:r>
      <w:r>
        <w:rPr>
          <w:rFonts w:ascii="宋体" w:hAnsi="宋体"/>
          <w:b/>
          <w:color w:val="auto"/>
          <w:sz w:val="22"/>
          <w:szCs w:val="22"/>
          <w:highlight w:val="none"/>
          <w:u w:val="single"/>
        </w:rPr>
        <w:t>。若发现虚假填写本表，或对合同及其附件响应有负偏离的，按无效投标文件处理。若发现此表未逐条填写视为完全满足招标文件要求。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color w:val="auto"/>
          <w:sz w:val="22"/>
          <w:szCs w:val="22"/>
          <w:highlight w:val="none"/>
        </w:rPr>
      </w:pPr>
      <w:r>
        <w:rPr>
          <w:rFonts w:ascii="宋体" w:hAnsi="宋体"/>
          <w:color w:val="auto"/>
          <w:sz w:val="22"/>
          <w:szCs w:val="22"/>
          <w:highlight w:val="none"/>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color w:val="auto"/>
          <w:sz w:val="22"/>
          <w:szCs w:val="22"/>
          <w:highlight w:val="none"/>
        </w:rPr>
        <w:t>货物</w:t>
      </w:r>
      <w:r>
        <w:rPr>
          <w:rFonts w:ascii="宋体" w:hAnsi="宋体"/>
          <w:color w:val="auto"/>
          <w:sz w:val="22"/>
          <w:szCs w:val="22"/>
          <w:highlight w:val="none"/>
        </w:rPr>
        <w:t>或服务商务条件不满足或不完全满足招标文件的要求；无偏离是指投标人提供的</w:t>
      </w:r>
      <w:r>
        <w:rPr>
          <w:rFonts w:hint="eastAsia" w:ascii="宋体" w:hAnsi="宋体"/>
          <w:color w:val="auto"/>
          <w:sz w:val="22"/>
          <w:szCs w:val="22"/>
          <w:highlight w:val="none"/>
        </w:rPr>
        <w:t>货物</w:t>
      </w:r>
      <w:r>
        <w:rPr>
          <w:rFonts w:ascii="宋体" w:hAnsi="宋体"/>
          <w:color w:val="auto"/>
          <w:sz w:val="22"/>
          <w:szCs w:val="22"/>
          <w:highlight w:val="none"/>
        </w:rPr>
        <w:t>或服务商务条件完全满足招标文件的要求。</w:t>
      </w:r>
    </w:p>
    <w:p>
      <w:pPr>
        <w:snapToGrid w:val="0"/>
        <w:spacing w:line="360" w:lineRule="auto"/>
        <w:ind w:left="421" w:leftChars="-58" w:hanging="543" w:hangingChars="247"/>
        <w:rPr>
          <w:rFonts w:ascii="宋体" w:hAnsi="宋体"/>
          <w:color w:val="auto"/>
          <w:sz w:val="22"/>
          <w:szCs w:val="22"/>
          <w:highlight w:val="none"/>
        </w:rPr>
      </w:pPr>
      <w:r>
        <w:rPr>
          <w:rFonts w:ascii="宋体" w:hAnsi="宋体"/>
          <w:color w:val="auto"/>
          <w:sz w:val="22"/>
          <w:szCs w:val="22"/>
          <w:highlight w:val="none"/>
        </w:rPr>
        <w:t>（4）如投标人差异内容较多可另附页说明，</w:t>
      </w:r>
      <w:r>
        <w:rPr>
          <w:rFonts w:ascii="宋体" w:hAnsi="宋体"/>
          <w:color w:val="auto"/>
          <w:sz w:val="22"/>
          <w:szCs w:val="22"/>
          <w:highlight w:val="none"/>
          <w:lang w:val="zh-CN"/>
        </w:rPr>
        <w:t>并在本偏离表“具体偏离内容”项注明其在投标文件中的具体页码</w:t>
      </w:r>
      <w:r>
        <w:rPr>
          <w:rFonts w:ascii="宋体" w:hAnsi="宋体"/>
          <w:color w:val="auto"/>
          <w:sz w:val="22"/>
          <w:szCs w:val="22"/>
          <w:highlight w:val="none"/>
        </w:rPr>
        <w:t>。</w:t>
      </w:r>
    </w:p>
    <w:p>
      <w:pPr>
        <w:spacing w:line="360" w:lineRule="auto"/>
        <w:ind w:firstLine="4305" w:firstLineChars="1957"/>
        <w:rPr>
          <w:rFonts w:ascii="宋体" w:hAnsi="宋体"/>
          <w:color w:val="auto"/>
          <w:sz w:val="22"/>
          <w:szCs w:val="22"/>
          <w:highlight w:val="none"/>
          <w:lang w:val="zh-CN"/>
        </w:rPr>
      </w:pPr>
      <w:r>
        <w:rPr>
          <w:rFonts w:hint="eastAsia" w:ascii="宋体" w:hAnsi="宋体"/>
          <w:color w:val="auto"/>
          <w:sz w:val="22"/>
          <w:szCs w:val="22"/>
          <w:highlight w:val="none"/>
          <w:lang w:val="zh-CN"/>
        </w:rPr>
        <w:t xml:space="preserve">投标人名称（加盖公章）： </w:t>
      </w:r>
      <w:r>
        <w:rPr>
          <w:rFonts w:ascii="宋体" w:hAnsi="宋体"/>
          <w:color w:val="auto"/>
          <w:sz w:val="22"/>
          <w:szCs w:val="22"/>
          <w:highlight w:val="none"/>
          <w:u w:val="single"/>
          <w:lang w:val="zh-CN"/>
        </w:rPr>
        <w:t xml:space="preserve">                </w:t>
      </w:r>
    </w:p>
    <w:p>
      <w:pPr>
        <w:spacing w:line="360" w:lineRule="auto"/>
        <w:ind w:firstLine="4305" w:firstLineChars="1957"/>
        <w:rPr>
          <w:rFonts w:ascii="宋体" w:hAnsi="宋体"/>
          <w:color w:val="auto"/>
          <w:sz w:val="22"/>
          <w:szCs w:val="22"/>
          <w:highlight w:val="none"/>
          <w:lang w:val="zh-CN"/>
        </w:rPr>
      </w:pPr>
      <w:r>
        <w:rPr>
          <w:rFonts w:ascii="宋体" w:hAnsi="宋体"/>
          <w:color w:val="auto"/>
          <w:sz w:val="22"/>
          <w:szCs w:val="22"/>
          <w:highlight w:val="none"/>
          <w:lang w:val="zh-CN"/>
        </w:rPr>
        <w:t>日    期：</w:t>
      </w:r>
      <w:r>
        <w:rPr>
          <w:rFonts w:ascii="宋体" w:hAnsi="宋体"/>
          <w:color w:val="auto"/>
          <w:sz w:val="22"/>
          <w:szCs w:val="22"/>
          <w:highlight w:val="none"/>
          <w:u w:val="single"/>
          <w:lang w:val="zh-CN"/>
        </w:rPr>
        <w:t xml:space="preserve">     </w:t>
      </w:r>
      <w:r>
        <w:rPr>
          <w:rFonts w:hint="eastAsia" w:ascii="宋体" w:hAnsi="宋体"/>
          <w:color w:val="auto"/>
          <w:sz w:val="22"/>
          <w:szCs w:val="22"/>
          <w:highlight w:val="none"/>
          <w:u w:val="single"/>
          <w:lang w:val="zh-CN"/>
        </w:rPr>
        <w:t>年</w:t>
      </w:r>
      <w:r>
        <w:rPr>
          <w:rFonts w:ascii="宋体" w:hAnsi="宋体"/>
          <w:color w:val="auto"/>
          <w:sz w:val="22"/>
          <w:szCs w:val="22"/>
          <w:highlight w:val="none"/>
          <w:u w:val="single"/>
          <w:lang w:val="zh-CN"/>
        </w:rPr>
        <w:t xml:space="preserve">      </w:t>
      </w:r>
      <w:r>
        <w:rPr>
          <w:rFonts w:hint="eastAsia" w:ascii="宋体" w:hAnsi="宋体"/>
          <w:color w:val="auto"/>
          <w:sz w:val="22"/>
          <w:szCs w:val="22"/>
          <w:highlight w:val="none"/>
          <w:u w:val="single"/>
          <w:lang w:val="zh-CN"/>
        </w:rPr>
        <w:t>月</w:t>
      </w:r>
      <w:r>
        <w:rPr>
          <w:rFonts w:ascii="宋体" w:hAnsi="宋体"/>
          <w:color w:val="auto"/>
          <w:sz w:val="22"/>
          <w:szCs w:val="22"/>
          <w:highlight w:val="none"/>
          <w:u w:val="single"/>
          <w:lang w:val="zh-CN"/>
        </w:rPr>
        <w:t xml:space="preserve">      </w:t>
      </w:r>
      <w:r>
        <w:rPr>
          <w:rFonts w:hint="eastAsia" w:ascii="宋体" w:hAnsi="宋体"/>
          <w:color w:val="auto"/>
          <w:sz w:val="22"/>
          <w:szCs w:val="22"/>
          <w:highlight w:val="none"/>
          <w:u w:val="single"/>
          <w:lang w:val="zh-CN"/>
        </w:rPr>
        <w:t>日</w:t>
      </w:r>
    </w:p>
    <w:p>
      <w:pPr>
        <w:widowControl/>
        <w:jc w:val="left"/>
        <w:rPr>
          <w:rFonts w:ascii="宋体" w:hAnsi="宋体"/>
          <w:b/>
          <w:color w:val="auto"/>
          <w:sz w:val="22"/>
          <w:szCs w:val="22"/>
          <w:highlight w:val="none"/>
        </w:rPr>
      </w:pPr>
      <w:r>
        <w:rPr>
          <w:rFonts w:ascii="宋体" w:hAnsi="宋体"/>
          <w:b/>
          <w:color w:val="auto"/>
          <w:sz w:val="22"/>
          <w:szCs w:val="22"/>
          <w:highlight w:val="none"/>
        </w:rPr>
        <w:br w:type="page"/>
      </w:r>
    </w:p>
    <w:p>
      <w:pPr>
        <w:pStyle w:val="6"/>
        <w:jc w:val="center"/>
        <w:rPr>
          <w:rFonts w:ascii="宋体" w:hAnsi="宋体"/>
          <w:color w:val="auto"/>
          <w:sz w:val="24"/>
          <w:szCs w:val="24"/>
          <w:highlight w:val="none"/>
        </w:rPr>
      </w:pPr>
      <w:bookmarkStart w:id="269" w:name="_Toc61529884"/>
      <w:r>
        <w:rPr>
          <w:rFonts w:ascii="宋体" w:hAnsi="宋体"/>
          <w:color w:val="auto"/>
          <w:sz w:val="24"/>
          <w:szCs w:val="24"/>
          <w:highlight w:val="none"/>
        </w:rPr>
        <w:t>15、投标保证金汇入情况说明</w:t>
      </w:r>
      <w:bookmarkEnd w:id="268"/>
      <w:bookmarkEnd w:id="269"/>
    </w:p>
    <w:p>
      <w:pPr>
        <w:tabs>
          <w:tab w:val="left" w:pos="1800"/>
        </w:tabs>
        <w:spacing w:line="560" w:lineRule="exact"/>
        <w:rPr>
          <w:rFonts w:ascii="宋体" w:hAnsi="宋体"/>
          <w:color w:val="auto"/>
          <w:sz w:val="22"/>
          <w:szCs w:val="22"/>
          <w:highlight w:val="none"/>
        </w:rPr>
      </w:pPr>
      <w:r>
        <w:rPr>
          <w:rFonts w:ascii="宋体" w:hAnsi="宋体"/>
          <w:i/>
          <w:color w:val="auto"/>
          <w:sz w:val="22"/>
          <w:szCs w:val="22"/>
          <w:highlight w:val="none"/>
          <w:u w:val="single"/>
        </w:rPr>
        <w:t xml:space="preserve"> </w:t>
      </w:r>
      <w:r>
        <w:rPr>
          <w:rFonts w:ascii="宋体" w:hAnsi="宋体"/>
          <w:color w:val="auto"/>
          <w:sz w:val="22"/>
          <w:szCs w:val="22"/>
          <w:highlight w:val="none"/>
          <w:u w:val="single"/>
        </w:rPr>
        <w:t>（</w:t>
      </w:r>
      <w:r>
        <w:rPr>
          <w:rFonts w:hint="eastAsia" w:ascii="宋体" w:hAnsi="宋体"/>
          <w:color w:val="auto"/>
          <w:sz w:val="22"/>
          <w:szCs w:val="22"/>
          <w:highlight w:val="none"/>
          <w:u w:val="single"/>
        </w:rPr>
        <w:t>招标</w:t>
      </w:r>
      <w:r>
        <w:rPr>
          <w:rFonts w:ascii="宋体" w:hAnsi="宋体"/>
          <w:color w:val="auto"/>
          <w:sz w:val="22"/>
          <w:szCs w:val="22"/>
          <w:highlight w:val="none"/>
          <w:u w:val="single"/>
        </w:rPr>
        <w:t xml:space="preserve">代理机构名称） </w:t>
      </w:r>
      <w:r>
        <w:rPr>
          <w:rFonts w:ascii="宋体" w:hAnsi="宋体"/>
          <w:color w:val="auto"/>
          <w:sz w:val="22"/>
          <w:szCs w:val="22"/>
          <w:highlight w:val="none"/>
        </w:rPr>
        <w:t xml:space="preserve">： </w:t>
      </w:r>
      <w:r>
        <w:rPr>
          <w:rFonts w:ascii="宋体" w:hAnsi="宋体"/>
          <w:color w:val="auto"/>
          <w:sz w:val="22"/>
          <w:szCs w:val="22"/>
          <w:highlight w:val="none"/>
        </w:rPr>
        <w:tab/>
      </w:r>
    </w:p>
    <w:p>
      <w:pPr>
        <w:wordWrap w:val="0"/>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本单位已按</w:t>
      </w:r>
      <w:r>
        <w:rPr>
          <w:rFonts w:hint="eastAsia" w:ascii="宋体" w:hAnsi="宋体"/>
          <w:color w:val="auto"/>
          <w:sz w:val="22"/>
          <w:szCs w:val="22"/>
          <w:highlight w:val="none"/>
          <w:u w:val="single"/>
        </w:rPr>
        <w:t xml:space="preserve">        </w:t>
      </w:r>
      <w:r>
        <w:rPr>
          <w:rFonts w:ascii="宋体" w:hAnsi="宋体"/>
          <w:color w:val="auto"/>
          <w:sz w:val="22"/>
          <w:szCs w:val="22"/>
          <w:highlight w:val="none"/>
        </w:rPr>
        <w:t>项目（</w:t>
      </w:r>
      <w:r>
        <w:rPr>
          <w:rFonts w:hint="eastAsia" w:ascii="宋体" w:hAnsi="宋体"/>
          <w:color w:val="auto"/>
          <w:sz w:val="22"/>
          <w:szCs w:val="22"/>
          <w:highlight w:val="none"/>
        </w:rPr>
        <w:t>项目</w:t>
      </w:r>
      <w:r>
        <w:rPr>
          <w:rFonts w:ascii="宋体" w:hAnsi="宋体"/>
          <w:color w:val="auto"/>
          <w:sz w:val="22"/>
          <w:szCs w:val="22"/>
          <w:highlight w:val="none"/>
        </w:rPr>
        <w:t>编号：</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包号：</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）的招标文件要求，于</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日前以（付款形式）方式汇入指定帐户（帐户名称：</w:t>
      </w:r>
      <w:r>
        <w:rPr>
          <w:rFonts w:hint="eastAsia" w:ascii="宋体" w:hAnsi="宋体"/>
          <w:color w:val="auto"/>
          <w:sz w:val="22"/>
          <w:szCs w:val="22"/>
          <w:highlight w:val="none"/>
          <w:u w:val="single"/>
        </w:rPr>
        <w:t xml:space="preserve">       </w:t>
      </w:r>
      <w:r>
        <w:rPr>
          <w:rFonts w:ascii="宋体" w:hAnsi="宋体"/>
          <w:color w:val="auto"/>
          <w:sz w:val="22"/>
          <w:szCs w:val="22"/>
          <w:highlight w:val="none"/>
        </w:rPr>
        <w:t>，帐号</w:t>
      </w:r>
      <w:r>
        <w:rPr>
          <w:rFonts w:hint="eastAsia" w:ascii="宋体" w:hAnsi="宋体"/>
          <w:color w:val="auto"/>
          <w:sz w:val="22"/>
          <w:szCs w:val="22"/>
          <w:highlight w:val="none"/>
          <w:u w:val="single"/>
        </w:rPr>
        <w:t xml:space="preserve">      </w:t>
      </w:r>
      <w:r>
        <w:rPr>
          <w:rFonts w:ascii="宋体" w:hAnsi="宋体"/>
          <w:color w:val="auto"/>
          <w:sz w:val="22"/>
          <w:szCs w:val="22"/>
          <w:highlight w:val="none"/>
        </w:rPr>
        <w:t>,开户银行：</w:t>
      </w:r>
      <w:r>
        <w:rPr>
          <w:rFonts w:hint="eastAsia" w:ascii="宋体" w:hAnsi="宋体"/>
          <w:color w:val="auto"/>
          <w:sz w:val="22"/>
          <w:szCs w:val="22"/>
          <w:highlight w:val="none"/>
          <w:u w:val="single"/>
        </w:rPr>
        <w:t xml:space="preserve">      </w:t>
      </w:r>
      <w:r>
        <w:rPr>
          <w:rFonts w:ascii="宋体" w:hAnsi="宋体"/>
          <w:color w:val="auto"/>
          <w:sz w:val="22"/>
          <w:szCs w:val="22"/>
          <w:highlight w:val="none"/>
        </w:rPr>
        <w:t>）。</w:t>
      </w:r>
    </w:p>
    <w:p>
      <w:pPr>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投标单位投标保证金的汇款情况：（详见附件－投标保证金进帐单）</w:t>
      </w:r>
    </w:p>
    <w:p>
      <w:pPr>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汇出时间：</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日；</w:t>
      </w:r>
    </w:p>
    <w:p>
      <w:pPr>
        <w:spacing w:line="560" w:lineRule="exact"/>
        <w:ind w:firstLine="440" w:firstLineChars="200"/>
        <w:rPr>
          <w:rFonts w:ascii="宋体" w:hAnsi="宋体"/>
          <w:color w:val="auto"/>
          <w:sz w:val="22"/>
          <w:szCs w:val="22"/>
          <w:highlight w:val="none"/>
          <w:u w:val="single"/>
        </w:rPr>
      </w:pPr>
      <w:r>
        <w:rPr>
          <w:rFonts w:ascii="宋体" w:hAnsi="宋体"/>
          <w:color w:val="auto"/>
          <w:sz w:val="22"/>
          <w:szCs w:val="22"/>
          <w:highlight w:val="none"/>
        </w:rPr>
        <w:t>汇款金额：（大写）人民币</w:t>
      </w:r>
      <w:r>
        <w:rPr>
          <w:rFonts w:ascii="宋体" w:hAnsi="宋体"/>
          <w:color w:val="auto"/>
          <w:sz w:val="22"/>
          <w:szCs w:val="22"/>
          <w:highlight w:val="none"/>
          <w:u w:val="single"/>
        </w:rPr>
        <w:t xml:space="preserve">                 元整</w:t>
      </w:r>
      <w:r>
        <w:rPr>
          <w:rFonts w:ascii="宋体" w:hAnsi="宋体"/>
          <w:color w:val="auto"/>
          <w:sz w:val="22"/>
          <w:szCs w:val="22"/>
          <w:highlight w:val="none"/>
        </w:rPr>
        <w:t>（小写：¥元）；</w:t>
      </w:r>
    </w:p>
    <w:p>
      <w:pPr>
        <w:spacing w:line="560" w:lineRule="exact"/>
        <w:ind w:firstLine="440" w:firstLineChars="200"/>
        <w:rPr>
          <w:rFonts w:ascii="宋体" w:hAnsi="宋体"/>
          <w:color w:val="auto"/>
          <w:sz w:val="22"/>
          <w:szCs w:val="22"/>
          <w:highlight w:val="none"/>
          <w:u w:val="single"/>
        </w:rPr>
      </w:pPr>
      <w:r>
        <w:rPr>
          <w:rFonts w:ascii="宋体" w:hAnsi="宋体"/>
          <w:color w:val="auto"/>
          <w:sz w:val="22"/>
          <w:szCs w:val="22"/>
          <w:highlight w:val="none"/>
        </w:rPr>
        <w:t>汇款帐户名称：</w:t>
      </w:r>
      <w:r>
        <w:rPr>
          <w:rFonts w:ascii="宋体" w:hAnsi="宋体"/>
          <w:color w:val="auto"/>
          <w:sz w:val="22"/>
          <w:szCs w:val="22"/>
          <w:highlight w:val="none"/>
          <w:u w:val="single"/>
        </w:rPr>
        <w:t xml:space="preserve">  （必须是投标时使用的单位名称）   </w:t>
      </w:r>
    </w:p>
    <w:p>
      <w:pPr>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帐        号：</w:t>
      </w:r>
      <w:r>
        <w:rPr>
          <w:rFonts w:ascii="宋体" w:hAnsi="宋体"/>
          <w:color w:val="auto"/>
          <w:sz w:val="22"/>
          <w:szCs w:val="22"/>
          <w:highlight w:val="none"/>
          <w:u w:val="single"/>
        </w:rPr>
        <w:t xml:space="preserve">  （必须是投标时使用的帐号）     </w:t>
      </w:r>
    </w:p>
    <w:p>
      <w:pPr>
        <w:spacing w:line="560" w:lineRule="exact"/>
        <w:ind w:firstLine="440" w:firstLineChars="200"/>
        <w:rPr>
          <w:rFonts w:ascii="宋体" w:hAnsi="宋体"/>
          <w:color w:val="auto"/>
          <w:sz w:val="22"/>
          <w:szCs w:val="22"/>
          <w:highlight w:val="none"/>
          <w:u w:val="single"/>
        </w:rPr>
      </w:pPr>
      <w:r>
        <w:rPr>
          <w:rFonts w:ascii="宋体" w:hAnsi="宋体"/>
          <w:color w:val="auto"/>
          <w:sz w:val="22"/>
          <w:szCs w:val="22"/>
          <w:highlight w:val="none"/>
        </w:rPr>
        <w:t>开 户  银 行：</w:t>
      </w:r>
      <w:r>
        <w:rPr>
          <w:rFonts w:ascii="宋体" w:hAnsi="宋体"/>
          <w:color w:val="auto"/>
          <w:sz w:val="22"/>
          <w:szCs w:val="22"/>
          <w:highlight w:val="none"/>
          <w:u w:val="single"/>
        </w:rPr>
        <w:t xml:space="preserve">    银行   省    市      (分行/支行)    </w:t>
      </w:r>
    </w:p>
    <w:p>
      <w:pPr>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color w:val="auto"/>
          <w:sz w:val="22"/>
          <w:szCs w:val="22"/>
          <w:highlight w:val="none"/>
        </w:rPr>
      </w:pPr>
      <w:r>
        <w:rPr>
          <w:rFonts w:ascii="宋体" w:hAnsi="宋体"/>
          <w:color w:val="auto"/>
          <w:sz w:val="22"/>
          <w:szCs w:val="22"/>
          <w:highlight w:val="none"/>
        </w:rPr>
        <w:t>投标保证金退回时，请按上述资料退回。</w:t>
      </w:r>
    </w:p>
    <w:p>
      <w:pPr>
        <w:spacing w:line="560" w:lineRule="exact"/>
        <w:rPr>
          <w:rFonts w:ascii="宋体" w:hAnsi="宋体"/>
          <w:color w:val="auto"/>
          <w:sz w:val="22"/>
          <w:szCs w:val="22"/>
          <w:highlight w:val="none"/>
        </w:rPr>
      </w:pPr>
      <w:r>
        <w:rPr>
          <w:rFonts w:ascii="宋体" w:hAnsi="宋体"/>
          <w:color w:val="auto"/>
          <w:sz w:val="22"/>
          <w:szCs w:val="22"/>
          <w:highlight w:val="none"/>
        </w:rPr>
        <w:t>附件：投标保证金进帐单复印件（加盖公章）</w:t>
      </w:r>
    </w:p>
    <w:p>
      <w:pPr>
        <w:spacing w:line="560" w:lineRule="exact"/>
        <w:ind w:right="844" w:rightChars="402"/>
        <w:jc w:val="right"/>
        <w:rPr>
          <w:rFonts w:ascii="宋体" w:hAnsi="宋体"/>
          <w:color w:val="auto"/>
          <w:sz w:val="22"/>
          <w:szCs w:val="22"/>
          <w:highlight w:val="none"/>
        </w:rPr>
      </w:pPr>
      <w:r>
        <w:rPr>
          <w:rFonts w:ascii="宋体" w:hAnsi="宋体"/>
          <w:color w:val="auto"/>
          <w:sz w:val="22"/>
          <w:szCs w:val="22"/>
          <w:highlight w:val="none"/>
        </w:rPr>
        <w:t>（单位公章）</w:t>
      </w:r>
    </w:p>
    <w:p>
      <w:pPr>
        <w:spacing w:line="560" w:lineRule="exact"/>
        <w:ind w:right="628" w:rightChars="299"/>
        <w:jc w:val="right"/>
        <w:rPr>
          <w:rFonts w:ascii="宋体" w:hAnsi="宋体"/>
          <w:color w:val="auto"/>
          <w:sz w:val="22"/>
          <w:szCs w:val="22"/>
          <w:highlight w:val="none"/>
        </w:rPr>
      </w:pPr>
      <w:r>
        <w:rPr>
          <w:rFonts w:ascii="宋体" w:hAnsi="宋体"/>
          <w:color w:val="auto"/>
          <w:sz w:val="22"/>
          <w:szCs w:val="22"/>
          <w:highlight w:val="none"/>
        </w:rPr>
        <w:t>年   月   日</w:t>
      </w:r>
    </w:p>
    <w:p>
      <w:pPr>
        <w:spacing w:line="560" w:lineRule="exact"/>
        <w:rPr>
          <w:rFonts w:ascii="宋体" w:hAnsi="宋体"/>
          <w:color w:val="auto"/>
          <w:sz w:val="22"/>
          <w:szCs w:val="22"/>
          <w:highlight w:val="none"/>
          <w:u w:val="single"/>
        </w:rPr>
      </w:pPr>
      <w:r>
        <w:rPr>
          <w:rFonts w:ascii="宋体" w:hAnsi="宋体"/>
          <w:color w:val="auto"/>
          <w:sz w:val="22"/>
          <w:szCs w:val="22"/>
          <w:highlight w:val="none"/>
        </w:rPr>
        <w:t>单位名称：</w:t>
      </w:r>
      <w:r>
        <w:rPr>
          <w:rFonts w:asciiTheme="minorEastAsia" w:hAnsiTheme="minorEastAsia" w:eastAsiaTheme="minorEastAsia"/>
          <w:color w:val="auto"/>
          <w:szCs w:val="21"/>
          <w:highlight w:val="none"/>
          <w:u w:val="single"/>
        </w:rPr>
        <w:t xml:space="preserve">                           </w:t>
      </w:r>
    </w:p>
    <w:p>
      <w:pPr>
        <w:spacing w:line="560" w:lineRule="exact"/>
        <w:rPr>
          <w:rFonts w:ascii="宋体" w:hAnsi="宋体"/>
          <w:color w:val="auto"/>
          <w:sz w:val="22"/>
          <w:szCs w:val="22"/>
          <w:highlight w:val="none"/>
        </w:rPr>
      </w:pPr>
      <w:r>
        <w:rPr>
          <w:rFonts w:ascii="宋体" w:hAnsi="宋体"/>
          <w:color w:val="auto"/>
          <w:sz w:val="22"/>
          <w:szCs w:val="22"/>
          <w:highlight w:val="none"/>
        </w:rPr>
        <w:t>单位地址：</w:t>
      </w:r>
      <w:r>
        <w:rPr>
          <w:rFonts w:asciiTheme="minorEastAsia" w:hAnsiTheme="minorEastAsia" w:eastAsiaTheme="minorEastAsia"/>
          <w:color w:val="auto"/>
          <w:szCs w:val="21"/>
          <w:highlight w:val="none"/>
          <w:u w:val="single"/>
        </w:rPr>
        <w:t xml:space="preserve">                           </w:t>
      </w:r>
    </w:p>
    <w:p>
      <w:pPr>
        <w:spacing w:line="560" w:lineRule="exact"/>
        <w:rPr>
          <w:rFonts w:ascii="宋体" w:hAnsi="宋体"/>
          <w:color w:val="auto"/>
          <w:sz w:val="22"/>
          <w:szCs w:val="22"/>
          <w:highlight w:val="none"/>
        </w:rPr>
      </w:pPr>
      <w:r>
        <w:rPr>
          <w:rFonts w:ascii="宋体" w:hAnsi="宋体"/>
          <w:color w:val="auto"/>
          <w:sz w:val="22"/>
          <w:szCs w:val="22"/>
          <w:highlight w:val="none"/>
        </w:rPr>
        <w:t>联系人：</w:t>
      </w:r>
      <w:r>
        <w:rPr>
          <w:rFonts w:asciiTheme="minorEastAsia" w:hAnsiTheme="minorEastAsia" w:eastAsiaTheme="minorEastAsia"/>
          <w:color w:val="auto"/>
          <w:szCs w:val="21"/>
          <w:highlight w:val="none"/>
          <w:u w:val="single"/>
        </w:rPr>
        <w:t xml:space="preserve">                           </w:t>
      </w:r>
    </w:p>
    <w:p>
      <w:pPr>
        <w:spacing w:line="560" w:lineRule="exact"/>
        <w:rPr>
          <w:rFonts w:ascii="宋体" w:hAnsi="宋体"/>
          <w:b/>
          <w:color w:val="auto"/>
          <w:sz w:val="22"/>
          <w:szCs w:val="22"/>
          <w:highlight w:val="none"/>
        </w:rPr>
      </w:pPr>
      <w:r>
        <w:rPr>
          <w:rFonts w:ascii="宋体" w:hAnsi="宋体"/>
          <w:color w:val="auto"/>
          <w:sz w:val="22"/>
          <w:szCs w:val="22"/>
          <w:highlight w:val="none"/>
        </w:rPr>
        <w:t>单位电话：</w:t>
      </w:r>
      <w:r>
        <w:rPr>
          <w:rFonts w:asciiTheme="minorEastAsia" w:hAnsiTheme="minorEastAsia" w:eastAsiaTheme="minorEastAsia"/>
          <w:color w:val="auto"/>
          <w:szCs w:val="21"/>
          <w:highlight w:val="none"/>
          <w:u w:val="single"/>
        </w:rPr>
        <w:t xml:space="preserve">                           </w:t>
      </w:r>
      <w:r>
        <w:rPr>
          <w:rFonts w:ascii="宋体" w:hAnsi="宋体"/>
          <w:color w:val="auto"/>
          <w:sz w:val="22"/>
          <w:szCs w:val="22"/>
          <w:highlight w:val="none"/>
        </w:rPr>
        <w:t xml:space="preserve">             联系人手机：</w:t>
      </w:r>
      <w:bookmarkStart w:id="270" w:name="_Toc4585"/>
      <w:bookmarkStart w:id="271" w:name="_Toc22687"/>
      <w:bookmarkStart w:id="272" w:name="_Toc8091"/>
      <w:bookmarkStart w:id="273" w:name="_Toc441844133"/>
      <w:bookmarkStart w:id="274" w:name="_Toc8607"/>
      <w:bookmarkStart w:id="275" w:name="_Toc22501"/>
      <w:r>
        <w:rPr>
          <w:rFonts w:asciiTheme="minorEastAsia" w:hAnsiTheme="minorEastAsia" w:eastAsiaTheme="minorEastAsia"/>
          <w:color w:val="auto"/>
          <w:szCs w:val="21"/>
          <w:highlight w:val="none"/>
          <w:u w:val="single"/>
        </w:rPr>
        <w:t xml:space="preserve">                           </w:t>
      </w:r>
      <w:r>
        <w:rPr>
          <w:rFonts w:ascii="宋体" w:hAnsi="宋体"/>
          <w:b/>
          <w:color w:val="auto"/>
          <w:sz w:val="22"/>
          <w:szCs w:val="22"/>
          <w:highlight w:val="none"/>
        </w:rPr>
        <w:br w:type="page"/>
      </w:r>
    </w:p>
    <w:p>
      <w:pPr>
        <w:pStyle w:val="6"/>
        <w:jc w:val="center"/>
        <w:rPr>
          <w:rFonts w:ascii="Times New Roman" w:hAnsi="Times New Roman"/>
          <w:color w:val="auto"/>
          <w:sz w:val="24"/>
          <w:highlight w:val="none"/>
        </w:rPr>
      </w:pPr>
      <w:bookmarkStart w:id="276" w:name="_Toc61529885"/>
      <w:r>
        <w:rPr>
          <w:rFonts w:ascii="Times New Roman" w:hAnsi="Times New Roman"/>
          <w:color w:val="auto"/>
          <w:sz w:val="24"/>
          <w:highlight w:val="none"/>
        </w:rPr>
        <w:t>16、中标服务费承诺书</w:t>
      </w:r>
      <w:bookmarkEnd w:id="270"/>
      <w:bookmarkEnd w:id="271"/>
      <w:bookmarkEnd w:id="272"/>
      <w:bookmarkEnd w:id="273"/>
      <w:bookmarkEnd w:id="274"/>
      <w:bookmarkEnd w:id="275"/>
      <w:bookmarkEnd w:id="276"/>
    </w:p>
    <w:p>
      <w:pPr>
        <w:spacing w:line="520" w:lineRule="exact"/>
        <w:ind w:left="315"/>
        <w:rPr>
          <w:rFonts w:ascii="宋体" w:hAnsi="宋体"/>
          <w:color w:val="auto"/>
          <w:sz w:val="22"/>
          <w:szCs w:val="22"/>
          <w:highlight w:val="none"/>
        </w:rPr>
      </w:pPr>
      <w:r>
        <w:rPr>
          <w:rFonts w:ascii="宋体" w:hAnsi="宋体"/>
          <w:color w:val="auto"/>
          <w:sz w:val="22"/>
          <w:szCs w:val="22"/>
          <w:highlight w:val="none"/>
          <w:u w:val="single"/>
        </w:rPr>
        <w:t>（</w:t>
      </w:r>
      <w:r>
        <w:rPr>
          <w:rFonts w:hint="eastAsia" w:ascii="宋体" w:hAnsi="宋体"/>
          <w:color w:val="auto"/>
          <w:sz w:val="22"/>
          <w:szCs w:val="22"/>
          <w:highlight w:val="none"/>
          <w:u w:val="single"/>
        </w:rPr>
        <w:t>招标</w:t>
      </w:r>
      <w:r>
        <w:rPr>
          <w:rFonts w:ascii="宋体" w:hAnsi="宋体"/>
          <w:color w:val="auto"/>
          <w:sz w:val="22"/>
          <w:szCs w:val="22"/>
          <w:highlight w:val="none"/>
          <w:u w:val="single"/>
        </w:rPr>
        <w:t xml:space="preserve">代理机构名称）   </w:t>
      </w:r>
      <w:r>
        <w:rPr>
          <w:rFonts w:ascii="宋体" w:hAnsi="宋体"/>
          <w:color w:val="auto"/>
          <w:sz w:val="22"/>
          <w:szCs w:val="22"/>
          <w:highlight w:val="none"/>
        </w:rPr>
        <w:t>：</w:t>
      </w:r>
    </w:p>
    <w:p>
      <w:pPr>
        <w:spacing w:line="520" w:lineRule="exact"/>
        <w:ind w:left="315" w:leftChars="150" w:firstLine="440" w:firstLineChars="200"/>
        <w:rPr>
          <w:rFonts w:ascii="宋体" w:hAnsi="宋体"/>
          <w:color w:val="auto"/>
          <w:sz w:val="22"/>
          <w:szCs w:val="22"/>
          <w:highlight w:val="none"/>
        </w:rPr>
      </w:pPr>
      <w:r>
        <w:rPr>
          <w:rFonts w:ascii="宋体" w:hAnsi="宋体"/>
          <w:color w:val="auto"/>
          <w:sz w:val="22"/>
          <w:szCs w:val="22"/>
          <w:highlight w:val="none"/>
        </w:rPr>
        <w:t>本公司</w:t>
      </w:r>
      <w:r>
        <w:rPr>
          <w:rFonts w:ascii="宋体" w:hAnsi="宋体"/>
          <w:color w:val="auto"/>
          <w:sz w:val="22"/>
          <w:szCs w:val="22"/>
          <w:highlight w:val="none"/>
          <w:u w:val="single"/>
        </w:rPr>
        <w:t xml:space="preserve">  (投标人名称) </w:t>
      </w:r>
      <w:r>
        <w:rPr>
          <w:rFonts w:ascii="宋体" w:hAnsi="宋体"/>
          <w:color w:val="auto"/>
          <w:sz w:val="22"/>
          <w:szCs w:val="22"/>
          <w:highlight w:val="none"/>
        </w:rPr>
        <w:t>在参加在贵公司举行的</w:t>
      </w:r>
      <w:r>
        <w:rPr>
          <w:rFonts w:ascii="宋体" w:hAnsi="宋体"/>
          <w:color w:val="auto"/>
          <w:sz w:val="22"/>
          <w:szCs w:val="22"/>
          <w:highlight w:val="none"/>
          <w:u w:val="single"/>
        </w:rPr>
        <w:t xml:space="preserve">        </w:t>
      </w:r>
      <w:r>
        <w:rPr>
          <w:rFonts w:ascii="宋体" w:hAnsi="宋体"/>
          <w:color w:val="auto"/>
          <w:sz w:val="22"/>
          <w:szCs w:val="22"/>
          <w:highlight w:val="none"/>
        </w:rPr>
        <w:t>项目(</w:t>
      </w:r>
      <w:r>
        <w:rPr>
          <w:rFonts w:hint="eastAsia" w:ascii="宋体" w:hAnsi="宋体"/>
          <w:color w:val="auto"/>
          <w:sz w:val="22"/>
          <w:szCs w:val="22"/>
          <w:highlight w:val="none"/>
        </w:rPr>
        <w:t>项目</w:t>
      </w:r>
      <w:r>
        <w:rPr>
          <w:rFonts w:ascii="宋体" w:hAnsi="宋体"/>
          <w:color w:val="auto"/>
          <w:sz w:val="22"/>
          <w:szCs w:val="22"/>
          <w:highlight w:val="none"/>
        </w:rPr>
        <w:t>编号：</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包号：</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)采购中如获中标，我公司保证在收到“中标通知书”后3天内，按本招标文件第二章第5.2条的有关规定，向贵公司交纳“中标服务费”。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color w:val="auto"/>
          <w:sz w:val="22"/>
          <w:szCs w:val="22"/>
          <w:highlight w:val="none"/>
        </w:rPr>
      </w:pPr>
      <w:r>
        <w:rPr>
          <w:rFonts w:ascii="宋体" w:hAnsi="宋体"/>
          <w:color w:val="auto"/>
          <w:sz w:val="22"/>
          <w:szCs w:val="22"/>
          <w:highlight w:val="none"/>
        </w:rPr>
        <w:t>如我方违约，愿凭贵方开出的违约通知，按上述承付金额200%由采购人在支付给我司的</w:t>
      </w:r>
      <w:r>
        <w:rPr>
          <w:rFonts w:hint="eastAsia" w:ascii="宋体" w:hAnsi="宋体"/>
          <w:color w:val="auto"/>
          <w:sz w:val="22"/>
          <w:szCs w:val="22"/>
          <w:highlight w:val="none"/>
        </w:rPr>
        <w:t>合同金额中代为扣付</w:t>
      </w:r>
      <w:r>
        <w:rPr>
          <w:rFonts w:ascii="宋体" w:hAnsi="宋体"/>
          <w:color w:val="auto"/>
          <w:sz w:val="22"/>
          <w:szCs w:val="22"/>
          <w:highlight w:val="none"/>
        </w:rPr>
        <w:t>。</w:t>
      </w:r>
    </w:p>
    <w:p>
      <w:pPr>
        <w:spacing w:line="520" w:lineRule="exact"/>
        <w:ind w:left="315"/>
        <w:rPr>
          <w:rFonts w:ascii="宋体" w:hAnsi="宋体"/>
          <w:color w:val="auto"/>
          <w:sz w:val="22"/>
          <w:szCs w:val="22"/>
          <w:highlight w:val="none"/>
        </w:rPr>
      </w:pPr>
    </w:p>
    <w:p>
      <w:pPr>
        <w:spacing w:line="520" w:lineRule="exact"/>
        <w:ind w:firstLine="880" w:firstLineChars="400"/>
        <w:rPr>
          <w:rFonts w:ascii="宋体" w:hAnsi="宋体"/>
          <w:color w:val="auto"/>
          <w:sz w:val="22"/>
          <w:szCs w:val="22"/>
          <w:highlight w:val="none"/>
        </w:rPr>
      </w:pPr>
      <w:r>
        <w:rPr>
          <w:rFonts w:ascii="宋体" w:hAnsi="宋体"/>
          <w:color w:val="auto"/>
          <w:sz w:val="22"/>
          <w:szCs w:val="22"/>
          <w:highlight w:val="none"/>
        </w:rPr>
        <w:t>特此承诺!</w:t>
      </w:r>
    </w:p>
    <w:p>
      <w:pPr>
        <w:spacing w:line="520" w:lineRule="exact"/>
        <w:ind w:left="315"/>
        <w:rPr>
          <w:rFonts w:ascii="宋体" w:hAnsi="宋体"/>
          <w:color w:val="auto"/>
          <w:sz w:val="22"/>
          <w:szCs w:val="22"/>
          <w:highlight w:val="none"/>
        </w:rPr>
      </w:pPr>
    </w:p>
    <w:p>
      <w:pPr>
        <w:spacing w:line="360" w:lineRule="auto"/>
        <w:ind w:left="315"/>
        <w:rPr>
          <w:rFonts w:asciiTheme="minorEastAsia" w:hAnsiTheme="minorEastAsia" w:eastAsiaTheme="minorEastAsia"/>
          <w:color w:val="auto"/>
          <w:szCs w:val="21"/>
          <w:highlight w:val="none"/>
        </w:rPr>
      </w:pPr>
      <w:r>
        <w:rPr>
          <w:rFonts w:ascii="宋体"/>
          <w:color w:val="auto"/>
          <w:sz w:val="22"/>
          <w:szCs w:val="22"/>
          <w:highlight w:val="none"/>
        </w:rPr>
        <w:t>投标人名称(公章)：</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p>
    <w:p>
      <w:pPr>
        <w:spacing w:line="360" w:lineRule="auto"/>
        <w:ind w:left="315"/>
        <w:rPr>
          <w:rFonts w:asciiTheme="minorEastAsia" w:hAnsiTheme="minorEastAsia" w:eastAsiaTheme="minorEastAsia"/>
          <w:color w:val="auto"/>
          <w:szCs w:val="21"/>
          <w:highlight w:val="none"/>
        </w:rPr>
      </w:pPr>
      <w:r>
        <w:rPr>
          <w:rFonts w:ascii="宋体"/>
          <w:color w:val="auto"/>
          <w:sz w:val="22"/>
          <w:szCs w:val="22"/>
          <w:highlight w:val="none"/>
        </w:rPr>
        <w:t>单位地址：</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p>
    <w:p>
      <w:pPr>
        <w:spacing w:line="360" w:lineRule="auto"/>
        <w:ind w:left="315"/>
        <w:rPr>
          <w:rFonts w:asciiTheme="minorEastAsia" w:hAnsiTheme="minorEastAsia" w:eastAsiaTheme="minorEastAsia"/>
          <w:color w:val="auto"/>
          <w:szCs w:val="21"/>
          <w:highlight w:val="none"/>
        </w:rPr>
      </w:pPr>
      <w:r>
        <w:rPr>
          <w:rFonts w:ascii="宋体"/>
          <w:color w:val="auto"/>
          <w:sz w:val="22"/>
          <w:szCs w:val="22"/>
          <w:highlight w:val="none"/>
        </w:rPr>
        <w:t>电话：</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p>
    <w:p>
      <w:pPr>
        <w:spacing w:line="360" w:lineRule="auto"/>
        <w:ind w:left="315"/>
        <w:rPr>
          <w:rFonts w:asciiTheme="minorEastAsia" w:hAnsiTheme="minorEastAsia" w:eastAsiaTheme="minorEastAsia"/>
          <w:color w:val="auto"/>
          <w:szCs w:val="21"/>
          <w:highlight w:val="none"/>
        </w:rPr>
      </w:pPr>
      <w:r>
        <w:rPr>
          <w:rFonts w:ascii="宋体"/>
          <w:color w:val="auto"/>
          <w:sz w:val="22"/>
          <w:szCs w:val="22"/>
          <w:highlight w:val="none"/>
        </w:rPr>
        <w:t>传真：</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p>
    <w:p>
      <w:pPr>
        <w:spacing w:line="360" w:lineRule="auto"/>
        <w:ind w:left="315"/>
        <w:rPr>
          <w:rFonts w:asciiTheme="minorEastAsia" w:hAnsiTheme="minorEastAsia" w:eastAsiaTheme="minorEastAsia"/>
          <w:color w:val="auto"/>
          <w:szCs w:val="21"/>
          <w:highlight w:val="none"/>
        </w:rPr>
      </w:pPr>
      <w:r>
        <w:rPr>
          <w:rFonts w:ascii="宋体"/>
          <w:color w:val="auto"/>
          <w:sz w:val="22"/>
          <w:szCs w:val="22"/>
          <w:highlight w:val="none"/>
        </w:rPr>
        <w:t>投标人法定代表人或授权</w:t>
      </w:r>
      <w:r>
        <w:rPr>
          <w:rFonts w:hint="eastAsia" w:ascii="宋体"/>
          <w:color w:val="auto"/>
          <w:sz w:val="22"/>
          <w:szCs w:val="22"/>
          <w:highlight w:val="none"/>
        </w:rPr>
        <w:t>代表</w:t>
      </w:r>
      <w:r>
        <w:rPr>
          <w:rFonts w:ascii="宋体"/>
          <w:color w:val="auto"/>
          <w:sz w:val="22"/>
          <w:szCs w:val="22"/>
          <w:highlight w:val="none"/>
        </w:rPr>
        <w:t>（</w:t>
      </w:r>
      <w:r>
        <w:rPr>
          <w:rFonts w:hint="eastAsia" w:ascii="宋体"/>
          <w:color w:val="auto"/>
          <w:sz w:val="22"/>
          <w:szCs w:val="22"/>
          <w:highlight w:val="none"/>
        </w:rPr>
        <w:t>签名或盖章</w:t>
      </w:r>
      <w:r>
        <w:rPr>
          <w:rFonts w:ascii="宋体"/>
          <w:color w:val="auto"/>
          <w:sz w:val="22"/>
          <w:szCs w:val="22"/>
          <w:highlight w:val="none"/>
        </w:rPr>
        <w:t>）：</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p>
    <w:p>
      <w:pPr>
        <w:spacing w:line="360" w:lineRule="auto"/>
        <w:ind w:left="315"/>
        <w:rPr>
          <w:rFonts w:asciiTheme="minorEastAsia" w:hAnsiTheme="minorEastAsia" w:eastAsiaTheme="minorEastAsia"/>
          <w:color w:val="auto"/>
          <w:szCs w:val="21"/>
          <w:highlight w:val="none"/>
        </w:rPr>
      </w:pPr>
      <w:r>
        <w:rPr>
          <w:rFonts w:ascii="宋体"/>
          <w:color w:val="auto"/>
          <w:sz w:val="22"/>
          <w:szCs w:val="22"/>
          <w:highlight w:val="none"/>
        </w:rPr>
        <w:t>签署日期：</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p>
    <w:p>
      <w:pPr>
        <w:pStyle w:val="67"/>
        <w:ind w:firstLine="3520" w:firstLineChars="1600"/>
        <w:rPr>
          <w:rFonts w:ascii="宋体" w:eastAsia="宋体"/>
          <w:color w:val="auto"/>
          <w:sz w:val="22"/>
          <w:szCs w:val="22"/>
          <w:highlight w:val="none"/>
        </w:rPr>
      </w:pP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pStyle w:val="67"/>
        <w:ind w:firstLine="3520" w:firstLineChars="1600"/>
        <w:rPr>
          <w:rFonts w:ascii="宋体" w:eastAsia="宋体"/>
          <w:color w:val="auto"/>
          <w:sz w:val="22"/>
          <w:szCs w:val="22"/>
          <w:highlight w:val="none"/>
        </w:rPr>
      </w:pPr>
    </w:p>
    <w:p>
      <w:pPr>
        <w:widowControl/>
        <w:jc w:val="left"/>
        <w:rPr>
          <w:rFonts w:ascii="宋体"/>
          <w:color w:val="auto"/>
          <w:sz w:val="22"/>
          <w:szCs w:val="22"/>
          <w:highlight w:val="none"/>
        </w:rPr>
      </w:pPr>
      <w:r>
        <w:rPr>
          <w:rFonts w:ascii="宋体"/>
          <w:color w:val="auto"/>
          <w:sz w:val="22"/>
          <w:szCs w:val="22"/>
          <w:highlight w:val="none"/>
        </w:rPr>
        <w:br w:type="page"/>
      </w:r>
    </w:p>
    <w:p>
      <w:pPr>
        <w:widowControl/>
        <w:jc w:val="left"/>
        <w:rPr>
          <w:rFonts w:ascii="宋体"/>
          <w:color w:val="auto"/>
          <w:sz w:val="22"/>
          <w:szCs w:val="22"/>
          <w:highlight w:val="none"/>
        </w:rPr>
      </w:pPr>
    </w:p>
    <w:p>
      <w:pPr>
        <w:pStyle w:val="6"/>
        <w:jc w:val="center"/>
        <w:rPr>
          <w:rFonts w:ascii="宋体" w:hAnsi="宋体"/>
          <w:color w:val="auto"/>
          <w:sz w:val="22"/>
          <w:szCs w:val="22"/>
          <w:highlight w:val="none"/>
        </w:rPr>
      </w:pPr>
      <w:bookmarkStart w:id="277" w:name="_Toc61529886"/>
      <w:bookmarkStart w:id="278" w:name="_Toc441844134"/>
      <w:bookmarkStart w:id="279" w:name="_Toc439325729"/>
      <w:r>
        <w:rPr>
          <w:rFonts w:ascii="宋体" w:hAnsi="宋体"/>
          <w:color w:val="auto"/>
          <w:sz w:val="22"/>
          <w:szCs w:val="22"/>
          <w:highlight w:val="none"/>
        </w:rPr>
        <w:t>17、投标人认为需加以说明的其他内容</w:t>
      </w:r>
      <w:bookmarkEnd w:id="277"/>
      <w:bookmarkEnd w:id="278"/>
      <w:bookmarkEnd w:id="279"/>
    </w:p>
    <w:p>
      <w:pPr>
        <w:spacing w:after="60"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jc w:val="center"/>
        <w:rPr>
          <w:rFonts w:ascii="宋体" w:hAnsi="宋体"/>
          <w:color w:val="auto"/>
          <w:sz w:val="22"/>
          <w:szCs w:val="22"/>
          <w:highlight w:val="none"/>
        </w:rPr>
      </w:pPr>
      <w:r>
        <w:rPr>
          <w:rFonts w:ascii="宋体" w:hAnsi="宋体"/>
          <w:color w:val="auto"/>
          <w:sz w:val="22"/>
          <w:szCs w:val="22"/>
          <w:highlight w:val="none"/>
        </w:rPr>
        <w:t>格  式  自  定</w:t>
      </w: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spacing w:line="360" w:lineRule="auto"/>
        <w:rPr>
          <w:rFonts w:ascii="Times New Roman" w:hAnsi="Times New Roman"/>
          <w:color w:val="auto"/>
          <w:sz w:val="22"/>
          <w:szCs w:val="22"/>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color w:val="auto"/>
          <w:szCs w:val="21"/>
          <w:highlight w:val="none"/>
          <w:u w:val="single"/>
        </w:rPr>
      </w:pPr>
    </w:p>
    <w:p>
      <w:pPr>
        <w:tabs>
          <w:tab w:val="left" w:pos="360"/>
        </w:tabs>
        <w:spacing w:line="360" w:lineRule="auto"/>
        <w:rPr>
          <w:rFonts w:ascii="Times New Roman" w:hAnsi="Times New Roman"/>
          <w:b/>
          <w:color w:val="auto"/>
          <w:szCs w:val="21"/>
          <w:highlight w:val="none"/>
        </w:rPr>
      </w:pPr>
    </w:p>
    <w:p>
      <w:pPr>
        <w:widowControl/>
        <w:jc w:val="left"/>
        <w:rPr>
          <w:rFonts w:ascii="Times New Roman" w:hAnsi="Times New Roman"/>
          <w:b/>
          <w:color w:val="auto"/>
          <w:szCs w:val="21"/>
          <w:highlight w:val="none"/>
        </w:rPr>
      </w:pPr>
      <w:r>
        <w:rPr>
          <w:rFonts w:ascii="Times New Roman" w:hAnsi="Times New Roman"/>
          <w:b/>
          <w:color w:val="auto"/>
          <w:szCs w:val="21"/>
          <w:highlight w:val="none"/>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bookmarkStart w:id="280" w:name="_Toc427232356"/>
      <w:bookmarkStart w:id="281" w:name="_Toc210188803"/>
      <w:bookmarkStart w:id="282" w:name="_Toc271551224"/>
      <w:bookmarkStart w:id="283" w:name="_Toc88985379"/>
      <w:bookmarkStart w:id="284" w:name="_Toc441844139"/>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after="60" w:line="360" w:lineRule="auto"/>
        <w:ind w:left="2349" w:hanging="2349" w:hangingChars="500"/>
        <w:jc w:val="center"/>
        <w:outlineLvl w:val="1"/>
        <w:rPr>
          <w:rFonts w:ascii="Times New Roman" w:hAnsi="Times New Roman"/>
          <w:b/>
          <w:bCs/>
          <w:color w:val="auto"/>
          <w:spacing w:val="-6"/>
          <w:sz w:val="48"/>
          <w:szCs w:val="48"/>
          <w:highlight w:val="none"/>
        </w:rPr>
      </w:pPr>
      <w:bookmarkStart w:id="285" w:name="_Toc61529887"/>
      <w:r>
        <w:rPr>
          <w:rFonts w:ascii="Times New Roman" w:hAnsi="Times New Roman"/>
          <w:b/>
          <w:bCs/>
          <w:color w:val="auto"/>
          <w:spacing w:val="-6"/>
          <w:sz w:val="48"/>
          <w:szCs w:val="48"/>
          <w:highlight w:val="none"/>
        </w:rPr>
        <w:t>三、唱标信封</w:t>
      </w:r>
      <w:bookmarkEnd w:id="280"/>
      <w:bookmarkEnd w:id="281"/>
      <w:bookmarkEnd w:id="282"/>
      <w:bookmarkEnd w:id="283"/>
      <w:bookmarkEnd w:id="284"/>
      <w:bookmarkEnd w:id="285"/>
    </w:p>
    <w:p>
      <w:pPr>
        <w:pStyle w:val="67"/>
        <w:spacing w:line="560" w:lineRule="exact"/>
        <w:ind w:firstLine="0" w:firstLineChars="0"/>
        <w:rPr>
          <w:rFonts w:ascii="Times New Roman" w:hAnsi="Times New Roman" w:eastAsia="宋体"/>
          <w:color w:val="auto"/>
          <w:sz w:val="22"/>
          <w:szCs w:val="22"/>
          <w:highlight w:val="none"/>
        </w:rPr>
      </w:pPr>
    </w:p>
    <w:p>
      <w:pPr>
        <w:pStyle w:val="67"/>
        <w:spacing w:line="560" w:lineRule="exact"/>
        <w:ind w:firstLine="0" w:firstLineChars="0"/>
        <w:rPr>
          <w:rFonts w:ascii="宋体" w:eastAsia="宋体"/>
          <w:color w:val="auto"/>
          <w:sz w:val="22"/>
          <w:szCs w:val="22"/>
          <w:highlight w:val="none"/>
        </w:rPr>
      </w:pPr>
      <w:r>
        <w:rPr>
          <w:rFonts w:ascii="宋体" w:eastAsia="宋体"/>
          <w:color w:val="auto"/>
          <w:sz w:val="22"/>
          <w:szCs w:val="22"/>
          <w:highlight w:val="none"/>
        </w:rPr>
        <w:t>唱标信封内装：</w:t>
      </w:r>
    </w:p>
    <w:p>
      <w:pPr>
        <w:spacing w:line="360" w:lineRule="auto"/>
        <w:rPr>
          <w:rFonts w:ascii="宋体" w:hAnsi="宋体"/>
          <w:color w:val="auto"/>
          <w:sz w:val="22"/>
          <w:szCs w:val="22"/>
          <w:highlight w:val="none"/>
        </w:rPr>
      </w:pPr>
      <w:r>
        <w:rPr>
          <w:rFonts w:ascii="宋体" w:hAnsi="宋体"/>
          <w:color w:val="auto"/>
          <w:sz w:val="22"/>
          <w:szCs w:val="22"/>
          <w:highlight w:val="none"/>
        </w:rPr>
        <w:t>1.投标报价一览表；</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2.投标分项报价表；</w:t>
      </w:r>
    </w:p>
    <w:p>
      <w:pPr>
        <w:spacing w:line="360" w:lineRule="auto"/>
        <w:rPr>
          <w:rFonts w:ascii="宋体" w:hAnsi="宋体"/>
          <w:color w:val="auto"/>
          <w:sz w:val="22"/>
          <w:szCs w:val="22"/>
          <w:highlight w:val="none"/>
        </w:rPr>
      </w:pPr>
      <w:r>
        <w:rPr>
          <w:rFonts w:ascii="宋体" w:hAnsi="宋体"/>
          <w:color w:val="auto"/>
          <w:sz w:val="22"/>
          <w:szCs w:val="22"/>
          <w:highlight w:val="none"/>
        </w:rPr>
        <w:t>3.投标保证金汇入情况说明及投标保证金复印件加盖公章</w:t>
      </w:r>
      <w:r>
        <w:rPr>
          <w:rFonts w:hint="eastAsia" w:ascii="宋体" w:hAnsi="宋体"/>
          <w:color w:val="auto"/>
          <w:sz w:val="22"/>
          <w:szCs w:val="22"/>
          <w:highlight w:val="none"/>
        </w:rPr>
        <w:t>（或投标担保函复印件加盖公章）</w:t>
      </w:r>
      <w:r>
        <w:rPr>
          <w:rFonts w:ascii="宋体" w:hAnsi="宋体"/>
          <w:color w:val="auto"/>
          <w:sz w:val="22"/>
          <w:szCs w:val="22"/>
          <w:highlight w:val="none"/>
        </w:rPr>
        <w:t>；</w:t>
      </w:r>
    </w:p>
    <w:p>
      <w:pPr>
        <w:spacing w:line="360" w:lineRule="auto"/>
        <w:rPr>
          <w:rFonts w:cs="宋体" w:asciiTheme="minorEastAsia" w:hAnsiTheme="minorEastAsia" w:eastAsiaTheme="minorEastAsia"/>
          <w:bCs/>
          <w:color w:val="auto"/>
          <w:szCs w:val="21"/>
          <w:highlight w:val="none"/>
        </w:rPr>
      </w:pPr>
      <w:r>
        <w:rPr>
          <w:rFonts w:ascii="宋体" w:hAnsi="宋体"/>
          <w:color w:val="auto"/>
          <w:sz w:val="22"/>
          <w:szCs w:val="22"/>
          <w:highlight w:val="none"/>
        </w:rPr>
        <w:t>4.</w:t>
      </w:r>
      <w:r>
        <w:rPr>
          <w:rFonts w:hint="eastAsia" w:asciiTheme="minorEastAsia" w:hAnsiTheme="minorEastAsia" w:eastAsiaTheme="minorEastAsia"/>
          <w:color w:val="auto"/>
          <w:szCs w:val="21"/>
          <w:highlight w:val="none"/>
        </w:rPr>
        <w:t>法定代表人授权委托书及被授权代表身份证复印件加盖公章（如法定代表人投标则附法定代表人身份证明书）；</w:t>
      </w:r>
    </w:p>
    <w:p>
      <w:pPr>
        <w:spacing w:line="360" w:lineRule="auto"/>
        <w:rPr>
          <w:rFonts w:ascii="宋体" w:hAnsi="宋体"/>
          <w:color w:val="auto"/>
          <w:sz w:val="22"/>
          <w:szCs w:val="22"/>
          <w:highlight w:val="none"/>
        </w:rPr>
      </w:pPr>
      <w:r>
        <w:rPr>
          <w:rFonts w:ascii="宋体" w:hAnsi="宋体"/>
          <w:color w:val="auto"/>
          <w:sz w:val="22"/>
          <w:szCs w:val="22"/>
          <w:highlight w:val="none"/>
        </w:rPr>
        <w:t>5.电子文件</w:t>
      </w:r>
      <w:r>
        <w:rPr>
          <w:rFonts w:ascii="宋体" w:hAnsi="宋体"/>
          <w:bCs/>
          <w:color w:val="auto"/>
          <w:sz w:val="22"/>
          <w:szCs w:val="22"/>
          <w:highlight w:val="none"/>
        </w:rPr>
        <w:t>。</w:t>
      </w:r>
    </w:p>
    <w:p>
      <w:pPr>
        <w:spacing w:line="360" w:lineRule="auto"/>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spacing w:line="560" w:lineRule="exact"/>
        <w:rPr>
          <w:rFonts w:ascii="Times New Roman" w:hAnsi="Times New Roman"/>
          <w:color w:val="auto"/>
          <w:szCs w:val="21"/>
          <w:highlight w:val="none"/>
        </w:rPr>
      </w:pPr>
    </w:p>
    <w:p>
      <w:pPr>
        <w:widowControl/>
        <w:jc w:val="left"/>
        <w:rPr>
          <w:rFonts w:ascii="Times New Roman" w:hAnsi="Times New Roman"/>
          <w:b/>
          <w:bCs/>
          <w:color w:val="auto"/>
          <w:spacing w:val="-6"/>
          <w:sz w:val="48"/>
          <w:szCs w:val="48"/>
          <w:highlight w:val="none"/>
        </w:rPr>
      </w:pPr>
      <w:bookmarkStart w:id="286" w:name="_Toc441844140"/>
      <w:r>
        <w:rPr>
          <w:rFonts w:ascii="Times New Roman" w:hAnsi="Times New Roman"/>
          <w:b/>
          <w:bCs/>
          <w:color w:val="auto"/>
          <w:spacing w:val="-6"/>
          <w:sz w:val="48"/>
          <w:szCs w:val="48"/>
          <w:highlight w:val="none"/>
        </w:rPr>
        <w:br w:type="page"/>
      </w:r>
    </w:p>
    <w:p>
      <w:pPr>
        <w:spacing w:after="60" w:line="360" w:lineRule="auto"/>
        <w:ind w:left="2349" w:hanging="2349" w:hangingChars="500"/>
        <w:jc w:val="center"/>
        <w:outlineLvl w:val="1"/>
        <w:rPr>
          <w:rFonts w:ascii="Times New Roman" w:hAnsi="Times New Roman"/>
          <w:b/>
          <w:bCs/>
          <w:color w:val="auto"/>
          <w:spacing w:val="-6"/>
          <w:sz w:val="48"/>
          <w:szCs w:val="48"/>
          <w:highlight w:val="none"/>
        </w:rPr>
      </w:pPr>
      <w:bookmarkStart w:id="287" w:name="_Toc61529888"/>
      <w:r>
        <w:rPr>
          <w:rFonts w:ascii="Times New Roman" w:hAnsi="Times New Roman"/>
          <w:b/>
          <w:bCs/>
          <w:color w:val="auto"/>
          <w:spacing w:val="-6"/>
          <w:sz w:val="48"/>
          <w:szCs w:val="48"/>
          <w:highlight w:val="none"/>
        </w:rPr>
        <w:t>四、</w:t>
      </w:r>
      <w:bookmarkStart w:id="288" w:name="_Toc363828419"/>
      <w:bookmarkStart w:id="289" w:name="_Toc427232357"/>
      <w:r>
        <w:rPr>
          <w:rFonts w:ascii="Times New Roman" w:hAnsi="Times New Roman"/>
          <w:b/>
          <w:bCs/>
          <w:color w:val="auto"/>
          <w:spacing w:val="-6"/>
          <w:sz w:val="48"/>
          <w:szCs w:val="48"/>
          <w:highlight w:val="none"/>
        </w:rPr>
        <w:t>无线胶装样式</w:t>
      </w:r>
      <w:bookmarkEnd w:id="286"/>
      <w:bookmarkEnd w:id="287"/>
      <w:bookmarkEnd w:id="288"/>
      <w:bookmarkEnd w:id="289"/>
    </w:p>
    <w:p>
      <w:pPr>
        <w:ind w:left="1050" w:hanging="1050"/>
        <w:rPr>
          <w:rFonts w:ascii="Times New Roman" w:hAnsi="Times New Roman"/>
          <w:color w:val="auto"/>
          <w:highlight w:val="none"/>
        </w:rPr>
      </w:pPr>
    </w:p>
    <w:p>
      <w:pPr>
        <w:ind w:left="1050" w:hanging="1050"/>
        <w:jc w:val="center"/>
        <w:rPr>
          <w:rFonts w:ascii="Times New Roman" w:hAnsi="Times New Roman"/>
          <w:color w:val="auto"/>
          <w:spacing w:val="-6"/>
          <w:sz w:val="48"/>
          <w:szCs w:val="48"/>
          <w:highlight w:val="none"/>
        </w:rPr>
      </w:pPr>
      <w:r>
        <w:rPr>
          <w:rFonts w:ascii="Times New Roman" w:hAnsi="Times New Roman"/>
          <w:color w:val="auto"/>
          <w:highlight w:val="none"/>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7"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color w:val="auto"/>
          <w:spacing w:val="-6"/>
          <w:sz w:val="48"/>
          <w:szCs w:val="48"/>
          <w:highlight w:val="none"/>
        </w:rPr>
      </w:pPr>
      <w:r>
        <w:rPr>
          <w:rFonts w:ascii="Times New Roman" w:hAnsi="Times New Roman"/>
          <w:color w:val="auto"/>
          <w:highlight w:val="none"/>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8"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color w:val="auto"/>
          <w:sz w:val="22"/>
          <w:szCs w:val="22"/>
          <w:highlight w:val="none"/>
        </w:rPr>
      </w:pPr>
    </w:p>
    <w:sectPr>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隶书_GB2312">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lang w:val="zh-CN"/>
      </w:rPr>
      <w:fldChar w:fldCharType="begin"/>
    </w:r>
    <w:r>
      <w:rPr>
        <w:lang w:val="zh-CN"/>
      </w:rPr>
      <w:instrText xml:space="preserve"> PAGE   \* MERGEFORMAT </w:instrText>
    </w:r>
    <w:r>
      <w:rPr>
        <w:lang w:val="zh-CN"/>
      </w:rPr>
      <w:fldChar w:fldCharType="separate"/>
    </w:r>
    <w:r>
      <w:rPr>
        <w:lang w:val="zh-CN"/>
      </w:rPr>
      <w:t>58</w:t>
    </w:r>
    <w:r>
      <w:rPr>
        <w:lang w:val="zh-CN"/>
      </w:rPr>
      <w:fldChar w:fldCharType="end"/>
    </w:r>
  </w:p>
  <w:p>
    <w:pPr>
      <w:pStyle w:val="31"/>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宋体" w:hAnsi="宋体"/>
        <w:bCs/>
        <w:lang w:eastAsia="zh-CN"/>
      </w:rPr>
    </w:pPr>
    <w:r>
      <w:rPr>
        <w:rFonts w:hint="eastAsia" w:ascii="宋体" w:hAnsi="宋体"/>
        <w:bCs/>
        <w:lang w:eastAsia="zh-CN"/>
      </w:rPr>
      <w:t>广东中凯工程管理咨询有限公司</w:t>
    </w:r>
    <w:r>
      <w:rPr>
        <w:rFonts w:hint="eastAsia" w:ascii="宋体" w:hAnsi="宋体"/>
        <w:bCs/>
      </w:rPr>
      <w:t xml:space="preserve"> </w:t>
    </w:r>
    <w:r>
      <w:rPr>
        <w:rFonts w:ascii="宋体" w:hAnsi="宋体"/>
        <w:bCs/>
      </w:rPr>
      <w:t xml:space="preserve">               </w:t>
    </w:r>
    <w:r>
      <w:rPr>
        <w:rFonts w:hint="eastAsia" w:ascii="宋体" w:hAnsi="宋体"/>
        <w:bCs/>
        <w:lang w:eastAsia="zh-CN"/>
      </w:rPr>
      <w:t>东莞交投集团客服呼叫中心运营服务外包项目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ascii="宋体" w:hAnsi="宋体"/>
        <w:bCs/>
        <w:lang w:eastAsia="zh-CN"/>
      </w:rPr>
    </w:pPr>
    <w:bookmarkStart w:id="290" w:name="_Hlk46405145"/>
    <w:r>
      <w:rPr>
        <w:rFonts w:hint="eastAsia" w:ascii="宋体" w:hAnsi="宋体"/>
        <w:bCs/>
        <w:lang w:eastAsia="zh-CN"/>
      </w:rPr>
      <w:t>广东中凯工程管理咨询有限公司</w:t>
    </w:r>
    <w:r>
      <w:rPr>
        <w:rFonts w:hint="eastAsia" w:ascii="宋体" w:hAnsi="宋体"/>
        <w:bCs/>
      </w:rPr>
      <w:t xml:space="preserve"> </w:t>
    </w:r>
    <w:bookmarkEnd w:id="290"/>
    <w:r>
      <w:rPr>
        <w:rFonts w:ascii="宋体" w:hAnsi="宋体"/>
        <w:bCs/>
      </w:rPr>
      <w:t xml:space="preserve">  </w:t>
    </w:r>
    <w:r>
      <w:rPr>
        <w:rFonts w:hint="eastAsia" w:ascii="宋体" w:hAnsi="宋体"/>
        <w:bCs/>
        <w:lang w:val="en-US" w:eastAsia="zh-CN"/>
      </w:rPr>
      <w:t xml:space="preserve">            </w:t>
    </w:r>
    <w:r>
      <w:rPr>
        <w:rFonts w:ascii="宋体" w:hAnsi="宋体"/>
        <w:bCs/>
      </w:rPr>
      <w:t xml:space="preserve">  </w:t>
    </w:r>
    <w:r>
      <w:rPr>
        <w:rFonts w:hint="eastAsia" w:ascii="宋体" w:hAnsi="宋体"/>
        <w:bCs/>
        <w:lang w:eastAsia="zh-CN"/>
      </w:rPr>
      <w:t>东莞交投集团客服呼叫中心运营服务外包项目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lvl w:ilvl="0" w:tentative="0">
      <w:start w:val="1"/>
      <w:numFmt w:val="decimal"/>
      <w:lvlText w:val="(%1)"/>
      <w:lvlJc w:val="left"/>
      <w:pPr>
        <w:ind w:left="420" w:hanging="420"/>
      </w:pPr>
      <w:rPr>
        <w:rFonts w:hint="default"/>
      </w:rPr>
    </w:lvl>
  </w:abstractNum>
  <w:abstractNum w:abstractNumId="1">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0">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B340122"/>
    <w:multiLevelType w:val="multilevel"/>
    <w:tmpl w:val="3B340122"/>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30724DB"/>
    <w:multiLevelType w:val="singleLevel"/>
    <w:tmpl w:val="430724DB"/>
    <w:lvl w:ilvl="0" w:tentative="0">
      <w:start w:val="1"/>
      <w:numFmt w:val="chineseCounting"/>
      <w:suff w:val="nothing"/>
      <w:lvlText w:val="%1、"/>
      <w:lvlJc w:val="left"/>
      <w:rPr>
        <w:rFonts w:hint="eastAsia"/>
      </w:rPr>
    </w:lvl>
  </w:abstractNum>
  <w:abstractNum w:abstractNumId="31">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2">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9E9CBE"/>
    <w:multiLevelType w:val="singleLevel"/>
    <w:tmpl w:val="529E9CBE"/>
    <w:lvl w:ilvl="0" w:tentative="0">
      <w:start w:val="1"/>
      <w:numFmt w:val="decimal"/>
      <w:lvlText w:val="(%1)"/>
      <w:lvlJc w:val="left"/>
      <w:pPr>
        <w:ind w:left="420" w:hanging="420"/>
      </w:pPr>
      <w:rPr>
        <w:rFonts w:hint="default"/>
      </w:rPr>
    </w:lvl>
  </w:abstractNum>
  <w:abstractNum w:abstractNumId="37">
    <w:nsid w:val="53F2C71E"/>
    <w:multiLevelType w:val="singleLevel"/>
    <w:tmpl w:val="53F2C71E"/>
    <w:lvl w:ilvl="0" w:tentative="0">
      <w:start w:val="1"/>
      <w:numFmt w:val="decimal"/>
      <w:lvlText w:val="(%1)"/>
      <w:lvlJc w:val="left"/>
      <w:pPr>
        <w:ind w:left="420" w:hanging="420"/>
      </w:pPr>
      <w:rPr>
        <w:rFonts w:hint="default"/>
      </w:rPr>
    </w:lvl>
  </w:abstractNum>
  <w:abstractNum w:abstractNumId="38">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127586E"/>
    <w:multiLevelType w:val="multilevel"/>
    <w:tmpl w:val="6127586E"/>
    <w:lvl w:ilvl="0" w:tentative="0">
      <w:start w:val="1"/>
      <w:numFmt w:val="decimal"/>
      <w:lvlText w:val="35.2.%1"/>
      <w:lvlJc w:val="left"/>
      <w:pPr>
        <w:ind w:left="420" w:hanging="420"/>
      </w:pPr>
      <w:rPr>
        <w:rFonts w:hint="eastAsia" w:ascii="宋体" w:hAnsi="宋体" w:eastAsia="宋体"/>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6"/>
  </w:num>
  <w:num w:numId="3">
    <w:abstractNumId w:val="2"/>
  </w:num>
  <w:num w:numId="4">
    <w:abstractNumId w:val="31"/>
  </w:num>
  <w:num w:numId="5">
    <w:abstractNumId w:val="16"/>
  </w:num>
  <w:num w:numId="6">
    <w:abstractNumId w:val="38"/>
  </w:num>
  <w:num w:numId="7">
    <w:abstractNumId w:val="3"/>
  </w:num>
  <w:num w:numId="8">
    <w:abstractNumId w:val="35"/>
  </w:num>
  <w:num w:numId="9">
    <w:abstractNumId w:val="14"/>
  </w:num>
  <w:num w:numId="10">
    <w:abstractNumId w:val="51"/>
  </w:num>
  <w:num w:numId="11">
    <w:abstractNumId w:val="52"/>
  </w:num>
  <w:num w:numId="12">
    <w:abstractNumId w:val="6"/>
  </w:num>
  <w:num w:numId="13">
    <w:abstractNumId w:val="43"/>
  </w:num>
  <w:num w:numId="14">
    <w:abstractNumId w:val="13"/>
  </w:num>
  <w:num w:numId="15">
    <w:abstractNumId w:val="18"/>
  </w:num>
  <w:num w:numId="16">
    <w:abstractNumId w:val="29"/>
  </w:num>
  <w:num w:numId="17">
    <w:abstractNumId w:val="53"/>
  </w:num>
  <w:num w:numId="18">
    <w:abstractNumId w:val="0"/>
  </w:num>
  <w:num w:numId="19">
    <w:abstractNumId w:val="37"/>
  </w:num>
  <w:num w:numId="20">
    <w:abstractNumId w:val="36"/>
  </w:num>
  <w:num w:numId="21">
    <w:abstractNumId w:val="9"/>
  </w:num>
  <w:num w:numId="22">
    <w:abstractNumId w:val="34"/>
  </w:num>
  <w:num w:numId="23">
    <w:abstractNumId w:val="55"/>
  </w:num>
  <w:num w:numId="24">
    <w:abstractNumId w:val="7"/>
  </w:num>
  <w:num w:numId="25">
    <w:abstractNumId w:val="11"/>
  </w:num>
  <w:num w:numId="26">
    <w:abstractNumId w:val="4"/>
  </w:num>
  <w:num w:numId="27">
    <w:abstractNumId w:val="25"/>
  </w:num>
  <w:num w:numId="28">
    <w:abstractNumId w:val="27"/>
  </w:num>
  <w:num w:numId="29">
    <w:abstractNumId w:val="32"/>
  </w:num>
  <w:num w:numId="30">
    <w:abstractNumId w:val="44"/>
  </w:num>
  <w:num w:numId="31">
    <w:abstractNumId w:val="22"/>
  </w:num>
  <w:num w:numId="32">
    <w:abstractNumId w:val="41"/>
  </w:num>
  <w:num w:numId="33">
    <w:abstractNumId w:val="33"/>
  </w:num>
  <w:num w:numId="34">
    <w:abstractNumId w:val="20"/>
  </w:num>
  <w:num w:numId="35">
    <w:abstractNumId w:val="47"/>
  </w:num>
  <w:num w:numId="36">
    <w:abstractNumId w:val="15"/>
  </w:num>
  <w:num w:numId="37">
    <w:abstractNumId w:val="21"/>
  </w:num>
  <w:num w:numId="38">
    <w:abstractNumId w:val="5"/>
  </w:num>
  <w:num w:numId="39">
    <w:abstractNumId w:val="12"/>
  </w:num>
  <w:num w:numId="40">
    <w:abstractNumId w:val="56"/>
  </w:num>
  <w:num w:numId="41">
    <w:abstractNumId w:val="17"/>
  </w:num>
  <w:num w:numId="42">
    <w:abstractNumId w:val="54"/>
  </w:num>
  <w:num w:numId="43">
    <w:abstractNumId w:val="24"/>
  </w:num>
  <w:num w:numId="44">
    <w:abstractNumId w:val="23"/>
  </w:num>
  <w:num w:numId="45">
    <w:abstractNumId w:val="28"/>
  </w:num>
  <w:num w:numId="46">
    <w:abstractNumId w:val="19"/>
  </w:num>
  <w:num w:numId="47">
    <w:abstractNumId w:val="40"/>
  </w:num>
  <w:num w:numId="48">
    <w:abstractNumId w:val="39"/>
  </w:num>
  <w:num w:numId="49">
    <w:abstractNumId w:val="49"/>
  </w:num>
  <w:num w:numId="50">
    <w:abstractNumId w:val="10"/>
  </w:num>
  <w:num w:numId="51">
    <w:abstractNumId w:val="46"/>
  </w:num>
  <w:num w:numId="52">
    <w:abstractNumId w:val="45"/>
  </w:num>
  <w:num w:numId="53">
    <w:abstractNumId w:val="8"/>
  </w:num>
  <w:num w:numId="54">
    <w:abstractNumId w:val="50"/>
  </w:num>
  <w:num w:numId="55">
    <w:abstractNumId w:val="48"/>
  </w:num>
  <w:num w:numId="56">
    <w:abstractNumId w:val="42"/>
  </w:num>
  <w:num w:numId="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8E9"/>
    <w:rsid w:val="00047CDB"/>
    <w:rsid w:val="00050433"/>
    <w:rsid w:val="000510D8"/>
    <w:rsid w:val="00051A87"/>
    <w:rsid w:val="00052641"/>
    <w:rsid w:val="00052BD7"/>
    <w:rsid w:val="00053110"/>
    <w:rsid w:val="000554B5"/>
    <w:rsid w:val="00055610"/>
    <w:rsid w:val="0005561E"/>
    <w:rsid w:val="00055E1A"/>
    <w:rsid w:val="00055F6D"/>
    <w:rsid w:val="00056AB5"/>
    <w:rsid w:val="00060E1F"/>
    <w:rsid w:val="00061739"/>
    <w:rsid w:val="00061A67"/>
    <w:rsid w:val="00061D88"/>
    <w:rsid w:val="00061FA0"/>
    <w:rsid w:val="00062485"/>
    <w:rsid w:val="000634CB"/>
    <w:rsid w:val="00063E8B"/>
    <w:rsid w:val="000663ED"/>
    <w:rsid w:val="0006657F"/>
    <w:rsid w:val="000672CF"/>
    <w:rsid w:val="00067D4E"/>
    <w:rsid w:val="00070E6A"/>
    <w:rsid w:val="00070FB6"/>
    <w:rsid w:val="0007125C"/>
    <w:rsid w:val="000715FC"/>
    <w:rsid w:val="000733E8"/>
    <w:rsid w:val="000738E0"/>
    <w:rsid w:val="00074A84"/>
    <w:rsid w:val="00075A95"/>
    <w:rsid w:val="0007684C"/>
    <w:rsid w:val="00076BF5"/>
    <w:rsid w:val="00077FA4"/>
    <w:rsid w:val="00080BA5"/>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E012C"/>
    <w:rsid w:val="000E0658"/>
    <w:rsid w:val="000E1DD2"/>
    <w:rsid w:val="000E1F4B"/>
    <w:rsid w:val="000E33E2"/>
    <w:rsid w:val="000E34F3"/>
    <w:rsid w:val="000E376C"/>
    <w:rsid w:val="000E42F9"/>
    <w:rsid w:val="000E44F9"/>
    <w:rsid w:val="000E52CF"/>
    <w:rsid w:val="000E5815"/>
    <w:rsid w:val="000E5EF7"/>
    <w:rsid w:val="000E61C1"/>
    <w:rsid w:val="000E6254"/>
    <w:rsid w:val="000E656A"/>
    <w:rsid w:val="000E6B2D"/>
    <w:rsid w:val="000E7225"/>
    <w:rsid w:val="000E79C2"/>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633"/>
    <w:rsid w:val="0012212A"/>
    <w:rsid w:val="001225AF"/>
    <w:rsid w:val="001228BA"/>
    <w:rsid w:val="001242E8"/>
    <w:rsid w:val="00124AC1"/>
    <w:rsid w:val="001260DC"/>
    <w:rsid w:val="00126749"/>
    <w:rsid w:val="00130160"/>
    <w:rsid w:val="00131AE0"/>
    <w:rsid w:val="00131D08"/>
    <w:rsid w:val="00132034"/>
    <w:rsid w:val="00133B00"/>
    <w:rsid w:val="00136554"/>
    <w:rsid w:val="001376EB"/>
    <w:rsid w:val="001403C4"/>
    <w:rsid w:val="00141271"/>
    <w:rsid w:val="00141A9C"/>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E65"/>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4171"/>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EA0"/>
    <w:rsid w:val="002440E8"/>
    <w:rsid w:val="00244B61"/>
    <w:rsid w:val="00244C6A"/>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AE7"/>
    <w:rsid w:val="00271CC2"/>
    <w:rsid w:val="00274ECD"/>
    <w:rsid w:val="002752B9"/>
    <w:rsid w:val="002752F5"/>
    <w:rsid w:val="00275FCC"/>
    <w:rsid w:val="00276813"/>
    <w:rsid w:val="00276BCB"/>
    <w:rsid w:val="002809C1"/>
    <w:rsid w:val="00280D5E"/>
    <w:rsid w:val="00280FDD"/>
    <w:rsid w:val="00281AEA"/>
    <w:rsid w:val="00281E2F"/>
    <w:rsid w:val="00283021"/>
    <w:rsid w:val="00284688"/>
    <w:rsid w:val="0028539B"/>
    <w:rsid w:val="00285516"/>
    <w:rsid w:val="002859B8"/>
    <w:rsid w:val="00285EAE"/>
    <w:rsid w:val="002861B5"/>
    <w:rsid w:val="0028686A"/>
    <w:rsid w:val="00287121"/>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5632"/>
    <w:rsid w:val="003564D7"/>
    <w:rsid w:val="003573EA"/>
    <w:rsid w:val="00357795"/>
    <w:rsid w:val="00357F8A"/>
    <w:rsid w:val="00360EEA"/>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E12"/>
    <w:rsid w:val="00387A2A"/>
    <w:rsid w:val="00390633"/>
    <w:rsid w:val="00390A55"/>
    <w:rsid w:val="00390E7A"/>
    <w:rsid w:val="0039135B"/>
    <w:rsid w:val="00391752"/>
    <w:rsid w:val="003925F5"/>
    <w:rsid w:val="00392C1A"/>
    <w:rsid w:val="00393189"/>
    <w:rsid w:val="0039327F"/>
    <w:rsid w:val="0039390D"/>
    <w:rsid w:val="003942EC"/>
    <w:rsid w:val="00394D6A"/>
    <w:rsid w:val="00395B03"/>
    <w:rsid w:val="003960C0"/>
    <w:rsid w:val="0039694C"/>
    <w:rsid w:val="00396A25"/>
    <w:rsid w:val="003978F3"/>
    <w:rsid w:val="003A09E1"/>
    <w:rsid w:val="003A0BFB"/>
    <w:rsid w:val="003A380C"/>
    <w:rsid w:val="003A3C54"/>
    <w:rsid w:val="003A5761"/>
    <w:rsid w:val="003A6174"/>
    <w:rsid w:val="003A6969"/>
    <w:rsid w:val="003A6C08"/>
    <w:rsid w:val="003A74CE"/>
    <w:rsid w:val="003B0844"/>
    <w:rsid w:val="003B09BB"/>
    <w:rsid w:val="003B1157"/>
    <w:rsid w:val="003B3948"/>
    <w:rsid w:val="003B43D4"/>
    <w:rsid w:val="003B487E"/>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1C97"/>
    <w:rsid w:val="0040265C"/>
    <w:rsid w:val="00402988"/>
    <w:rsid w:val="00402C70"/>
    <w:rsid w:val="00403995"/>
    <w:rsid w:val="00403D70"/>
    <w:rsid w:val="00404610"/>
    <w:rsid w:val="00404939"/>
    <w:rsid w:val="004059D1"/>
    <w:rsid w:val="00406F33"/>
    <w:rsid w:val="00407624"/>
    <w:rsid w:val="0041057C"/>
    <w:rsid w:val="00410A27"/>
    <w:rsid w:val="004146B8"/>
    <w:rsid w:val="004148CD"/>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1262"/>
    <w:rsid w:val="004316CA"/>
    <w:rsid w:val="004323AC"/>
    <w:rsid w:val="00432BCC"/>
    <w:rsid w:val="00433771"/>
    <w:rsid w:val="004338F5"/>
    <w:rsid w:val="00434453"/>
    <w:rsid w:val="00434C4E"/>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7C4D"/>
    <w:rsid w:val="00457D9E"/>
    <w:rsid w:val="0046069B"/>
    <w:rsid w:val="00461529"/>
    <w:rsid w:val="00461632"/>
    <w:rsid w:val="00462DA9"/>
    <w:rsid w:val="004649E1"/>
    <w:rsid w:val="00464A4F"/>
    <w:rsid w:val="0046579A"/>
    <w:rsid w:val="0046621D"/>
    <w:rsid w:val="004665FE"/>
    <w:rsid w:val="00466D61"/>
    <w:rsid w:val="00466E9D"/>
    <w:rsid w:val="004671FE"/>
    <w:rsid w:val="00467242"/>
    <w:rsid w:val="0046743C"/>
    <w:rsid w:val="0046746A"/>
    <w:rsid w:val="00467E71"/>
    <w:rsid w:val="00470476"/>
    <w:rsid w:val="00471C7F"/>
    <w:rsid w:val="00471E9B"/>
    <w:rsid w:val="00472A85"/>
    <w:rsid w:val="00472DCE"/>
    <w:rsid w:val="00473087"/>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1B0F"/>
    <w:rsid w:val="004A223A"/>
    <w:rsid w:val="004A2E78"/>
    <w:rsid w:val="004A5391"/>
    <w:rsid w:val="004A5F32"/>
    <w:rsid w:val="004B0E3E"/>
    <w:rsid w:val="004B0EF4"/>
    <w:rsid w:val="004B26B6"/>
    <w:rsid w:val="004B2745"/>
    <w:rsid w:val="004B29D4"/>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C22"/>
    <w:rsid w:val="004F0D02"/>
    <w:rsid w:val="004F2683"/>
    <w:rsid w:val="004F4027"/>
    <w:rsid w:val="004F6006"/>
    <w:rsid w:val="004F67AE"/>
    <w:rsid w:val="004F7949"/>
    <w:rsid w:val="004F7A9F"/>
    <w:rsid w:val="005006A3"/>
    <w:rsid w:val="005010B5"/>
    <w:rsid w:val="00501242"/>
    <w:rsid w:val="00502264"/>
    <w:rsid w:val="00502C9B"/>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0A5"/>
    <w:rsid w:val="00535673"/>
    <w:rsid w:val="00535CF2"/>
    <w:rsid w:val="00535E7A"/>
    <w:rsid w:val="0053633D"/>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60D1"/>
    <w:rsid w:val="005A6717"/>
    <w:rsid w:val="005A6723"/>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E4E"/>
    <w:rsid w:val="005E5D59"/>
    <w:rsid w:val="005E64BD"/>
    <w:rsid w:val="005E69ED"/>
    <w:rsid w:val="005E6C95"/>
    <w:rsid w:val="005F0291"/>
    <w:rsid w:val="005F151F"/>
    <w:rsid w:val="005F1709"/>
    <w:rsid w:val="005F1786"/>
    <w:rsid w:val="005F1BB5"/>
    <w:rsid w:val="005F1C8A"/>
    <w:rsid w:val="005F2634"/>
    <w:rsid w:val="005F2F1F"/>
    <w:rsid w:val="005F4208"/>
    <w:rsid w:val="005F4926"/>
    <w:rsid w:val="005F4F28"/>
    <w:rsid w:val="005F5381"/>
    <w:rsid w:val="005F6B4D"/>
    <w:rsid w:val="005F7B3B"/>
    <w:rsid w:val="0060078F"/>
    <w:rsid w:val="00601AA1"/>
    <w:rsid w:val="00601EA4"/>
    <w:rsid w:val="0060202A"/>
    <w:rsid w:val="0060304B"/>
    <w:rsid w:val="0060319F"/>
    <w:rsid w:val="00603D6D"/>
    <w:rsid w:val="0060467B"/>
    <w:rsid w:val="0060708E"/>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8137E"/>
    <w:rsid w:val="006819B0"/>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A0575"/>
    <w:rsid w:val="006A0BF8"/>
    <w:rsid w:val="006A0E60"/>
    <w:rsid w:val="006A2186"/>
    <w:rsid w:val="006A229E"/>
    <w:rsid w:val="006A23E2"/>
    <w:rsid w:val="006A2ABE"/>
    <w:rsid w:val="006A3C08"/>
    <w:rsid w:val="006A4EE1"/>
    <w:rsid w:val="006A5EC7"/>
    <w:rsid w:val="006A737D"/>
    <w:rsid w:val="006A7B4D"/>
    <w:rsid w:val="006B23EF"/>
    <w:rsid w:val="006B2729"/>
    <w:rsid w:val="006B2982"/>
    <w:rsid w:val="006B2C1C"/>
    <w:rsid w:val="006B5B69"/>
    <w:rsid w:val="006B62D8"/>
    <w:rsid w:val="006B6D53"/>
    <w:rsid w:val="006B7D89"/>
    <w:rsid w:val="006C0563"/>
    <w:rsid w:val="006C1305"/>
    <w:rsid w:val="006C281B"/>
    <w:rsid w:val="006C2898"/>
    <w:rsid w:val="006C2C2D"/>
    <w:rsid w:val="006C4029"/>
    <w:rsid w:val="006C4F72"/>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5E0"/>
    <w:rsid w:val="00717D83"/>
    <w:rsid w:val="00717EED"/>
    <w:rsid w:val="00720460"/>
    <w:rsid w:val="007209B8"/>
    <w:rsid w:val="007227EE"/>
    <w:rsid w:val="00723AC7"/>
    <w:rsid w:val="00723B8C"/>
    <w:rsid w:val="00723E77"/>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1383"/>
    <w:rsid w:val="00742C96"/>
    <w:rsid w:val="00743759"/>
    <w:rsid w:val="00743EDA"/>
    <w:rsid w:val="007455EA"/>
    <w:rsid w:val="00745AC0"/>
    <w:rsid w:val="007478F8"/>
    <w:rsid w:val="0075044D"/>
    <w:rsid w:val="00750850"/>
    <w:rsid w:val="007513BA"/>
    <w:rsid w:val="00751F61"/>
    <w:rsid w:val="00752A18"/>
    <w:rsid w:val="00753CB4"/>
    <w:rsid w:val="00754013"/>
    <w:rsid w:val="007546EB"/>
    <w:rsid w:val="00754873"/>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7886"/>
    <w:rsid w:val="007B0DA2"/>
    <w:rsid w:val="007B113B"/>
    <w:rsid w:val="007B352A"/>
    <w:rsid w:val="007B3AAE"/>
    <w:rsid w:val="007B56B8"/>
    <w:rsid w:val="007B63C9"/>
    <w:rsid w:val="007B686F"/>
    <w:rsid w:val="007B6DEA"/>
    <w:rsid w:val="007C09E8"/>
    <w:rsid w:val="007C16B5"/>
    <w:rsid w:val="007C18F9"/>
    <w:rsid w:val="007C20D4"/>
    <w:rsid w:val="007C2E72"/>
    <w:rsid w:val="007C374D"/>
    <w:rsid w:val="007C3A10"/>
    <w:rsid w:val="007C40CF"/>
    <w:rsid w:val="007C4129"/>
    <w:rsid w:val="007C4E0B"/>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1422"/>
    <w:rsid w:val="008019D8"/>
    <w:rsid w:val="0080202A"/>
    <w:rsid w:val="008025BB"/>
    <w:rsid w:val="00804D2D"/>
    <w:rsid w:val="00805068"/>
    <w:rsid w:val="00805307"/>
    <w:rsid w:val="0080742F"/>
    <w:rsid w:val="00807768"/>
    <w:rsid w:val="00807FD7"/>
    <w:rsid w:val="00810B8D"/>
    <w:rsid w:val="00810F8C"/>
    <w:rsid w:val="008112A8"/>
    <w:rsid w:val="0081137D"/>
    <w:rsid w:val="00813A65"/>
    <w:rsid w:val="00814352"/>
    <w:rsid w:val="008144EF"/>
    <w:rsid w:val="008146FF"/>
    <w:rsid w:val="00814824"/>
    <w:rsid w:val="00814C5A"/>
    <w:rsid w:val="008159E9"/>
    <w:rsid w:val="00816403"/>
    <w:rsid w:val="00817785"/>
    <w:rsid w:val="008177D4"/>
    <w:rsid w:val="00820C90"/>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55A4"/>
    <w:rsid w:val="008863C3"/>
    <w:rsid w:val="0088773E"/>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345E"/>
    <w:rsid w:val="008D4F82"/>
    <w:rsid w:val="008D6B08"/>
    <w:rsid w:val="008D6CCF"/>
    <w:rsid w:val="008D7A3F"/>
    <w:rsid w:val="008E0192"/>
    <w:rsid w:val="008E20CE"/>
    <w:rsid w:val="008E233E"/>
    <w:rsid w:val="008E2E24"/>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7AE"/>
    <w:rsid w:val="00914845"/>
    <w:rsid w:val="0091561C"/>
    <w:rsid w:val="009158FA"/>
    <w:rsid w:val="00916DDE"/>
    <w:rsid w:val="00920F01"/>
    <w:rsid w:val="009222AD"/>
    <w:rsid w:val="0092244F"/>
    <w:rsid w:val="0092254D"/>
    <w:rsid w:val="00922CD3"/>
    <w:rsid w:val="00922F2F"/>
    <w:rsid w:val="0092524E"/>
    <w:rsid w:val="0092608C"/>
    <w:rsid w:val="009261E4"/>
    <w:rsid w:val="00926844"/>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77A6"/>
    <w:rsid w:val="0095782E"/>
    <w:rsid w:val="00957C39"/>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272"/>
    <w:rsid w:val="00A34E28"/>
    <w:rsid w:val="00A356B1"/>
    <w:rsid w:val="00A364EF"/>
    <w:rsid w:val="00A3659A"/>
    <w:rsid w:val="00A37722"/>
    <w:rsid w:val="00A41F4C"/>
    <w:rsid w:val="00A42348"/>
    <w:rsid w:val="00A42C07"/>
    <w:rsid w:val="00A42E26"/>
    <w:rsid w:val="00A439C4"/>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2A07"/>
    <w:rsid w:val="00A6310A"/>
    <w:rsid w:val="00A64328"/>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DF3"/>
    <w:rsid w:val="00A910E0"/>
    <w:rsid w:val="00A91A33"/>
    <w:rsid w:val="00A91DE5"/>
    <w:rsid w:val="00A920F5"/>
    <w:rsid w:val="00A9427E"/>
    <w:rsid w:val="00A943BD"/>
    <w:rsid w:val="00A94AA2"/>
    <w:rsid w:val="00A96259"/>
    <w:rsid w:val="00A96F60"/>
    <w:rsid w:val="00AA0A18"/>
    <w:rsid w:val="00AA1ED5"/>
    <w:rsid w:val="00AA2E93"/>
    <w:rsid w:val="00AA415C"/>
    <w:rsid w:val="00AA48BF"/>
    <w:rsid w:val="00AA560B"/>
    <w:rsid w:val="00AA58AB"/>
    <w:rsid w:val="00AA601C"/>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F1C"/>
    <w:rsid w:val="00AD1447"/>
    <w:rsid w:val="00AD1500"/>
    <w:rsid w:val="00AD3871"/>
    <w:rsid w:val="00AD50C4"/>
    <w:rsid w:val="00AD5A69"/>
    <w:rsid w:val="00AD5CEE"/>
    <w:rsid w:val="00AD5D94"/>
    <w:rsid w:val="00AD6055"/>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7370"/>
    <w:rsid w:val="00AF09DC"/>
    <w:rsid w:val="00AF0D68"/>
    <w:rsid w:val="00AF1867"/>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CAE"/>
    <w:rsid w:val="00B10F7A"/>
    <w:rsid w:val="00B11AF5"/>
    <w:rsid w:val="00B120FB"/>
    <w:rsid w:val="00B127E2"/>
    <w:rsid w:val="00B12A40"/>
    <w:rsid w:val="00B12C4A"/>
    <w:rsid w:val="00B14288"/>
    <w:rsid w:val="00B1483E"/>
    <w:rsid w:val="00B14FDC"/>
    <w:rsid w:val="00B1582E"/>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3B0C"/>
    <w:rsid w:val="00B33D51"/>
    <w:rsid w:val="00B3553F"/>
    <w:rsid w:val="00B369BE"/>
    <w:rsid w:val="00B40593"/>
    <w:rsid w:val="00B415AB"/>
    <w:rsid w:val="00B416FF"/>
    <w:rsid w:val="00B429B1"/>
    <w:rsid w:val="00B4323D"/>
    <w:rsid w:val="00B43660"/>
    <w:rsid w:val="00B43978"/>
    <w:rsid w:val="00B44107"/>
    <w:rsid w:val="00B45789"/>
    <w:rsid w:val="00B458D3"/>
    <w:rsid w:val="00B47787"/>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418C"/>
    <w:rsid w:val="00BA447B"/>
    <w:rsid w:val="00BA4BC2"/>
    <w:rsid w:val="00BA6000"/>
    <w:rsid w:val="00BA6A8D"/>
    <w:rsid w:val="00BA7A53"/>
    <w:rsid w:val="00BA7F56"/>
    <w:rsid w:val="00BA7FAC"/>
    <w:rsid w:val="00BB00A5"/>
    <w:rsid w:val="00BB117C"/>
    <w:rsid w:val="00BB1A52"/>
    <w:rsid w:val="00BB2ACF"/>
    <w:rsid w:val="00BB338F"/>
    <w:rsid w:val="00BB3F0F"/>
    <w:rsid w:val="00BB661A"/>
    <w:rsid w:val="00BB6671"/>
    <w:rsid w:val="00BB6793"/>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E0D0E"/>
    <w:rsid w:val="00BE0F29"/>
    <w:rsid w:val="00BE10E2"/>
    <w:rsid w:val="00BE10F0"/>
    <w:rsid w:val="00BE1853"/>
    <w:rsid w:val="00BE1EB4"/>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E61"/>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3C2D"/>
    <w:rsid w:val="00C1410D"/>
    <w:rsid w:val="00C141FB"/>
    <w:rsid w:val="00C1576C"/>
    <w:rsid w:val="00C162F6"/>
    <w:rsid w:val="00C163AB"/>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5B9"/>
    <w:rsid w:val="00C448F1"/>
    <w:rsid w:val="00C45B65"/>
    <w:rsid w:val="00C46324"/>
    <w:rsid w:val="00C50367"/>
    <w:rsid w:val="00C51AD3"/>
    <w:rsid w:val="00C529A2"/>
    <w:rsid w:val="00C532B6"/>
    <w:rsid w:val="00C546F7"/>
    <w:rsid w:val="00C55973"/>
    <w:rsid w:val="00C55BF9"/>
    <w:rsid w:val="00C56236"/>
    <w:rsid w:val="00C56F19"/>
    <w:rsid w:val="00C56F26"/>
    <w:rsid w:val="00C571C7"/>
    <w:rsid w:val="00C574D9"/>
    <w:rsid w:val="00C575C4"/>
    <w:rsid w:val="00C579A8"/>
    <w:rsid w:val="00C615BB"/>
    <w:rsid w:val="00C6295B"/>
    <w:rsid w:val="00C63DCF"/>
    <w:rsid w:val="00C64042"/>
    <w:rsid w:val="00C64CDA"/>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804B2"/>
    <w:rsid w:val="00C808B2"/>
    <w:rsid w:val="00C80B10"/>
    <w:rsid w:val="00C826D8"/>
    <w:rsid w:val="00C82B26"/>
    <w:rsid w:val="00C8315B"/>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F58"/>
    <w:rsid w:val="00D04744"/>
    <w:rsid w:val="00D05366"/>
    <w:rsid w:val="00D05A23"/>
    <w:rsid w:val="00D078D8"/>
    <w:rsid w:val="00D10332"/>
    <w:rsid w:val="00D10740"/>
    <w:rsid w:val="00D10877"/>
    <w:rsid w:val="00D12751"/>
    <w:rsid w:val="00D135CE"/>
    <w:rsid w:val="00D13C5C"/>
    <w:rsid w:val="00D13ECC"/>
    <w:rsid w:val="00D14A14"/>
    <w:rsid w:val="00D14C6D"/>
    <w:rsid w:val="00D14D8D"/>
    <w:rsid w:val="00D15973"/>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1A7D"/>
    <w:rsid w:val="00D31FE7"/>
    <w:rsid w:val="00D3220D"/>
    <w:rsid w:val="00D33FBA"/>
    <w:rsid w:val="00D34391"/>
    <w:rsid w:val="00D34C12"/>
    <w:rsid w:val="00D3565A"/>
    <w:rsid w:val="00D35A79"/>
    <w:rsid w:val="00D35E96"/>
    <w:rsid w:val="00D35FDC"/>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E3B"/>
    <w:rsid w:val="00D57287"/>
    <w:rsid w:val="00D600EB"/>
    <w:rsid w:val="00D62F1E"/>
    <w:rsid w:val="00D63427"/>
    <w:rsid w:val="00D65386"/>
    <w:rsid w:val="00D65D65"/>
    <w:rsid w:val="00D66BF8"/>
    <w:rsid w:val="00D67FE1"/>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B93"/>
    <w:rsid w:val="00D84503"/>
    <w:rsid w:val="00D84862"/>
    <w:rsid w:val="00D84D65"/>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BCB"/>
    <w:rsid w:val="00DB5D14"/>
    <w:rsid w:val="00DB6957"/>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64D4"/>
    <w:rsid w:val="00E27141"/>
    <w:rsid w:val="00E272E3"/>
    <w:rsid w:val="00E27318"/>
    <w:rsid w:val="00E27FEE"/>
    <w:rsid w:val="00E30B4E"/>
    <w:rsid w:val="00E31B48"/>
    <w:rsid w:val="00E32237"/>
    <w:rsid w:val="00E32AE5"/>
    <w:rsid w:val="00E333BB"/>
    <w:rsid w:val="00E33DAD"/>
    <w:rsid w:val="00E34AB6"/>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60C41"/>
    <w:rsid w:val="00E62A5A"/>
    <w:rsid w:val="00E632C9"/>
    <w:rsid w:val="00E64008"/>
    <w:rsid w:val="00E6450B"/>
    <w:rsid w:val="00E66410"/>
    <w:rsid w:val="00E66689"/>
    <w:rsid w:val="00E66CF0"/>
    <w:rsid w:val="00E70231"/>
    <w:rsid w:val="00E702E5"/>
    <w:rsid w:val="00E70B2F"/>
    <w:rsid w:val="00E70FFD"/>
    <w:rsid w:val="00E7222A"/>
    <w:rsid w:val="00E729DA"/>
    <w:rsid w:val="00E72DB8"/>
    <w:rsid w:val="00E73921"/>
    <w:rsid w:val="00E745CC"/>
    <w:rsid w:val="00E760B5"/>
    <w:rsid w:val="00E76D0E"/>
    <w:rsid w:val="00E77F1C"/>
    <w:rsid w:val="00E77F73"/>
    <w:rsid w:val="00E804B6"/>
    <w:rsid w:val="00E84B69"/>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431A"/>
    <w:rsid w:val="00EA458F"/>
    <w:rsid w:val="00EA4D7B"/>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B2C"/>
    <w:rsid w:val="00ED1230"/>
    <w:rsid w:val="00ED15CA"/>
    <w:rsid w:val="00ED1D0C"/>
    <w:rsid w:val="00ED3D62"/>
    <w:rsid w:val="00ED60DB"/>
    <w:rsid w:val="00ED79E1"/>
    <w:rsid w:val="00ED7E73"/>
    <w:rsid w:val="00EE0A18"/>
    <w:rsid w:val="00EE0AFE"/>
    <w:rsid w:val="00EE1AE3"/>
    <w:rsid w:val="00EE256A"/>
    <w:rsid w:val="00EE29AD"/>
    <w:rsid w:val="00EE2DD6"/>
    <w:rsid w:val="00EE31D9"/>
    <w:rsid w:val="00EE320E"/>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226B"/>
    <w:rsid w:val="00F42B0F"/>
    <w:rsid w:val="00F42E6B"/>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4296"/>
    <w:rsid w:val="00F545D9"/>
    <w:rsid w:val="00F55560"/>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4C41"/>
    <w:rsid w:val="00FF558A"/>
    <w:rsid w:val="00FF6670"/>
    <w:rsid w:val="00FF67C3"/>
    <w:rsid w:val="00FF67CF"/>
    <w:rsid w:val="00FF7350"/>
    <w:rsid w:val="019649A6"/>
    <w:rsid w:val="02001A0A"/>
    <w:rsid w:val="02CA483A"/>
    <w:rsid w:val="03797F07"/>
    <w:rsid w:val="03AD4585"/>
    <w:rsid w:val="03E00461"/>
    <w:rsid w:val="045929B3"/>
    <w:rsid w:val="051166EB"/>
    <w:rsid w:val="05194374"/>
    <w:rsid w:val="05332451"/>
    <w:rsid w:val="06CC04E7"/>
    <w:rsid w:val="07353A6B"/>
    <w:rsid w:val="07C71CB5"/>
    <w:rsid w:val="07E06D3F"/>
    <w:rsid w:val="08080D16"/>
    <w:rsid w:val="085E4C76"/>
    <w:rsid w:val="08B07394"/>
    <w:rsid w:val="0C3C7773"/>
    <w:rsid w:val="0C6A24C4"/>
    <w:rsid w:val="0CDF15A0"/>
    <w:rsid w:val="0DA23423"/>
    <w:rsid w:val="0DD92A52"/>
    <w:rsid w:val="0E0A176E"/>
    <w:rsid w:val="0ED71AD6"/>
    <w:rsid w:val="0EE62CD8"/>
    <w:rsid w:val="0F6F6439"/>
    <w:rsid w:val="10495372"/>
    <w:rsid w:val="10FF036E"/>
    <w:rsid w:val="1233135C"/>
    <w:rsid w:val="13822E3F"/>
    <w:rsid w:val="13A7598F"/>
    <w:rsid w:val="147F75E5"/>
    <w:rsid w:val="14AF3DCC"/>
    <w:rsid w:val="14C91C5B"/>
    <w:rsid w:val="15B143D8"/>
    <w:rsid w:val="15DA0704"/>
    <w:rsid w:val="165F0A61"/>
    <w:rsid w:val="167B2483"/>
    <w:rsid w:val="1749794F"/>
    <w:rsid w:val="17E61D07"/>
    <w:rsid w:val="182F4F95"/>
    <w:rsid w:val="19E05A7B"/>
    <w:rsid w:val="19F9014D"/>
    <w:rsid w:val="1BC06413"/>
    <w:rsid w:val="1C8E604D"/>
    <w:rsid w:val="1D2E49C9"/>
    <w:rsid w:val="1D637249"/>
    <w:rsid w:val="1EAD547F"/>
    <w:rsid w:val="1F227689"/>
    <w:rsid w:val="1FF95442"/>
    <w:rsid w:val="21171014"/>
    <w:rsid w:val="219447B5"/>
    <w:rsid w:val="21E5401B"/>
    <w:rsid w:val="23250B57"/>
    <w:rsid w:val="242B7D20"/>
    <w:rsid w:val="25371D8A"/>
    <w:rsid w:val="26B042F3"/>
    <w:rsid w:val="27832A3D"/>
    <w:rsid w:val="27E16F8F"/>
    <w:rsid w:val="29762FD3"/>
    <w:rsid w:val="2A8B750B"/>
    <w:rsid w:val="2A927C4A"/>
    <w:rsid w:val="2B3164AF"/>
    <w:rsid w:val="2B6C5CDC"/>
    <w:rsid w:val="2BF11EA2"/>
    <w:rsid w:val="2C1C6B96"/>
    <w:rsid w:val="2C581F6B"/>
    <w:rsid w:val="2C6B545B"/>
    <w:rsid w:val="2D7C53E1"/>
    <w:rsid w:val="2F5918F0"/>
    <w:rsid w:val="31625962"/>
    <w:rsid w:val="32731544"/>
    <w:rsid w:val="32B017A4"/>
    <w:rsid w:val="334A1ACD"/>
    <w:rsid w:val="363F44C3"/>
    <w:rsid w:val="37B3136D"/>
    <w:rsid w:val="38342BB9"/>
    <w:rsid w:val="38814424"/>
    <w:rsid w:val="396D48A4"/>
    <w:rsid w:val="397765A5"/>
    <w:rsid w:val="39EC0333"/>
    <w:rsid w:val="3A674D20"/>
    <w:rsid w:val="3A9F2A57"/>
    <w:rsid w:val="3AE06AB4"/>
    <w:rsid w:val="3B963B2E"/>
    <w:rsid w:val="3BCE1784"/>
    <w:rsid w:val="3D27520B"/>
    <w:rsid w:val="3F6B581F"/>
    <w:rsid w:val="3F777B15"/>
    <w:rsid w:val="3FAB4069"/>
    <w:rsid w:val="409D00C6"/>
    <w:rsid w:val="4212218F"/>
    <w:rsid w:val="42A57908"/>
    <w:rsid w:val="437665D2"/>
    <w:rsid w:val="43E50FE8"/>
    <w:rsid w:val="45827344"/>
    <w:rsid w:val="47616264"/>
    <w:rsid w:val="477F64B0"/>
    <w:rsid w:val="47C86DC5"/>
    <w:rsid w:val="4ADB08E1"/>
    <w:rsid w:val="4ADD7B73"/>
    <w:rsid w:val="4BDD3BEB"/>
    <w:rsid w:val="4EB16B7D"/>
    <w:rsid w:val="507D11E2"/>
    <w:rsid w:val="50D95747"/>
    <w:rsid w:val="51722674"/>
    <w:rsid w:val="51EF6ECE"/>
    <w:rsid w:val="51F9245A"/>
    <w:rsid w:val="52881A27"/>
    <w:rsid w:val="52936030"/>
    <w:rsid w:val="53475E4D"/>
    <w:rsid w:val="53E205BF"/>
    <w:rsid w:val="5443040F"/>
    <w:rsid w:val="54B34C5A"/>
    <w:rsid w:val="57693433"/>
    <w:rsid w:val="58981ECA"/>
    <w:rsid w:val="5A5B6FF0"/>
    <w:rsid w:val="5CC76F92"/>
    <w:rsid w:val="5D8C1DA9"/>
    <w:rsid w:val="5E656CAA"/>
    <w:rsid w:val="5E786F68"/>
    <w:rsid w:val="5F937ED5"/>
    <w:rsid w:val="5FD13569"/>
    <w:rsid w:val="611F1D35"/>
    <w:rsid w:val="62456ADE"/>
    <w:rsid w:val="64023EA2"/>
    <w:rsid w:val="651A7356"/>
    <w:rsid w:val="67AA3107"/>
    <w:rsid w:val="68023B5F"/>
    <w:rsid w:val="684943AD"/>
    <w:rsid w:val="68504A97"/>
    <w:rsid w:val="687F20F0"/>
    <w:rsid w:val="69CC2ADD"/>
    <w:rsid w:val="69E678D7"/>
    <w:rsid w:val="6A532737"/>
    <w:rsid w:val="6A8036EE"/>
    <w:rsid w:val="6A8A64BB"/>
    <w:rsid w:val="6B601508"/>
    <w:rsid w:val="6BAF6231"/>
    <w:rsid w:val="6CF17E0D"/>
    <w:rsid w:val="6D1F2630"/>
    <w:rsid w:val="6D902334"/>
    <w:rsid w:val="6D95263A"/>
    <w:rsid w:val="6E1C473A"/>
    <w:rsid w:val="6E7F3F08"/>
    <w:rsid w:val="6EC946A0"/>
    <w:rsid w:val="6FC20423"/>
    <w:rsid w:val="6FF15A51"/>
    <w:rsid w:val="70985D82"/>
    <w:rsid w:val="71D60C6B"/>
    <w:rsid w:val="726A1900"/>
    <w:rsid w:val="731C0390"/>
    <w:rsid w:val="73340E58"/>
    <w:rsid w:val="73533DBE"/>
    <w:rsid w:val="739000AC"/>
    <w:rsid w:val="73FB3BE1"/>
    <w:rsid w:val="75FB063E"/>
    <w:rsid w:val="766D5115"/>
    <w:rsid w:val="77487241"/>
    <w:rsid w:val="77803CD0"/>
    <w:rsid w:val="78C7633E"/>
    <w:rsid w:val="7A544342"/>
    <w:rsid w:val="7AAB081B"/>
    <w:rsid w:val="7AE47522"/>
    <w:rsid w:val="7B2E1B40"/>
    <w:rsid w:val="7BA32A4C"/>
    <w:rsid w:val="7D513407"/>
    <w:rsid w:val="7DCC34F4"/>
    <w:rsid w:val="7F0F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2"/>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6">
    <w:name w:val="heading 3"/>
    <w:basedOn w:val="1"/>
    <w:next w:val="1"/>
    <w:link w:val="63"/>
    <w:unhideWhenUsed/>
    <w:qFormat/>
    <w:uiPriority w:val="0"/>
    <w:pPr>
      <w:keepNext/>
      <w:keepLines/>
      <w:spacing w:before="260" w:after="260" w:line="416" w:lineRule="auto"/>
      <w:outlineLvl w:val="2"/>
    </w:pPr>
    <w:rPr>
      <w:b/>
      <w:bCs/>
      <w:sz w:val="32"/>
      <w:szCs w:val="32"/>
    </w:rPr>
  </w:style>
  <w:style w:type="paragraph" w:styleId="7">
    <w:name w:val="heading 4"/>
    <w:basedOn w:val="1"/>
    <w:next w:val="8"/>
    <w:link w:val="92"/>
    <w:qFormat/>
    <w:uiPriority w:val="0"/>
    <w:pPr>
      <w:spacing w:before="60" w:after="60" w:line="360" w:lineRule="auto"/>
      <w:outlineLvl w:val="3"/>
    </w:pPr>
    <w:rPr>
      <w:b/>
      <w:bCs/>
      <w:sz w:val="24"/>
    </w:rPr>
  </w:style>
  <w:style w:type="paragraph" w:styleId="9">
    <w:name w:val="heading 5"/>
    <w:basedOn w:val="1"/>
    <w:next w:val="1"/>
    <w:link w:val="117"/>
    <w:qFormat/>
    <w:uiPriority w:val="0"/>
    <w:pPr>
      <w:keepNext/>
      <w:keepLines/>
      <w:spacing w:before="280" w:after="290" w:line="374" w:lineRule="auto"/>
      <w:outlineLvl w:val="4"/>
    </w:pPr>
    <w:rPr>
      <w:rFonts w:ascii="Times New Roman" w:hAnsi="Times New Roman"/>
      <w:b/>
      <w:bCs/>
      <w:sz w:val="28"/>
      <w:szCs w:val="28"/>
    </w:rPr>
  </w:style>
  <w:style w:type="paragraph" w:styleId="10">
    <w:name w:val="heading 6"/>
    <w:basedOn w:val="1"/>
    <w:next w:val="1"/>
    <w:link w:val="153"/>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11">
    <w:name w:val="heading 7"/>
    <w:basedOn w:val="1"/>
    <w:next w:val="1"/>
    <w:link w:val="154"/>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12">
    <w:name w:val="heading 8"/>
    <w:basedOn w:val="1"/>
    <w:next w:val="1"/>
    <w:link w:val="155"/>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3">
    <w:name w:val="heading 9"/>
    <w:basedOn w:val="1"/>
    <w:next w:val="1"/>
    <w:link w:val="156"/>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16"/>
    <w:qFormat/>
    <w:uiPriority w:val="0"/>
    <w:pPr>
      <w:snapToGrid w:val="0"/>
      <w:spacing w:line="360" w:lineRule="auto"/>
      <w:ind w:left="0" w:leftChars="0" w:firstLine="420" w:firstLineChars="200"/>
    </w:pPr>
    <w:rPr>
      <w:rFonts w:ascii="Tahoma" w:hAnsi="Tahoma" w:eastAsia="宋体"/>
      <w:sz w:val="28"/>
    </w:rPr>
  </w:style>
  <w:style w:type="paragraph" w:styleId="3">
    <w:name w:val="Body Text Indent"/>
    <w:basedOn w:val="1"/>
    <w:link w:val="95"/>
    <w:qFormat/>
    <w:uiPriority w:val="0"/>
    <w:pPr>
      <w:spacing w:after="120"/>
      <w:ind w:left="420" w:leftChars="200"/>
    </w:pPr>
    <w:rPr>
      <w:rFonts w:ascii="Times New Roman" w:hAnsi="Times New Roman" w:eastAsiaTheme="minorEastAsia" w:cstheme="minorBidi"/>
      <w:kern w:val="0"/>
      <w:sz w:val="20"/>
    </w:rPr>
  </w:style>
  <w:style w:type="paragraph" w:styleId="8">
    <w:name w:val="Body Text"/>
    <w:basedOn w:val="1"/>
    <w:link w:val="74"/>
    <w:unhideWhenUsed/>
    <w:qFormat/>
    <w:uiPriority w:val="0"/>
    <w:pPr>
      <w:spacing w:after="120"/>
    </w:pPr>
  </w:style>
  <w:style w:type="paragraph" w:styleId="14">
    <w:name w:val="toc 7"/>
    <w:basedOn w:val="1"/>
    <w:next w:val="1"/>
    <w:qFormat/>
    <w:uiPriority w:val="39"/>
    <w:pPr>
      <w:ind w:left="2520" w:leftChars="1200"/>
    </w:pPr>
    <w:rPr>
      <w:rFonts w:ascii="Times New Roman" w:hAnsi="Times New Roman"/>
    </w:rPr>
  </w:style>
  <w:style w:type="paragraph" w:styleId="15">
    <w:name w:val="List Bullet 4"/>
    <w:basedOn w:val="1"/>
    <w:qFormat/>
    <w:uiPriority w:val="0"/>
    <w:pPr>
      <w:tabs>
        <w:tab w:val="left" w:pos="1620"/>
      </w:tabs>
      <w:ind w:left="1620" w:hanging="360"/>
    </w:pPr>
    <w:rPr>
      <w:rFonts w:ascii="Times New Roman" w:hAnsi="Times New Roman"/>
    </w:rPr>
  </w:style>
  <w:style w:type="paragraph" w:styleId="16">
    <w:name w:val="index 8"/>
    <w:basedOn w:val="1"/>
    <w:next w:val="1"/>
    <w:qFormat/>
    <w:uiPriority w:val="0"/>
    <w:pPr>
      <w:ind w:left="1400" w:leftChars="1400"/>
    </w:pPr>
    <w:rPr>
      <w:rFonts w:ascii="Times New Roman" w:hAnsi="Times New Roman"/>
    </w:rPr>
  </w:style>
  <w:style w:type="paragraph" w:styleId="17">
    <w:name w:val="Normal Indent"/>
    <w:basedOn w:val="1"/>
    <w:link w:val="173"/>
    <w:qFormat/>
    <w:uiPriority w:val="0"/>
    <w:pPr>
      <w:ind w:firstLine="420" w:firstLineChars="200"/>
    </w:pPr>
    <w:rPr>
      <w:rFonts w:ascii="Times New Roman" w:hAnsi="Times New Roman"/>
    </w:rPr>
  </w:style>
  <w:style w:type="paragraph" w:styleId="18">
    <w:name w:val="caption"/>
    <w:basedOn w:val="1"/>
    <w:next w:val="1"/>
    <w:qFormat/>
    <w:uiPriority w:val="0"/>
    <w:pPr>
      <w:spacing w:before="152" w:after="160" w:line="360" w:lineRule="auto"/>
    </w:pPr>
    <w:rPr>
      <w:rFonts w:ascii="Arial" w:hAnsi="Arial" w:eastAsia="黑体" w:cs="Arial"/>
      <w:sz w:val="20"/>
      <w:szCs w:val="20"/>
    </w:rPr>
  </w:style>
  <w:style w:type="paragraph" w:styleId="19">
    <w:name w:val="Document Map"/>
    <w:basedOn w:val="1"/>
    <w:link w:val="89"/>
    <w:unhideWhenUsed/>
    <w:qFormat/>
    <w:uiPriority w:val="0"/>
    <w:rPr>
      <w:rFonts w:ascii="宋体"/>
      <w:sz w:val="18"/>
      <w:szCs w:val="18"/>
    </w:rPr>
  </w:style>
  <w:style w:type="paragraph" w:styleId="20">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1">
    <w:name w:val="annotation text"/>
    <w:basedOn w:val="1"/>
    <w:link w:val="90"/>
    <w:unhideWhenUsed/>
    <w:qFormat/>
    <w:uiPriority w:val="0"/>
    <w:pPr>
      <w:jc w:val="left"/>
    </w:pPr>
  </w:style>
  <w:style w:type="paragraph" w:styleId="22">
    <w:name w:val="Body Text 3"/>
    <w:basedOn w:val="1"/>
    <w:link w:val="118"/>
    <w:qFormat/>
    <w:uiPriority w:val="0"/>
    <w:pPr>
      <w:spacing w:after="120"/>
    </w:pPr>
    <w:rPr>
      <w:rFonts w:ascii="Times New Roman" w:hAnsi="Times New Roman" w:eastAsiaTheme="minorEastAsia" w:cstheme="minorBidi"/>
      <w:sz w:val="16"/>
      <w:szCs w:val="16"/>
    </w:rPr>
  </w:style>
  <w:style w:type="paragraph" w:styleId="23">
    <w:name w:val="toc 5"/>
    <w:basedOn w:val="1"/>
    <w:next w:val="1"/>
    <w:unhideWhenUsed/>
    <w:qFormat/>
    <w:uiPriority w:val="39"/>
    <w:pPr>
      <w:ind w:left="1680" w:leftChars="800"/>
    </w:pPr>
    <w:rPr>
      <w:szCs w:val="22"/>
    </w:rPr>
  </w:style>
  <w:style w:type="paragraph" w:styleId="2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5">
    <w:name w:val="Plain Text"/>
    <w:basedOn w:val="1"/>
    <w:link w:val="79"/>
    <w:qFormat/>
    <w:uiPriority w:val="0"/>
    <w:rPr>
      <w:rFonts w:ascii="宋体" w:hAnsi="Courier New" w:cstheme="minorBidi"/>
      <w:szCs w:val="22"/>
    </w:rPr>
  </w:style>
  <w:style w:type="paragraph" w:styleId="26">
    <w:name w:val="toc 8"/>
    <w:basedOn w:val="1"/>
    <w:next w:val="1"/>
    <w:unhideWhenUsed/>
    <w:qFormat/>
    <w:uiPriority w:val="39"/>
    <w:pPr>
      <w:ind w:left="2940" w:leftChars="1400"/>
    </w:pPr>
    <w:rPr>
      <w:szCs w:val="22"/>
    </w:rPr>
  </w:style>
  <w:style w:type="paragraph" w:styleId="27">
    <w:name w:val="Date"/>
    <w:basedOn w:val="1"/>
    <w:next w:val="1"/>
    <w:link w:val="86"/>
    <w:qFormat/>
    <w:uiPriority w:val="99"/>
    <w:pPr>
      <w:autoSpaceDE w:val="0"/>
      <w:autoSpaceDN w:val="0"/>
      <w:adjustRightInd w:val="0"/>
    </w:pPr>
    <w:rPr>
      <w:rFonts w:ascii="宋体" w:hAnsi="Times New Roman"/>
      <w:sz w:val="28"/>
    </w:rPr>
  </w:style>
  <w:style w:type="paragraph" w:styleId="28">
    <w:name w:val="Body Text Indent 2"/>
    <w:basedOn w:val="1"/>
    <w:link w:val="81"/>
    <w:unhideWhenUsed/>
    <w:qFormat/>
    <w:uiPriority w:val="0"/>
    <w:pPr>
      <w:spacing w:after="120" w:line="480" w:lineRule="auto"/>
      <w:ind w:left="420" w:leftChars="200"/>
    </w:pPr>
  </w:style>
  <w:style w:type="paragraph" w:styleId="29">
    <w:name w:val="endnote text"/>
    <w:basedOn w:val="1"/>
    <w:link w:val="123"/>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30">
    <w:name w:val="Balloon Text"/>
    <w:basedOn w:val="1"/>
    <w:link w:val="88"/>
    <w:unhideWhenUsed/>
    <w:qFormat/>
    <w:uiPriority w:val="0"/>
    <w:rPr>
      <w:sz w:val="18"/>
      <w:szCs w:val="18"/>
    </w:rPr>
  </w:style>
  <w:style w:type="paragraph" w:styleId="31">
    <w:name w:val="footer"/>
    <w:basedOn w:val="1"/>
    <w:link w:val="65"/>
    <w:unhideWhenUsed/>
    <w:qFormat/>
    <w:uiPriority w:val="99"/>
    <w:pPr>
      <w:tabs>
        <w:tab w:val="center" w:pos="4153"/>
        <w:tab w:val="right" w:pos="8306"/>
      </w:tabs>
      <w:snapToGrid w:val="0"/>
      <w:jc w:val="left"/>
    </w:pPr>
    <w:rPr>
      <w:sz w:val="18"/>
      <w:szCs w:val="18"/>
    </w:rPr>
  </w:style>
  <w:style w:type="paragraph" w:styleId="32">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Times New Roman" w:hAnsi="Times New Roman"/>
    </w:rPr>
  </w:style>
  <w:style w:type="paragraph" w:styleId="34">
    <w:name w:val="toc 4"/>
    <w:basedOn w:val="1"/>
    <w:next w:val="1"/>
    <w:unhideWhenUsed/>
    <w:qFormat/>
    <w:uiPriority w:val="39"/>
    <w:pPr>
      <w:ind w:left="1260" w:leftChars="600"/>
    </w:pPr>
    <w:rPr>
      <w:szCs w:val="22"/>
    </w:rPr>
  </w:style>
  <w:style w:type="paragraph" w:styleId="35">
    <w:name w:val="index heading"/>
    <w:basedOn w:val="1"/>
    <w:next w:val="36"/>
    <w:qFormat/>
    <w:uiPriority w:val="0"/>
    <w:rPr>
      <w:rFonts w:ascii="Times New Roman" w:hAnsi="Times New Roman"/>
      <w:szCs w:val="20"/>
    </w:rPr>
  </w:style>
  <w:style w:type="paragraph" w:styleId="36">
    <w:name w:val="index 1"/>
    <w:basedOn w:val="1"/>
    <w:next w:val="1"/>
    <w:qFormat/>
    <w:uiPriority w:val="0"/>
    <w:rPr>
      <w:rFonts w:ascii="Times New Roman" w:hAnsi="Times New Roman"/>
    </w:rPr>
  </w:style>
  <w:style w:type="paragraph" w:styleId="37">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38">
    <w:name w:val="footnote text"/>
    <w:basedOn w:val="1"/>
    <w:link w:val="122"/>
    <w:qFormat/>
    <w:uiPriority w:val="0"/>
    <w:pPr>
      <w:snapToGrid w:val="0"/>
      <w:jc w:val="left"/>
    </w:pPr>
    <w:rPr>
      <w:rFonts w:eastAsiaTheme="minorEastAsia"/>
      <w:sz w:val="18"/>
      <w:szCs w:val="18"/>
    </w:rPr>
  </w:style>
  <w:style w:type="paragraph" w:styleId="39">
    <w:name w:val="toc 6"/>
    <w:basedOn w:val="1"/>
    <w:next w:val="1"/>
    <w:unhideWhenUsed/>
    <w:qFormat/>
    <w:uiPriority w:val="39"/>
    <w:pPr>
      <w:ind w:left="2100" w:leftChars="1000"/>
    </w:pPr>
    <w:rPr>
      <w:szCs w:val="22"/>
    </w:rPr>
  </w:style>
  <w:style w:type="paragraph" w:styleId="40">
    <w:name w:val="Body Text Indent 3"/>
    <w:basedOn w:val="1"/>
    <w:link w:val="124"/>
    <w:qFormat/>
    <w:uiPriority w:val="0"/>
    <w:pPr>
      <w:spacing w:after="120"/>
      <w:ind w:left="420" w:leftChars="200"/>
    </w:pPr>
    <w:rPr>
      <w:sz w:val="16"/>
      <w:szCs w:val="16"/>
    </w:rPr>
  </w:style>
  <w:style w:type="paragraph" w:styleId="41">
    <w:name w:val="table of figures"/>
    <w:basedOn w:val="24"/>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2">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3">
    <w:name w:val="toc 9"/>
    <w:basedOn w:val="1"/>
    <w:next w:val="1"/>
    <w:unhideWhenUsed/>
    <w:qFormat/>
    <w:uiPriority w:val="39"/>
    <w:pPr>
      <w:ind w:left="3360" w:leftChars="1600"/>
    </w:pPr>
    <w:rPr>
      <w:szCs w:val="22"/>
    </w:rPr>
  </w:style>
  <w:style w:type="paragraph" w:styleId="44">
    <w:name w:val="Body Text 2"/>
    <w:basedOn w:val="1"/>
    <w:link w:val="128"/>
    <w:qFormat/>
    <w:uiPriority w:val="0"/>
    <w:pPr>
      <w:spacing w:line="360" w:lineRule="auto"/>
      <w:jc w:val="left"/>
    </w:pPr>
    <w:rPr>
      <w:rFonts w:ascii="Times New Roman" w:hAnsi="Times New Roman" w:eastAsiaTheme="minorEastAsia" w:cstheme="minorBidi"/>
      <w:b/>
      <w:bCs/>
      <w:szCs w:val="21"/>
    </w:rPr>
  </w:style>
  <w:style w:type="paragraph" w:styleId="45">
    <w:name w:val="HTML Preformatted"/>
    <w:basedOn w:val="1"/>
    <w:link w:val="12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6">
    <w:name w:val="Normal (Web)"/>
    <w:basedOn w:val="1"/>
    <w:link w:val="152"/>
    <w:qFormat/>
    <w:uiPriority w:val="0"/>
    <w:pPr>
      <w:widowControl/>
      <w:spacing w:before="100" w:beforeAutospacing="1" w:after="100" w:afterAutospacing="1"/>
      <w:jc w:val="left"/>
    </w:pPr>
    <w:rPr>
      <w:rFonts w:ascii="宋体" w:hAnsi="宋体"/>
      <w:kern w:val="0"/>
      <w:sz w:val="15"/>
      <w:szCs w:val="15"/>
    </w:rPr>
  </w:style>
  <w:style w:type="paragraph" w:styleId="47">
    <w:name w:val="Title"/>
    <w:basedOn w:val="1"/>
    <w:link w:val="178"/>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48">
    <w:name w:val="annotation subject"/>
    <w:basedOn w:val="21"/>
    <w:next w:val="21"/>
    <w:link w:val="91"/>
    <w:unhideWhenUsed/>
    <w:qFormat/>
    <w:uiPriority w:val="99"/>
    <w:rPr>
      <w:b/>
      <w:bCs/>
    </w:rPr>
  </w:style>
  <w:style w:type="paragraph" w:styleId="49">
    <w:name w:val="Body Text First Indent"/>
    <w:basedOn w:val="8"/>
    <w:link w:val="78"/>
    <w:qFormat/>
    <w:uiPriority w:val="0"/>
    <w:pPr>
      <w:ind w:firstLine="420" w:firstLineChars="100"/>
    </w:pPr>
    <w:rPr>
      <w:rFonts w:ascii="宋体" w:hAnsi="Times New Roman"/>
    </w:rPr>
  </w:style>
  <w:style w:type="table" w:styleId="51">
    <w:name w:val="Table Grid"/>
    <w:basedOn w:val="5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TML Typewriter"/>
    <w:qFormat/>
    <w:uiPriority w:val="0"/>
    <w:rPr>
      <w:rFonts w:ascii="宋体" w:hAnsi="宋体" w:eastAsia="宋体" w:cs="宋体"/>
      <w:sz w:val="24"/>
      <w:szCs w:val="24"/>
    </w:rPr>
  </w:style>
  <w:style w:type="character" w:styleId="58">
    <w:name w:val="Hyperlink"/>
    <w:basedOn w:val="52"/>
    <w:unhideWhenUsed/>
    <w:qFormat/>
    <w:uiPriority w:val="99"/>
    <w:rPr>
      <w:color w:val="0000FF" w:themeColor="hyperlink"/>
      <w:u w:val="single"/>
      <w14:textFill>
        <w14:solidFill>
          <w14:schemeClr w14:val="hlink"/>
        </w14:solidFill>
      </w14:textFill>
    </w:rPr>
  </w:style>
  <w:style w:type="character" w:styleId="59">
    <w:name w:val="annotation reference"/>
    <w:basedOn w:val="52"/>
    <w:qFormat/>
    <w:uiPriority w:val="0"/>
    <w:rPr>
      <w:rFonts w:ascii="Verdana" w:hAnsi="Verdana" w:eastAsia="仿宋_GB2312"/>
      <w:kern w:val="0"/>
      <w:sz w:val="21"/>
      <w:szCs w:val="21"/>
      <w:lang w:eastAsia="en-US"/>
    </w:rPr>
  </w:style>
  <w:style w:type="character" w:styleId="60">
    <w:name w:val="footnote reference"/>
    <w:qFormat/>
    <w:uiPriority w:val="0"/>
    <w:rPr>
      <w:vertAlign w:val="superscript"/>
    </w:rPr>
  </w:style>
  <w:style w:type="character" w:customStyle="1" w:styleId="61">
    <w:name w:val="标题 1 字符"/>
    <w:basedOn w:val="52"/>
    <w:link w:val="4"/>
    <w:qFormat/>
    <w:uiPriority w:val="0"/>
    <w:rPr>
      <w:rFonts w:ascii="Calibri" w:hAnsi="Calibri" w:eastAsia="宋体" w:cs="Times New Roman"/>
      <w:b/>
      <w:bCs/>
      <w:kern w:val="44"/>
      <w:sz w:val="44"/>
      <w:szCs w:val="44"/>
    </w:rPr>
  </w:style>
  <w:style w:type="character" w:customStyle="1" w:styleId="62">
    <w:name w:val="标题 2 字符"/>
    <w:basedOn w:val="52"/>
    <w:link w:val="5"/>
    <w:qFormat/>
    <w:uiPriority w:val="0"/>
    <w:rPr>
      <w:rFonts w:ascii="Arial" w:hAnsi="Arial" w:eastAsia="黑体" w:cs="Times New Roman"/>
      <w:b/>
      <w:kern w:val="0"/>
      <w:sz w:val="32"/>
      <w:szCs w:val="20"/>
    </w:rPr>
  </w:style>
  <w:style w:type="character" w:customStyle="1" w:styleId="63">
    <w:name w:val="标题 3 字符"/>
    <w:basedOn w:val="52"/>
    <w:link w:val="6"/>
    <w:qFormat/>
    <w:uiPriority w:val="0"/>
    <w:rPr>
      <w:rFonts w:ascii="Calibri" w:hAnsi="Calibri" w:eastAsia="宋体" w:cs="Times New Roman"/>
      <w:b/>
      <w:bCs/>
      <w:sz w:val="32"/>
      <w:szCs w:val="32"/>
    </w:rPr>
  </w:style>
  <w:style w:type="character" w:customStyle="1" w:styleId="64">
    <w:name w:val="页眉 字符"/>
    <w:basedOn w:val="52"/>
    <w:link w:val="32"/>
    <w:qFormat/>
    <w:uiPriority w:val="99"/>
    <w:rPr>
      <w:sz w:val="18"/>
      <w:szCs w:val="18"/>
    </w:rPr>
  </w:style>
  <w:style w:type="character" w:customStyle="1" w:styleId="65">
    <w:name w:val="页脚 字符"/>
    <w:basedOn w:val="52"/>
    <w:link w:val="31"/>
    <w:qFormat/>
    <w:uiPriority w:val="99"/>
    <w:rPr>
      <w:sz w:val="18"/>
      <w:szCs w:val="18"/>
    </w:rPr>
  </w:style>
  <w:style w:type="paragraph" w:customStyle="1" w:styleId="66">
    <w:name w:val="列出段落1"/>
    <w:basedOn w:val="1"/>
    <w:qFormat/>
    <w:uiPriority w:val="0"/>
    <w:pPr>
      <w:ind w:firstLine="420" w:firstLineChars="200"/>
    </w:pPr>
  </w:style>
  <w:style w:type="paragraph" w:customStyle="1" w:styleId="67">
    <w:name w:val="正文缩进2格"/>
    <w:basedOn w:val="1"/>
    <w:link w:val="68"/>
    <w:qFormat/>
    <w:uiPriority w:val="0"/>
    <w:pPr>
      <w:spacing w:line="600" w:lineRule="exact"/>
      <w:ind w:firstLine="639" w:firstLineChars="206"/>
    </w:pPr>
    <w:rPr>
      <w:rFonts w:ascii="仿宋_GB2312" w:hAnsi="宋体" w:eastAsia="仿宋_GB2312"/>
      <w:sz w:val="31"/>
      <w:szCs w:val="28"/>
    </w:rPr>
  </w:style>
  <w:style w:type="character" w:customStyle="1" w:styleId="68">
    <w:name w:val="正文缩进2格 Char"/>
    <w:link w:val="67"/>
    <w:qFormat/>
    <w:uiPriority w:val="0"/>
    <w:rPr>
      <w:rFonts w:ascii="仿宋_GB2312" w:hAnsi="宋体" w:eastAsia="仿宋_GB2312" w:cs="Times New Roman"/>
      <w:sz w:val="31"/>
      <w:szCs w:val="28"/>
    </w:rPr>
  </w:style>
  <w:style w:type="paragraph" w:customStyle="1" w:styleId="69">
    <w:name w:val="标题 3.1"/>
    <w:basedOn w:val="6"/>
    <w:link w:val="70"/>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0">
    <w:name w:val="标题 3.1 Char"/>
    <w:link w:val="69"/>
    <w:qFormat/>
    <w:uiPriority w:val="0"/>
    <w:rPr>
      <w:rFonts w:ascii="黑体" w:hAnsi="华文仿宋" w:eastAsia="黑体" w:cs="Times New Roman"/>
      <w:b/>
      <w:sz w:val="24"/>
      <w:szCs w:val="24"/>
    </w:rPr>
  </w:style>
  <w:style w:type="paragraph" w:customStyle="1" w:styleId="71">
    <w:name w:val="正文缩进4格"/>
    <w:basedOn w:val="67"/>
    <w:qFormat/>
    <w:uiPriority w:val="0"/>
    <w:pPr>
      <w:ind w:left="2" w:firstLine="403" w:firstLineChars="192"/>
    </w:pPr>
    <w:rPr>
      <w:sz w:val="21"/>
      <w:szCs w:val="21"/>
    </w:rPr>
  </w:style>
  <w:style w:type="character" w:customStyle="1" w:styleId="72">
    <w:name w:val="正文缩进 Char"/>
    <w:qFormat/>
    <w:uiPriority w:val="0"/>
    <w:rPr>
      <w:rFonts w:eastAsia="宋体"/>
      <w:lang w:val="en-US" w:eastAsia="zh-CN" w:bidi="ar-SA"/>
    </w:rPr>
  </w:style>
  <w:style w:type="paragraph" w:customStyle="1" w:styleId="73">
    <w:name w:val="保留正文"/>
    <w:basedOn w:val="8"/>
    <w:qFormat/>
    <w:uiPriority w:val="0"/>
    <w:pPr>
      <w:keepNext/>
      <w:spacing w:after="160"/>
    </w:pPr>
    <w:rPr>
      <w:rFonts w:ascii="Times New Roman" w:hAnsi="Times New Roman"/>
    </w:rPr>
  </w:style>
  <w:style w:type="character" w:customStyle="1" w:styleId="74">
    <w:name w:val="正文文本 字符"/>
    <w:basedOn w:val="52"/>
    <w:link w:val="8"/>
    <w:qFormat/>
    <w:uiPriority w:val="0"/>
    <w:rPr>
      <w:rFonts w:ascii="Calibri" w:hAnsi="Calibri" w:eastAsia="宋体" w:cs="Times New Roman"/>
      <w:szCs w:val="24"/>
    </w:rPr>
  </w:style>
  <w:style w:type="paragraph" w:customStyle="1" w:styleId="7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6">
    <w:name w:val="Char Char Char Char"/>
    <w:basedOn w:val="1"/>
    <w:qFormat/>
    <w:uiPriority w:val="0"/>
    <w:rPr>
      <w:rFonts w:ascii="Tahoma" w:hAnsi="Tahoma"/>
      <w:sz w:val="24"/>
      <w:szCs w:val="20"/>
    </w:rPr>
  </w:style>
  <w:style w:type="character" w:customStyle="1" w:styleId="77">
    <w:name w:val="标题1"/>
    <w:basedOn w:val="52"/>
    <w:qFormat/>
    <w:uiPriority w:val="0"/>
  </w:style>
  <w:style w:type="character" w:customStyle="1" w:styleId="78">
    <w:name w:val="正文文本首行缩进 字符"/>
    <w:basedOn w:val="74"/>
    <w:link w:val="49"/>
    <w:qFormat/>
    <w:uiPriority w:val="0"/>
    <w:rPr>
      <w:rFonts w:ascii="宋体" w:hAnsi="Times New Roman" w:eastAsia="宋体" w:cs="Times New Roman"/>
      <w:szCs w:val="24"/>
    </w:rPr>
  </w:style>
  <w:style w:type="character" w:customStyle="1" w:styleId="79">
    <w:name w:val="纯文本 字符"/>
    <w:link w:val="25"/>
    <w:qFormat/>
    <w:uiPriority w:val="99"/>
    <w:rPr>
      <w:rFonts w:ascii="宋体" w:hAnsi="Courier New" w:eastAsia="宋体"/>
    </w:rPr>
  </w:style>
  <w:style w:type="character" w:customStyle="1" w:styleId="80">
    <w:name w:val="纯文本 Char1"/>
    <w:basedOn w:val="52"/>
    <w:semiHidden/>
    <w:qFormat/>
    <w:uiPriority w:val="99"/>
    <w:rPr>
      <w:rFonts w:ascii="宋体" w:hAnsi="Courier New" w:eastAsia="宋体" w:cs="Courier New"/>
      <w:szCs w:val="21"/>
    </w:rPr>
  </w:style>
  <w:style w:type="character" w:customStyle="1" w:styleId="81">
    <w:name w:val="正文文本缩进 2 字符"/>
    <w:basedOn w:val="52"/>
    <w:link w:val="28"/>
    <w:qFormat/>
    <w:uiPriority w:val="0"/>
    <w:rPr>
      <w:rFonts w:ascii="Calibri" w:hAnsi="Calibri" w:eastAsia="宋体" w:cs="Times New Roman"/>
      <w:szCs w:val="24"/>
    </w:rPr>
  </w:style>
  <w:style w:type="character" w:customStyle="1" w:styleId="82">
    <w:name w:val="标题 2 Char1"/>
    <w:qFormat/>
    <w:locked/>
    <w:uiPriority w:val="0"/>
    <w:rPr>
      <w:rFonts w:ascii="Arial" w:hAnsi="Arial" w:eastAsia="黑体"/>
      <w:b/>
      <w:sz w:val="32"/>
      <w:lang w:val="en-US" w:eastAsia="zh-CN" w:bidi="ar-SA"/>
    </w:rPr>
  </w:style>
  <w:style w:type="paragraph" w:customStyle="1" w:styleId="83">
    <w:name w:val="正文无缩进"/>
    <w:basedOn w:val="67"/>
    <w:link w:val="84"/>
    <w:qFormat/>
    <w:uiPriority w:val="0"/>
    <w:pPr>
      <w:ind w:firstLine="0" w:firstLineChars="0"/>
    </w:pPr>
  </w:style>
  <w:style w:type="character" w:customStyle="1" w:styleId="84">
    <w:name w:val="正文无缩进 Char"/>
    <w:link w:val="83"/>
    <w:qFormat/>
    <w:locked/>
    <w:uiPriority w:val="0"/>
    <w:rPr>
      <w:rFonts w:ascii="仿宋_GB2312" w:hAnsi="宋体" w:eastAsia="仿宋_GB2312" w:cs="Times New Roman"/>
      <w:sz w:val="31"/>
      <w:szCs w:val="28"/>
    </w:rPr>
  </w:style>
  <w:style w:type="paragraph" w:customStyle="1" w:styleId="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6">
    <w:name w:val="日期 字符"/>
    <w:basedOn w:val="52"/>
    <w:link w:val="27"/>
    <w:qFormat/>
    <w:uiPriority w:val="99"/>
    <w:rPr>
      <w:rFonts w:ascii="宋体" w:hAnsi="Times New Roman" w:eastAsia="宋体" w:cs="Times New Roman"/>
      <w:sz w:val="28"/>
      <w:szCs w:val="24"/>
    </w:rPr>
  </w:style>
  <w:style w:type="paragraph" w:customStyle="1" w:styleId="87">
    <w:name w:val="TOC 标题1"/>
    <w:basedOn w:val="4"/>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批注框文本 字符"/>
    <w:basedOn w:val="52"/>
    <w:link w:val="30"/>
    <w:qFormat/>
    <w:uiPriority w:val="0"/>
    <w:rPr>
      <w:rFonts w:ascii="Calibri" w:hAnsi="Calibri" w:eastAsia="宋体" w:cs="Times New Roman"/>
      <w:sz w:val="18"/>
      <w:szCs w:val="18"/>
    </w:rPr>
  </w:style>
  <w:style w:type="character" w:customStyle="1" w:styleId="89">
    <w:name w:val="文档结构图 字符"/>
    <w:basedOn w:val="52"/>
    <w:link w:val="19"/>
    <w:qFormat/>
    <w:uiPriority w:val="0"/>
    <w:rPr>
      <w:rFonts w:ascii="宋体" w:hAnsi="Calibri" w:eastAsia="宋体" w:cs="Times New Roman"/>
      <w:sz w:val="18"/>
      <w:szCs w:val="18"/>
    </w:rPr>
  </w:style>
  <w:style w:type="character" w:customStyle="1" w:styleId="90">
    <w:name w:val="批注文字 字符"/>
    <w:basedOn w:val="52"/>
    <w:link w:val="21"/>
    <w:qFormat/>
    <w:uiPriority w:val="0"/>
    <w:rPr>
      <w:rFonts w:ascii="Calibri" w:hAnsi="Calibri" w:eastAsia="宋体" w:cs="Times New Roman"/>
      <w:szCs w:val="24"/>
    </w:rPr>
  </w:style>
  <w:style w:type="character" w:customStyle="1" w:styleId="91">
    <w:name w:val="批注主题 字符"/>
    <w:basedOn w:val="90"/>
    <w:link w:val="48"/>
    <w:qFormat/>
    <w:uiPriority w:val="99"/>
    <w:rPr>
      <w:rFonts w:ascii="Calibri" w:hAnsi="Calibri" w:eastAsia="宋体" w:cs="Times New Roman"/>
      <w:b/>
      <w:bCs/>
      <w:szCs w:val="24"/>
    </w:rPr>
  </w:style>
  <w:style w:type="character" w:customStyle="1" w:styleId="92">
    <w:name w:val="标题 4 字符"/>
    <w:basedOn w:val="52"/>
    <w:link w:val="7"/>
    <w:qFormat/>
    <w:uiPriority w:val="0"/>
    <w:rPr>
      <w:rFonts w:ascii="Calibri" w:hAnsi="Calibri" w:eastAsia="宋体" w:cs="Times New Roman"/>
      <w:b/>
      <w:bCs/>
      <w:kern w:val="2"/>
      <w:sz w:val="24"/>
      <w:szCs w:val="24"/>
    </w:rPr>
  </w:style>
  <w:style w:type="character" w:customStyle="1" w:styleId="93">
    <w:name w:val="Font Style21"/>
    <w:qFormat/>
    <w:uiPriority w:val="0"/>
    <w:rPr>
      <w:rFonts w:ascii="Arial Narrow" w:hAnsi="Arial Narrow" w:cs="Arial Narrow"/>
      <w:sz w:val="16"/>
      <w:szCs w:val="16"/>
    </w:rPr>
  </w:style>
  <w:style w:type="character" w:customStyle="1" w:styleId="94">
    <w:name w:val="bumpedfont15"/>
    <w:qFormat/>
    <w:uiPriority w:val="0"/>
    <w:rPr>
      <w:rFonts w:cs="Times New Roman"/>
    </w:rPr>
  </w:style>
  <w:style w:type="character" w:customStyle="1" w:styleId="95">
    <w:name w:val="正文文本缩进 字符"/>
    <w:link w:val="3"/>
    <w:qFormat/>
    <w:uiPriority w:val="0"/>
    <w:rPr>
      <w:rFonts w:ascii="Times New Roman" w:hAnsi="Times New Roman"/>
      <w:szCs w:val="24"/>
    </w:rPr>
  </w:style>
  <w:style w:type="character" w:customStyle="1" w:styleId="96">
    <w:name w:val="列出段落 Char"/>
    <w:link w:val="97"/>
    <w:qFormat/>
    <w:uiPriority w:val="0"/>
    <w:rPr>
      <w:rFonts w:ascii="Times New Roman" w:hAnsi="Times New Roman"/>
      <w:szCs w:val="24"/>
    </w:rPr>
  </w:style>
  <w:style w:type="paragraph" w:customStyle="1" w:styleId="97">
    <w:name w:val="列出段落2"/>
    <w:basedOn w:val="1"/>
    <w:link w:val="96"/>
    <w:qFormat/>
    <w:uiPriority w:val="99"/>
    <w:pPr>
      <w:ind w:firstLine="420" w:firstLineChars="200"/>
    </w:pPr>
    <w:rPr>
      <w:rFonts w:ascii="Times New Roman" w:hAnsi="Times New Roman" w:eastAsiaTheme="minorEastAsia" w:cstheme="minorBidi"/>
      <w:kern w:val="0"/>
      <w:sz w:val="20"/>
    </w:rPr>
  </w:style>
  <w:style w:type="character" w:customStyle="1" w:styleId="98">
    <w:name w:val="正文文本缩进 Char1"/>
    <w:basedOn w:val="52"/>
    <w:semiHidden/>
    <w:qFormat/>
    <w:uiPriority w:val="99"/>
    <w:rPr>
      <w:rFonts w:ascii="Calibri" w:hAnsi="Calibri" w:eastAsia="宋体" w:cs="Times New Roman"/>
      <w:kern w:val="2"/>
      <w:sz w:val="21"/>
      <w:szCs w:val="24"/>
    </w:rPr>
  </w:style>
  <w:style w:type="paragraph" w:customStyle="1" w:styleId="99">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列出段落11"/>
    <w:basedOn w:val="1"/>
    <w:qFormat/>
    <w:uiPriority w:val="99"/>
    <w:pPr>
      <w:ind w:firstLine="420" w:firstLineChars="200"/>
    </w:pPr>
  </w:style>
  <w:style w:type="paragraph" w:customStyle="1" w:styleId="105">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Char Char3"/>
    <w:basedOn w:val="1"/>
    <w:qFormat/>
    <w:uiPriority w:val="0"/>
    <w:pPr>
      <w:widowControl/>
      <w:spacing w:after="160" w:line="240" w:lineRule="exact"/>
      <w:jc w:val="center"/>
    </w:pPr>
    <w:rPr>
      <w:rFonts w:ascii="Times New Roman" w:hAnsi="Times New Roman"/>
    </w:rPr>
  </w:style>
  <w:style w:type="paragraph" w:customStyle="1" w:styleId="108">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修订1"/>
    <w:unhideWhenUsed/>
    <w:qFormat/>
    <w:uiPriority w:val="99"/>
    <w:rPr>
      <w:rFonts w:ascii="Calibri" w:hAnsi="Calibri" w:eastAsia="宋体" w:cs="Times New Roman"/>
      <w:kern w:val="2"/>
      <w:sz w:val="21"/>
      <w:szCs w:val="24"/>
      <w:lang w:val="en-US" w:eastAsia="zh-CN" w:bidi="ar-SA"/>
    </w:rPr>
  </w:style>
  <w:style w:type="paragraph" w:customStyle="1" w:styleId="110">
    <w:name w:val="Char Char Char"/>
    <w:basedOn w:val="1"/>
    <w:qFormat/>
    <w:uiPriority w:val="0"/>
    <w:pPr>
      <w:widowControl/>
      <w:spacing w:after="160" w:line="360" w:lineRule="auto"/>
      <w:jc w:val="left"/>
    </w:pPr>
    <w:rPr>
      <w:rFonts w:ascii="Verdana" w:hAnsi="Verdana"/>
      <w:kern w:val="0"/>
      <w:szCs w:val="20"/>
      <w:lang w:eastAsia="en-US"/>
    </w:rPr>
  </w:style>
  <w:style w:type="paragraph" w:styleId="111">
    <w:name w:val="List Paragraph"/>
    <w:basedOn w:val="1"/>
    <w:link w:val="170"/>
    <w:unhideWhenUsed/>
    <w:qFormat/>
    <w:uiPriority w:val="34"/>
    <w:pPr>
      <w:ind w:firstLine="420" w:firstLineChars="200"/>
    </w:pPr>
  </w:style>
  <w:style w:type="paragraph" w:customStyle="1" w:styleId="112">
    <w:name w:val="修订2"/>
    <w:hidden/>
    <w:semiHidden/>
    <w:qFormat/>
    <w:uiPriority w:val="99"/>
    <w:rPr>
      <w:rFonts w:ascii="Calibri" w:hAnsi="Calibri" w:eastAsia="宋体" w:cs="Times New Roman"/>
      <w:kern w:val="2"/>
      <w:sz w:val="21"/>
      <w:szCs w:val="24"/>
      <w:lang w:val="en-US" w:eastAsia="zh-CN" w:bidi="ar-SA"/>
    </w:rPr>
  </w:style>
  <w:style w:type="paragraph" w:customStyle="1" w:styleId="113">
    <w:name w:val="p0"/>
    <w:basedOn w:val="1"/>
    <w:qFormat/>
    <w:uiPriority w:val="0"/>
    <w:pPr>
      <w:widowControl/>
    </w:pPr>
    <w:rPr>
      <w:rFonts w:ascii="Times New Roman" w:hAnsi="Times New Roman"/>
      <w:kern w:val="0"/>
      <w:szCs w:val="21"/>
    </w:rPr>
  </w:style>
  <w:style w:type="paragraph" w:customStyle="1" w:styleId="114">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5">
    <w:name w:val="未处理的提及1"/>
    <w:basedOn w:val="52"/>
    <w:semiHidden/>
    <w:unhideWhenUsed/>
    <w:qFormat/>
    <w:uiPriority w:val="99"/>
    <w:rPr>
      <w:color w:val="605E5C"/>
      <w:shd w:val="clear" w:color="auto" w:fill="E1DFDD"/>
    </w:rPr>
  </w:style>
  <w:style w:type="character" w:customStyle="1" w:styleId="116">
    <w:name w:val="未处理的提及2"/>
    <w:basedOn w:val="52"/>
    <w:semiHidden/>
    <w:unhideWhenUsed/>
    <w:qFormat/>
    <w:uiPriority w:val="99"/>
    <w:rPr>
      <w:color w:val="605E5C"/>
      <w:shd w:val="clear" w:color="auto" w:fill="E1DFDD"/>
    </w:rPr>
  </w:style>
  <w:style w:type="character" w:customStyle="1" w:styleId="117">
    <w:name w:val="标题 5 字符"/>
    <w:basedOn w:val="52"/>
    <w:link w:val="9"/>
    <w:qFormat/>
    <w:uiPriority w:val="0"/>
    <w:rPr>
      <w:rFonts w:ascii="Times New Roman" w:hAnsi="Times New Roman" w:eastAsia="宋体" w:cs="Times New Roman"/>
      <w:b/>
      <w:bCs/>
      <w:kern w:val="2"/>
      <w:sz w:val="28"/>
      <w:szCs w:val="28"/>
    </w:rPr>
  </w:style>
  <w:style w:type="character" w:customStyle="1" w:styleId="118">
    <w:name w:val="正文文本 3 字符"/>
    <w:link w:val="22"/>
    <w:qFormat/>
    <w:uiPriority w:val="0"/>
    <w:rPr>
      <w:rFonts w:ascii="Times New Roman" w:hAnsi="Times New Roman"/>
      <w:kern w:val="2"/>
      <w:sz w:val="16"/>
      <w:szCs w:val="16"/>
    </w:rPr>
  </w:style>
  <w:style w:type="character" w:customStyle="1" w:styleId="119">
    <w:name w:val="1 Char Char"/>
    <w:link w:val="120"/>
    <w:qFormat/>
    <w:uiPriority w:val="99"/>
    <w:rPr>
      <w:rFonts w:ascii="宋体" w:hAnsi="宋体"/>
      <w:szCs w:val="21"/>
    </w:rPr>
  </w:style>
  <w:style w:type="paragraph" w:customStyle="1" w:styleId="120">
    <w:name w:val="1"/>
    <w:basedOn w:val="1"/>
    <w:link w:val="119"/>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1">
    <w:name w:val="Plain Text Char"/>
    <w:qFormat/>
    <w:locked/>
    <w:uiPriority w:val="0"/>
    <w:rPr>
      <w:rFonts w:ascii="宋体" w:hAnsi="Courier New" w:eastAsia="方正书宋简体" w:cs="Times New Roman"/>
      <w:sz w:val="20"/>
      <w:szCs w:val="20"/>
    </w:rPr>
  </w:style>
  <w:style w:type="character" w:customStyle="1" w:styleId="122">
    <w:name w:val="脚注文本 字符"/>
    <w:link w:val="38"/>
    <w:qFormat/>
    <w:uiPriority w:val="0"/>
    <w:rPr>
      <w:rFonts w:ascii="Calibri" w:hAnsi="Calibri" w:cs="Times New Roman"/>
      <w:kern w:val="2"/>
      <w:sz w:val="18"/>
      <w:szCs w:val="18"/>
    </w:rPr>
  </w:style>
  <w:style w:type="character" w:customStyle="1" w:styleId="123">
    <w:name w:val="尾注文本 字符"/>
    <w:link w:val="29"/>
    <w:qFormat/>
    <w:uiPriority w:val="0"/>
    <w:rPr>
      <w:rFonts w:ascii="Times New Roman" w:hAnsi="Times New Roman"/>
      <w:sz w:val="24"/>
    </w:rPr>
  </w:style>
  <w:style w:type="character" w:customStyle="1" w:styleId="124">
    <w:name w:val="正文文本缩进 3 字符"/>
    <w:link w:val="40"/>
    <w:qFormat/>
    <w:uiPriority w:val="0"/>
    <w:rPr>
      <w:rFonts w:ascii="Calibri" w:hAnsi="Calibri" w:eastAsia="宋体" w:cs="Times New Roman"/>
      <w:kern w:val="2"/>
      <w:sz w:val="16"/>
      <w:szCs w:val="16"/>
    </w:rPr>
  </w:style>
  <w:style w:type="character" w:customStyle="1" w:styleId="125">
    <w:name w:val="2 Char Char"/>
    <w:link w:val="126"/>
    <w:qFormat/>
    <w:uiPriority w:val="0"/>
    <w:rPr>
      <w:rFonts w:ascii="宋体" w:hAnsi="宋体" w:cs="宋体"/>
      <w:b/>
      <w:color w:val="000000"/>
      <w:sz w:val="24"/>
      <w:szCs w:val="24"/>
    </w:rPr>
  </w:style>
  <w:style w:type="paragraph" w:customStyle="1" w:styleId="126">
    <w:name w:val="2"/>
    <w:basedOn w:val="1"/>
    <w:link w:val="125"/>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7">
    <w:name w:val="标题2"/>
    <w:basedOn w:val="52"/>
    <w:qFormat/>
    <w:uiPriority w:val="0"/>
  </w:style>
  <w:style w:type="character" w:customStyle="1" w:styleId="128">
    <w:name w:val="正文文本 2 字符"/>
    <w:link w:val="44"/>
    <w:qFormat/>
    <w:uiPriority w:val="0"/>
    <w:rPr>
      <w:rFonts w:ascii="Times New Roman" w:hAnsi="Times New Roman"/>
      <w:b/>
      <w:bCs/>
      <w:kern w:val="2"/>
      <w:sz w:val="21"/>
      <w:szCs w:val="21"/>
    </w:rPr>
  </w:style>
  <w:style w:type="character" w:customStyle="1" w:styleId="129">
    <w:name w:val="HTML 预设格式 字符"/>
    <w:link w:val="45"/>
    <w:qFormat/>
    <w:uiPriority w:val="0"/>
    <w:rPr>
      <w:rFonts w:ascii="宋体" w:hAnsi="宋体" w:cs="宋体"/>
      <w:sz w:val="24"/>
      <w:szCs w:val="24"/>
    </w:rPr>
  </w:style>
  <w:style w:type="character" w:customStyle="1" w:styleId="130">
    <w:name w:val="正文文本缩进 3 Char"/>
    <w:qFormat/>
    <w:uiPriority w:val="0"/>
    <w:rPr>
      <w:kern w:val="2"/>
      <w:sz w:val="16"/>
      <w:szCs w:val="16"/>
    </w:rPr>
  </w:style>
  <w:style w:type="character" w:customStyle="1" w:styleId="131">
    <w:name w:val="脚注文本 Char"/>
    <w:qFormat/>
    <w:uiPriority w:val="0"/>
    <w:rPr>
      <w:kern w:val="2"/>
      <w:sz w:val="18"/>
      <w:szCs w:val="18"/>
    </w:rPr>
  </w:style>
  <w:style w:type="character" w:customStyle="1" w:styleId="132">
    <w:name w:val="脚注文本 Char2"/>
    <w:basedOn w:val="52"/>
    <w:semiHidden/>
    <w:qFormat/>
    <w:uiPriority w:val="99"/>
    <w:rPr>
      <w:rFonts w:ascii="Calibri" w:hAnsi="Calibri" w:eastAsia="宋体" w:cs="Times New Roman"/>
      <w:kern w:val="2"/>
      <w:sz w:val="18"/>
      <w:szCs w:val="18"/>
    </w:rPr>
  </w:style>
  <w:style w:type="character" w:customStyle="1" w:styleId="133">
    <w:name w:val="正文文本 3 Char1"/>
    <w:basedOn w:val="52"/>
    <w:semiHidden/>
    <w:qFormat/>
    <w:uiPriority w:val="99"/>
    <w:rPr>
      <w:rFonts w:ascii="Calibri" w:hAnsi="Calibri" w:eastAsia="宋体" w:cs="Times New Roman"/>
      <w:kern w:val="2"/>
      <w:sz w:val="16"/>
      <w:szCs w:val="16"/>
    </w:rPr>
  </w:style>
  <w:style w:type="character" w:customStyle="1" w:styleId="134">
    <w:name w:val="HTML 预设格式 Char1"/>
    <w:basedOn w:val="52"/>
    <w:semiHidden/>
    <w:qFormat/>
    <w:uiPriority w:val="99"/>
    <w:rPr>
      <w:rFonts w:ascii="Courier New" w:hAnsi="Courier New" w:eastAsia="宋体" w:cs="Courier New"/>
      <w:kern w:val="2"/>
    </w:rPr>
  </w:style>
  <w:style w:type="character" w:customStyle="1" w:styleId="135">
    <w:name w:val="正文文本 2 Char1"/>
    <w:basedOn w:val="52"/>
    <w:semiHidden/>
    <w:qFormat/>
    <w:uiPriority w:val="99"/>
    <w:rPr>
      <w:rFonts w:ascii="Calibri" w:hAnsi="Calibri" w:eastAsia="宋体" w:cs="Times New Roman"/>
      <w:kern w:val="2"/>
      <w:sz w:val="21"/>
      <w:szCs w:val="24"/>
    </w:rPr>
  </w:style>
  <w:style w:type="character" w:customStyle="1" w:styleId="136">
    <w:name w:val="尾注文本 Char1"/>
    <w:basedOn w:val="52"/>
    <w:semiHidden/>
    <w:qFormat/>
    <w:uiPriority w:val="99"/>
    <w:rPr>
      <w:rFonts w:ascii="Calibri" w:hAnsi="Calibri" w:eastAsia="宋体" w:cs="Times New Roman"/>
      <w:kern w:val="2"/>
      <w:sz w:val="21"/>
      <w:szCs w:val="24"/>
    </w:rPr>
  </w:style>
  <w:style w:type="character" w:customStyle="1" w:styleId="137">
    <w:name w:val="正文文本缩进 3 Char2"/>
    <w:basedOn w:val="52"/>
    <w:semiHidden/>
    <w:qFormat/>
    <w:uiPriority w:val="99"/>
    <w:rPr>
      <w:rFonts w:ascii="Calibri" w:hAnsi="Calibri" w:eastAsia="宋体" w:cs="Times New Roman"/>
      <w:kern w:val="2"/>
      <w:sz w:val="16"/>
      <w:szCs w:val="16"/>
    </w:rPr>
  </w:style>
  <w:style w:type="paragraph" w:customStyle="1" w:styleId="138">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39">
    <w:name w:val="样式2"/>
    <w:basedOn w:val="7"/>
    <w:qFormat/>
    <w:uiPriority w:val="0"/>
    <w:pPr>
      <w:keepNext/>
      <w:keepLines/>
      <w:spacing w:before="280" w:after="290" w:line="374" w:lineRule="auto"/>
    </w:pPr>
    <w:rPr>
      <w:rFonts w:ascii="Arial" w:hAnsi="Arial" w:eastAsia="黑体"/>
      <w:kern w:val="0"/>
      <w:sz w:val="28"/>
      <w:szCs w:val="28"/>
    </w:rPr>
  </w:style>
  <w:style w:type="paragraph" w:customStyle="1" w:styleId="140">
    <w:name w:val="段落题目MA"/>
    <w:basedOn w:val="141"/>
    <w:qFormat/>
    <w:uiPriority w:val="0"/>
    <w:pPr>
      <w:tabs>
        <w:tab w:val="left" w:pos="7200"/>
        <w:tab w:val="left" w:pos="8640"/>
      </w:tabs>
      <w:ind w:firstLine="0" w:firstLineChars="0"/>
    </w:pPr>
    <w:rPr>
      <w:b/>
      <w:sz w:val="24"/>
      <w:szCs w:val="24"/>
    </w:rPr>
  </w:style>
  <w:style w:type="paragraph" w:customStyle="1" w:styleId="141">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2">
    <w:name w:val="默认段落字体 Para Char"/>
    <w:basedOn w:val="1"/>
    <w:qFormat/>
    <w:uiPriority w:val="0"/>
    <w:rPr>
      <w:rFonts w:ascii="Times New Roman" w:hAnsi="Times New Roman"/>
      <w:sz w:val="30"/>
    </w:rPr>
  </w:style>
  <w:style w:type="paragraph" w:customStyle="1" w:styleId="143">
    <w:name w:val="样式3"/>
    <w:basedOn w:val="9"/>
    <w:qFormat/>
    <w:uiPriority w:val="0"/>
    <w:rPr>
      <w:kern w:val="0"/>
    </w:rPr>
  </w:style>
  <w:style w:type="paragraph" w:customStyle="1" w:styleId="14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5">
    <w:name w:val="xiao b"/>
    <w:basedOn w:val="1"/>
    <w:qFormat/>
    <w:uiPriority w:val="0"/>
    <w:pPr>
      <w:spacing w:line="360" w:lineRule="auto"/>
      <w:jc w:val="center"/>
    </w:pPr>
    <w:rPr>
      <w:rFonts w:ascii="Times New Roman" w:hAnsi="Times New Roman" w:eastAsia="黑体"/>
      <w:sz w:val="24"/>
      <w:szCs w:val="20"/>
    </w:rPr>
  </w:style>
  <w:style w:type="paragraph" w:customStyle="1" w:styleId="146">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7">
    <w:name w:val="段落计量"/>
    <w:basedOn w:val="141"/>
    <w:qFormat/>
    <w:uiPriority w:val="0"/>
    <w:pPr>
      <w:ind w:firstLine="200"/>
    </w:pPr>
    <w:rPr>
      <w:b/>
      <w:sz w:val="24"/>
      <w:szCs w:val="24"/>
    </w:rPr>
  </w:style>
  <w:style w:type="paragraph" w:customStyle="1" w:styleId="148">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49">
    <w:name w:val="网格型1"/>
    <w:basedOn w:val="50"/>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0">
    <w:name w:val="修订3"/>
    <w:hidden/>
    <w:semiHidden/>
    <w:qFormat/>
    <w:uiPriority w:val="99"/>
    <w:rPr>
      <w:rFonts w:ascii="Calibri" w:hAnsi="Calibri" w:eastAsia="宋体" w:cs="Times New Roman"/>
      <w:kern w:val="2"/>
      <w:sz w:val="21"/>
      <w:szCs w:val="24"/>
      <w:lang w:val="en-US" w:eastAsia="zh-CN" w:bidi="ar-SA"/>
    </w:rPr>
  </w:style>
  <w:style w:type="character" w:customStyle="1" w:styleId="151">
    <w:name w:val="未处理的提及3"/>
    <w:basedOn w:val="52"/>
    <w:semiHidden/>
    <w:unhideWhenUsed/>
    <w:qFormat/>
    <w:uiPriority w:val="99"/>
    <w:rPr>
      <w:color w:val="605E5C"/>
      <w:shd w:val="clear" w:color="auto" w:fill="E1DFDD"/>
    </w:rPr>
  </w:style>
  <w:style w:type="character" w:customStyle="1" w:styleId="152">
    <w:name w:val="普通(网站) 字符"/>
    <w:link w:val="46"/>
    <w:qFormat/>
    <w:locked/>
    <w:uiPriority w:val="0"/>
    <w:rPr>
      <w:rFonts w:ascii="宋体" w:hAnsi="宋体" w:eastAsia="宋体" w:cs="Times New Roman"/>
      <w:sz w:val="15"/>
      <w:szCs w:val="15"/>
    </w:rPr>
  </w:style>
  <w:style w:type="character" w:customStyle="1" w:styleId="153">
    <w:name w:val="标题 6 字符"/>
    <w:basedOn w:val="52"/>
    <w:link w:val="10"/>
    <w:qFormat/>
    <w:uiPriority w:val="0"/>
    <w:rPr>
      <w:rFonts w:ascii="Arial" w:hAnsi="Arial" w:eastAsia="黑体" w:cs="Times New Roman"/>
      <w:b/>
      <w:bCs/>
      <w:sz w:val="24"/>
      <w:szCs w:val="24"/>
    </w:rPr>
  </w:style>
  <w:style w:type="character" w:customStyle="1" w:styleId="154">
    <w:name w:val="标题 7 字符"/>
    <w:basedOn w:val="52"/>
    <w:link w:val="11"/>
    <w:qFormat/>
    <w:uiPriority w:val="0"/>
    <w:rPr>
      <w:rFonts w:ascii="Times New Roman" w:hAnsi="Times New Roman" w:eastAsia="宋体" w:cs="Times New Roman"/>
      <w:b/>
      <w:bCs/>
      <w:sz w:val="24"/>
      <w:szCs w:val="24"/>
    </w:rPr>
  </w:style>
  <w:style w:type="character" w:customStyle="1" w:styleId="155">
    <w:name w:val="标题 8 字符"/>
    <w:basedOn w:val="52"/>
    <w:link w:val="12"/>
    <w:qFormat/>
    <w:uiPriority w:val="0"/>
    <w:rPr>
      <w:rFonts w:ascii="Arial" w:hAnsi="Arial" w:eastAsia="黑体" w:cs="Times New Roman"/>
      <w:sz w:val="24"/>
      <w:szCs w:val="24"/>
    </w:rPr>
  </w:style>
  <w:style w:type="character" w:customStyle="1" w:styleId="156">
    <w:name w:val="标题 9 字符"/>
    <w:basedOn w:val="52"/>
    <w:link w:val="13"/>
    <w:qFormat/>
    <w:uiPriority w:val="0"/>
    <w:rPr>
      <w:rFonts w:ascii="Arial" w:hAnsi="Arial" w:eastAsia="黑体" w:cs="Times New Roman"/>
      <w:sz w:val="21"/>
      <w:szCs w:val="21"/>
    </w:rPr>
  </w:style>
  <w:style w:type="character" w:customStyle="1" w:styleId="157">
    <w:name w:val="正文文本 Char"/>
    <w:qFormat/>
    <w:uiPriority w:val="0"/>
    <w:rPr>
      <w:rFonts w:eastAsia="宋体"/>
      <w:sz w:val="21"/>
      <w:lang w:val="en-US" w:eastAsia="zh-CN" w:bidi="ar-SA"/>
    </w:rPr>
  </w:style>
  <w:style w:type="character" w:customStyle="1" w:styleId="158">
    <w:name w:val="Figure Description Char Char"/>
    <w:link w:val="159"/>
    <w:qFormat/>
    <w:uiPriority w:val="0"/>
    <w:rPr>
      <w:rFonts w:ascii="Calibri" w:hAnsi="Calibri" w:eastAsia="宋体"/>
      <w:sz w:val="18"/>
      <w:szCs w:val="24"/>
      <w:lang w:eastAsia="en-US" w:bidi="en-US"/>
    </w:rPr>
  </w:style>
  <w:style w:type="paragraph" w:customStyle="1" w:styleId="159">
    <w:name w:val="Figure Description"/>
    <w:basedOn w:val="160"/>
    <w:next w:val="1"/>
    <w:link w:val="158"/>
    <w:qFormat/>
    <w:uiPriority w:val="0"/>
    <w:pPr>
      <w:tabs>
        <w:tab w:val="left" w:pos="0"/>
      </w:tabs>
      <w:ind w:left="1554" w:hanging="420"/>
    </w:pPr>
    <w:rPr>
      <w:sz w:val="18"/>
    </w:rPr>
  </w:style>
  <w:style w:type="paragraph" w:customStyle="1" w:styleId="160">
    <w:name w:val="Figure"/>
    <w:basedOn w:val="1"/>
    <w:next w:val="159"/>
    <w:link w:val="168"/>
    <w:qFormat/>
    <w:uiPriority w:val="0"/>
    <w:pPr>
      <w:keepNext/>
      <w:keepLines/>
      <w:widowControl/>
      <w:jc w:val="center"/>
    </w:pPr>
    <w:rPr>
      <w:rFonts w:cstheme="minorBidi"/>
      <w:kern w:val="0"/>
      <w:sz w:val="24"/>
      <w:lang w:eastAsia="en-US" w:bidi="en-US"/>
    </w:rPr>
  </w:style>
  <w:style w:type="character" w:customStyle="1" w:styleId="161">
    <w:name w:val="普通文字1 Char"/>
    <w:link w:val="162"/>
    <w:qFormat/>
    <w:uiPriority w:val="0"/>
    <w:rPr>
      <w:rFonts w:ascii="宋体" w:hAnsi="Courier New" w:eastAsia="宋体"/>
    </w:rPr>
  </w:style>
  <w:style w:type="paragraph" w:customStyle="1" w:styleId="162">
    <w:name w:val="纯文本2"/>
    <w:basedOn w:val="1"/>
    <w:link w:val="161"/>
    <w:qFormat/>
    <w:uiPriority w:val="0"/>
    <w:rPr>
      <w:rFonts w:ascii="宋体" w:hAnsi="Courier New" w:cstheme="minorBidi"/>
      <w:kern w:val="0"/>
      <w:sz w:val="20"/>
      <w:szCs w:val="20"/>
    </w:rPr>
  </w:style>
  <w:style w:type="character" w:customStyle="1" w:styleId="163">
    <w:name w:val="注意框体 Char Char"/>
    <w:qFormat/>
    <w:uiPriority w:val="0"/>
    <w:rPr>
      <w:rFonts w:ascii="Arial" w:hAnsi="Arial" w:eastAsia="黑体" w:cs="Times New Roman"/>
      <w:kern w:val="0"/>
      <w:sz w:val="24"/>
      <w:szCs w:val="20"/>
    </w:rPr>
  </w:style>
  <w:style w:type="character" w:customStyle="1" w:styleId="164">
    <w:name w:val="my正文 Char Char"/>
    <w:link w:val="165"/>
    <w:qFormat/>
    <w:uiPriority w:val="0"/>
    <w:rPr>
      <w:rFonts w:ascii="宋体" w:hAnsi="宋体" w:eastAsia="宋体" w:cs="宋体"/>
      <w:sz w:val="24"/>
      <w:szCs w:val="24"/>
    </w:rPr>
  </w:style>
  <w:style w:type="paragraph" w:customStyle="1" w:styleId="165">
    <w:name w:val="my正文"/>
    <w:basedOn w:val="3"/>
    <w:link w:val="164"/>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6">
    <w:name w:val="Ò³Ã¼ Char Char"/>
    <w:qFormat/>
    <w:uiPriority w:val="0"/>
    <w:rPr>
      <w:rFonts w:eastAsia="宋体"/>
      <w:sz w:val="18"/>
      <w:szCs w:val="18"/>
      <w:lang w:val="en-US" w:eastAsia="zh-CN" w:bidi="ar-SA"/>
    </w:rPr>
  </w:style>
  <w:style w:type="character" w:customStyle="1" w:styleId="167">
    <w:name w:val="正文文字缩进 Char"/>
    <w:qFormat/>
    <w:uiPriority w:val="0"/>
    <w:rPr>
      <w:rFonts w:ascii="Times New Roman" w:hAnsi="Times New Roman" w:eastAsia="宋体" w:cs="Times New Roman"/>
      <w:kern w:val="0"/>
      <w:sz w:val="20"/>
      <w:szCs w:val="24"/>
    </w:rPr>
  </w:style>
  <w:style w:type="character" w:customStyle="1" w:styleId="168">
    <w:name w:val="Figure Char Char"/>
    <w:link w:val="160"/>
    <w:qFormat/>
    <w:uiPriority w:val="0"/>
    <w:rPr>
      <w:rFonts w:ascii="Calibri" w:hAnsi="Calibri" w:eastAsia="宋体"/>
      <w:sz w:val="24"/>
      <w:szCs w:val="24"/>
      <w:lang w:eastAsia="en-US" w:bidi="en-US"/>
    </w:rPr>
  </w:style>
  <w:style w:type="character" w:customStyle="1" w:styleId="169">
    <w:name w:val="页码1"/>
    <w:basedOn w:val="52"/>
    <w:qFormat/>
    <w:uiPriority w:val="0"/>
  </w:style>
  <w:style w:type="character" w:customStyle="1" w:styleId="170">
    <w:name w:val="列表段落 字符"/>
    <w:link w:val="111"/>
    <w:qFormat/>
    <w:uiPriority w:val="0"/>
    <w:rPr>
      <w:rFonts w:ascii="Calibri" w:hAnsi="Calibri" w:eastAsia="宋体" w:cs="Times New Roman"/>
      <w:kern w:val="2"/>
      <w:sz w:val="21"/>
      <w:szCs w:val="24"/>
    </w:rPr>
  </w:style>
  <w:style w:type="character" w:customStyle="1" w:styleId="171">
    <w:name w:val="样式4 Char Char Char"/>
    <w:link w:val="172"/>
    <w:qFormat/>
    <w:uiPriority w:val="0"/>
    <w:rPr>
      <w:rFonts w:eastAsia="宋体" w:cs="宋体"/>
      <w:color w:val="000000"/>
      <w:sz w:val="24"/>
      <w:szCs w:val="24"/>
    </w:rPr>
  </w:style>
  <w:style w:type="paragraph" w:customStyle="1" w:styleId="172">
    <w:name w:val="样式4 Char"/>
    <w:basedOn w:val="1"/>
    <w:link w:val="171"/>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3">
    <w:name w:val="正文缩进 字符"/>
    <w:link w:val="17"/>
    <w:qFormat/>
    <w:uiPriority w:val="0"/>
    <w:rPr>
      <w:rFonts w:ascii="Times New Roman" w:hAnsi="Times New Roman" w:eastAsia="宋体" w:cs="Times New Roman"/>
      <w:kern w:val="2"/>
      <w:sz w:val="21"/>
      <w:szCs w:val="24"/>
    </w:rPr>
  </w:style>
  <w:style w:type="character" w:customStyle="1" w:styleId="174">
    <w:name w:val="明显强调1"/>
    <w:qFormat/>
    <w:uiPriority w:val="0"/>
    <w:rPr>
      <w:b/>
      <w:bCs/>
      <w:i/>
      <w:iCs/>
      <w:color w:val="4F81BD"/>
    </w:rPr>
  </w:style>
  <w:style w:type="character" w:customStyle="1" w:styleId="175">
    <w:name w:val="正文缩进2格 Char Char"/>
    <w:qFormat/>
    <w:uiPriority w:val="0"/>
    <w:rPr>
      <w:rFonts w:ascii="仿宋_GB2312" w:hAnsi="宋体" w:eastAsia="仿宋_GB2312"/>
      <w:kern w:val="2"/>
      <w:sz w:val="31"/>
      <w:lang w:val="en-US" w:eastAsia="zh-CN" w:bidi="ar-SA"/>
    </w:rPr>
  </w:style>
  <w:style w:type="character" w:customStyle="1" w:styleId="176">
    <w:name w:val="样式23 Char Char"/>
    <w:link w:val="177"/>
    <w:qFormat/>
    <w:uiPriority w:val="0"/>
    <w:rPr>
      <w:rFonts w:ascii="Arial" w:hAnsi="Arial" w:eastAsia="黑体"/>
      <w:b/>
      <w:sz w:val="24"/>
      <w:szCs w:val="30"/>
    </w:rPr>
  </w:style>
  <w:style w:type="paragraph" w:customStyle="1" w:styleId="177">
    <w:name w:val="样式23"/>
    <w:basedOn w:val="1"/>
    <w:link w:val="176"/>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78">
    <w:name w:val="标题 字符"/>
    <w:link w:val="47"/>
    <w:qFormat/>
    <w:uiPriority w:val="0"/>
    <w:rPr>
      <w:rFonts w:eastAsia="隶书_GB2312"/>
      <w:b/>
      <w:sz w:val="48"/>
    </w:rPr>
  </w:style>
  <w:style w:type="character" w:customStyle="1" w:styleId="179">
    <w:name w:val="标题 Char1"/>
    <w:qFormat/>
    <w:uiPriority w:val="10"/>
    <w:rPr>
      <w:rFonts w:ascii="Cambria" w:hAnsi="Cambria" w:eastAsia="宋体" w:cs="黑体"/>
      <w:b/>
      <w:bCs/>
      <w:sz w:val="32"/>
      <w:szCs w:val="32"/>
    </w:rPr>
  </w:style>
  <w:style w:type="character" w:customStyle="1" w:styleId="180">
    <w:name w:val="16"/>
    <w:basedOn w:val="52"/>
    <w:qFormat/>
    <w:uiPriority w:val="0"/>
  </w:style>
  <w:style w:type="character" w:customStyle="1" w:styleId="181">
    <w:name w:val="标题 5（无编号）（绿盟科技） Char Char"/>
    <w:link w:val="182"/>
    <w:qFormat/>
    <w:uiPriority w:val="0"/>
    <w:rPr>
      <w:rFonts w:ascii="Arial" w:hAnsi="Arial" w:eastAsia="黑体"/>
      <w:b/>
      <w:sz w:val="24"/>
      <w:szCs w:val="28"/>
    </w:rPr>
  </w:style>
  <w:style w:type="paragraph" w:customStyle="1" w:styleId="182">
    <w:name w:val="标题 5（无编号）（绿盟科技）"/>
    <w:basedOn w:val="9"/>
    <w:link w:val="181"/>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3">
    <w:name w:val="常规 Char Char"/>
    <w:link w:val="184"/>
    <w:qFormat/>
    <w:uiPriority w:val="0"/>
    <w:rPr>
      <w:rFonts w:eastAsia="宋体"/>
      <w:szCs w:val="21"/>
    </w:rPr>
  </w:style>
  <w:style w:type="paragraph" w:customStyle="1" w:styleId="184">
    <w:name w:val="常规"/>
    <w:basedOn w:val="1"/>
    <w:link w:val="183"/>
    <w:qFormat/>
    <w:uiPriority w:val="0"/>
    <w:pPr>
      <w:spacing w:beforeLines="100" w:afterLines="100"/>
      <w:ind w:left="1134"/>
    </w:pPr>
    <w:rPr>
      <w:rFonts w:asciiTheme="minorHAnsi" w:hAnsiTheme="minorHAnsi" w:cstheme="minorBidi"/>
      <w:kern w:val="0"/>
      <w:sz w:val="20"/>
      <w:szCs w:val="21"/>
    </w:rPr>
  </w:style>
  <w:style w:type="character" w:customStyle="1" w:styleId="185">
    <w:name w:val="H6 Char Char"/>
    <w:qFormat/>
    <w:uiPriority w:val="0"/>
    <w:rPr>
      <w:rFonts w:ascii="Arial" w:hAnsi="Arial" w:eastAsia="黑体" w:cs="Times New Roman"/>
      <w:b/>
      <w:kern w:val="0"/>
      <w:sz w:val="24"/>
      <w:szCs w:val="20"/>
    </w:rPr>
  </w:style>
  <w:style w:type="character" w:customStyle="1" w:styleId="186">
    <w:name w:val="￥正文 Char Char"/>
    <w:link w:val="187"/>
    <w:qFormat/>
    <w:uiPriority w:val="0"/>
    <w:rPr>
      <w:rFonts w:ascii="Calibri" w:hAnsi="Calibri" w:eastAsia="宋体"/>
      <w:sz w:val="24"/>
    </w:rPr>
  </w:style>
  <w:style w:type="paragraph" w:customStyle="1" w:styleId="187">
    <w:name w:val="￥正文"/>
    <w:basedOn w:val="1"/>
    <w:link w:val="186"/>
    <w:qFormat/>
    <w:uiPriority w:val="0"/>
    <w:pPr>
      <w:spacing w:line="360" w:lineRule="auto"/>
      <w:ind w:firstLine="200" w:firstLineChars="200"/>
    </w:pPr>
    <w:rPr>
      <w:rFonts w:cstheme="minorBidi"/>
      <w:kern w:val="0"/>
      <w:sz w:val="24"/>
      <w:szCs w:val="20"/>
    </w:rPr>
  </w:style>
  <w:style w:type="character" w:customStyle="1" w:styleId="188">
    <w:name w:val="样式 正文缩进 + 首行缩进:  2 字符 Char Char"/>
    <w:link w:val="189"/>
    <w:qFormat/>
    <w:uiPriority w:val="0"/>
    <w:rPr>
      <w:rFonts w:eastAsia="宋体"/>
      <w:sz w:val="24"/>
    </w:rPr>
  </w:style>
  <w:style w:type="paragraph" w:customStyle="1" w:styleId="189">
    <w:name w:val="样式 正文缩进 + 首行缩进:  2 字符"/>
    <w:basedOn w:val="17"/>
    <w:link w:val="188"/>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0">
    <w:name w:val="样式20 Char Char"/>
    <w:link w:val="191"/>
    <w:qFormat/>
    <w:uiPriority w:val="0"/>
    <w:rPr>
      <w:rFonts w:ascii="Arial" w:hAnsi="Arial" w:eastAsia="宋体"/>
      <w:b/>
      <w:bCs/>
      <w:sz w:val="30"/>
      <w:szCs w:val="30"/>
    </w:rPr>
  </w:style>
  <w:style w:type="paragraph" w:customStyle="1" w:styleId="191">
    <w:name w:val="样式20"/>
    <w:basedOn w:val="5"/>
    <w:link w:val="190"/>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2">
    <w:name w:val="Item List Char Char"/>
    <w:link w:val="193"/>
    <w:qFormat/>
    <w:uiPriority w:val="0"/>
    <w:rPr>
      <w:szCs w:val="24"/>
    </w:rPr>
  </w:style>
  <w:style w:type="paragraph" w:customStyle="1" w:styleId="193">
    <w:name w:val="Item List"/>
    <w:basedOn w:val="1"/>
    <w:link w:val="192"/>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4">
    <w:name w:val="3级标题 Char Char"/>
    <w:link w:val="195"/>
    <w:qFormat/>
    <w:uiPriority w:val="0"/>
    <w:rPr>
      <w:rFonts w:ascii="Arial" w:hAnsi="Arial" w:eastAsia="黑体"/>
      <w:b/>
      <w:sz w:val="26"/>
      <w:szCs w:val="28"/>
    </w:rPr>
  </w:style>
  <w:style w:type="paragraph" w:customStyle="1" w:styleId="195">
    <w:name w:val="3级标题"/>
    <w:basedOn w:val="1"/>
    <w:link w:val="194"/>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6">
    <w:name w:val="不明显强调1"/>
    <w:qFormat/>
    <w:uiPriority w:val="0"/>
    <w:rPr>
      <w:i/>
      <w:iCs/>
      <w:color w:val="808080"/>
    </w:rPr>
  </w:style>
  <w:style w:type="character" w:customStyle="1" w:styleId="197">
    <w:name w:val="不明显强调11"/>
    <w:qFormat/>
    <w:uiPriority w:val="0"/>
    <w:rPr>
      <w:i/>
      <w:iCs/>
      <w:color w:val="808080"/>
    </w:rPr>
  </w:style>
  <w:style w:type="character" w:customStyle="1" w:styleId="198">
    <w:name w:val="表格 Char Char"/>
    <w:link w:val="199"/>
    <w:qFormat/>
    <w:uiPriority w:val="0"/>
    <w:rPr>
      <w:rFonts w:ascii="宋体" w:hAnsi="宋体" w:eastAsia="宋体"/>
      <w:color w:val="000000"/>
      <w:sz w:val="24"/>
    </w:rPr>
  </w:style>
  <w:style w:type="paragraph" w:customStyle="1" w:styleId="199">
    <w:name w:val="表格"/>
    <w:basedOn w:val="1"/>
    <w:link w:val="198"/>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0">
    <w:name w:val="样式21 Char Char"/>
    <w:link w:val="201"/>
    <w:qFormat/>
    <w:uiPriority w:val="0"/>
    <w:rPr>
      <w:rFonts w:ascii="Arial" w:hAnsi="Arial" w:eastAsia="宋体"/>
      <w:b/>
      <w:sz w:val="28"/>
      <w:szCs w:val="28"/>
    </w:rPr>
  </w:style>
  <w:style w:type="paragraph" w:customStyle="1" w:styleId="201">
    <w:name w:val="样式21"/>
    <w:basedOn w:val="6"/>
    <w:link w:val="200"/>
    <w:qFormat/>
    <w:uiPriority w:val="0"/>
    <w:pPr>
      <w:ind w:left="709" w:hanging="709"/>
    </w:pPr>
    <w:rPr>
      <w:rFonts w:ascii="Arial" w:hAnsi="Arial" w:cstheme="minorBidi"/>
      <w:bCs w:val="0"/>
      <w:kern w:val="0"/>
      <w:sz w:val="28"/>
      <w:szCs w:val="28"/>
    </w:rPr>
  </w:style>
  <w:style w:type="character" w:customStyle="1" w:styleId="202">
    <w:name w:val="明显强调11"/>
    <w:qFormat/>
    <w:uiPriority w:val="0"/>
    <w:rPr>
      <w:b/>
      <w:bCs/>
      <w:i/>
      <w:iCs/>
      <w:color w:val="4F81BD"/>
    </w:rPr>
  </w:style>
  <w:style w:type="character" w:customStyle="1" w:styleId="203">
    <w:name w:val="正文（绿盟科技） Char Char"/>
    <w:link w:val="204"/>
    <w:qFormat/>
    <w:uiPriority w:val="0"/>
    <w:rPr>
      <w:rFonts w:eastAsia="Times New Roman"/>
      <w:szCs w:val="21"/>
    </w:rPr>
  </w:style>
  <w:style w:type="paragraph" w:customStyle="1" w:styleId="204">
    <w:name w:val="正文（绿盟科技）"/>
    <w:link w:val="203"/>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5">
    <w:name w:val="图形名称 Char Char"/>
    <w:link w:val="206"/>
    <w:qFormat/>
    <w:uiPriority w:val="0"/>
    <w:rPr>
      <w:rFonts w:ascii="宋体" w:hAnsi="宋体" w:eastAsia="宋体"/>
      <w:b/>
      <w:szCs w:val="21"/>
    </w:rPr>
  </w:style>
  <w:style w:type="paragraph" w:customStyle="1" w:styleId="206">
    <w:name w:val="图形名称"/>
    <w:basedOn w:val="207"/>
    <w:link w:val="205"/>
    <w:qFormat/>
    <w:uiPriority w:val="0"/>
    <w:pPr>
      <w:ind w:left="420" w:hanging="420"/>
    </w:pPr>
    <w:rPr>
      <w:sz w:val="20"/>
    </w:rPr>
  </w:style>
  <w:style w:type="paragraph" w:customStyle="1" w:styleId="207">
    <w:name w:val="表格名称"/>
    <w:basedOn w:val="111"/>
    <w:link w:val="214"/>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08">
    <w:name w:val="arr1"/>
    <w:basedOn w:val="52"/>
    <w:qFormat/>
    <w:uiPriority w:val="0"/>
  </w:style>
  <w:style w:type="character" w:customStyle="1" w:styleId="209">
    <w:name w:val="标题 21"/>
    <w:qFormat/>
    <w:uiPriority w:val="0"/>
    <w:rPr>
      <w:rFonts w:ascii="宋体" w:hAnsi="宋体" w:eastAsia="宋体"/>
      <w:b/>
      <w:kern w:val="2"/>
      <w:sz w:val="36"/>
      <w:szCs w:val="24"/>
      <w:lang w:val="en-US" w:eastAsia="zh-CN" w:bidi="ar-SA"/>
    </w:rPr>
  </w:style>
  <w:style w:type="character" w:customStyle="1" w:styleId="210">
    <w:name w:val="Body Char Char"/>
    <w:link w:val="211"/>
    <w:qFormat/>
    <w:uiPriority w:val="0"/>
    <w:rPr>
      <w:rFonts w:ascii="Arial" w:hAnsi="Arial" w:eastAsia="宋体"/>
      <w:color w:val="000000"/>
      <w:szCs w:val="24"/>
    </w:rPr>
  </w:style>
  <w:style w:type="paragraph" w:customStyle="1" w:styleId="211">
    <w:name w:val="Body"/>
    <w:basedOn w:val="1"/>
    <w:link w:val="210"/>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2">
    <w:name w:val="H5 Char Char"/>
    <w:qFormat/>
    <w:uiPriority w:val="0"/>
    <w:rPr>
      <w:rFonts w:ascii="Calibri" w:hAnsi="Calibri" w:eastAsia="宋体" w:cs="Times New Roman"/>
      <w:b/>
      <w:bCs/>
      <w:sz w:val="28"/>
      <w:szCs w:val="28"/>
    </w:rPr>
  </w:style>
  <w:style w:type="character" w:customStyle="1" w:styleId="213">
    <w:name w:val="表正文 Char2"/>
    <w:qFormat/>
    <w:uiPriority w:val="0"/>
    <w:rPr>
      <w:rFonts w:eastAsia="宋体"/>
      <w:kern w:val="2"/>
      <w:sz w:val="21"/>
      <w:szCs w:val="24"/>
      <w:lang w:val="en-US" w:eastAsia="zh-CN" w:bidi="ar-SA"/>
    </w:rPr>
  </w:style>
  <w:style w:type="character" w:customStyle="1" w:styleId="214">
    <w:name w:val="表格名称 Char Char"/>
    <w:link w:val="207"/>
    <w:qFormat/>
    <w:uiPriority w:val="0"/>
    <w:rPr>
      <w:rFonts w:ascii="宋体" w:hAnsi="宋体" w:eastAsia="宋体"/>
      <w:b/>
      <w:sz w:val="24"/>
      <w:szCs w:val="21"/>
    </w:rPr>
  </w:style>
  <w:style w:type="character" w:customStyle="1" w:styleId="215">
    <w:name w:val="Char Char1"/>
    <w:qFormat/>
    <w:uiPriority w:val="0"/>
    <w:rPr>
      <w:rFonts w:ascii="Arial" w:hAnsi="Arial" w:eastAsia="宋体"/>
      <w:b/>
      <w:bCs/>
      <w:kern w:val="2"/>
      <w:sz w:val="28"/>
      <w:szCs w:val="28"/>
      <w:lang w:val="en-US" w:eastAsia="zh-CN" w:bidi="ar-SA"/>
    </w:rPr>
  </w:style>
  <w:style w:type="character" w:customStyle="1" w:styleId="216">
    <w:name w:val="正文文本首行缩进 2 字符"/>
    <w:link w:val="2"/>
    <w:qFormat/>
    <w:uiPriority w:val="0"/>
    <w:rPr>
      <w:rFonts w:ascii="Tahoma" w:hAnsi="Tahoma" w:eastAsia="宋体"/>
      <w:sz w:val="28"/>
      <w:szCs w:val="24"/>
    </w:rPr>
  </w:style>
  <w:style w:type="character" w:customStyle="1" w:styleId="217">
    <w:name w:val="页码2"/>
    <w:basedOn w:val="52"/>
    <w:qFormat/>
    <w:uiPriority w:val="0"/>
  </w:style>
  <w:style w:type="character" w:customStyle="1" w:styleId="218">
    <w:name w:val="Font Style26"/>
    <w:qFormat/>
    <w:uiPriority w:val="0"/>
    <w:rPr>
      <w:rFonts w:ascii="Sylfaen" w:hAnsi="Sylfaen" w:cs="Sylfaen"/>
      <w:b/>
      <w:bCs/>
      <w:sz w:val="16"/>
      <w:szCs w:val="16"/>
    </w:rPr>
  </w:style>
  <w:style w:type="character" w:customStyle="1" w:styleId="219">
    <w:name w:val="标题 字符1"/>
    <w:basedOn w:val="52"/>
    <w:qFormat/>
    <w:uiPriority w:val="10"/>
    <w:rPr>
      <w:rFonts w:asciiTheme="majorHAnsi" w:hAnsiTheme="majorHAnsi" w:eastAsiaTheme="majorEastAsia" w:cstheme="majorBidi"/>
      <w:b/>
      <w:bCs/>
      <w:kern w:val="2"/>
      <w:sz w:val="32"/>
      <w:szCs w:val="32"/>
    </w:rPr>
  </w:style>
  <w:style w:type="character" w:customStyle="1" w:styleId="220">
    <w:name w:val="标题 Char2"/>
    <w:basedOn w:val="52"/>
    <w:qFormat/>
    <w:uiPriority w:val="10"/>
    <w:rPr>
      <w:rFonts w:eastAsia="宋体" w:asciiTheme="majorHAnsi" w:hAnsiTheme="majorHAnsi" w:cstheme="majorBidi"/>
      <w:b/>
      <w:bCs/>
      <w:sz w:val="32"/>
      <w:szCs w:val="32"/>
    </w:rPr>
  </w:style>
  <w:style w:type="character" w:customStyle="1" w:styleId="221">
    <w:name w:val="HTML 预设格式 字符1"/>
    <w:basedOn w:val="52"/>
    <w:semiHidden/>
    <w:qFormat/>
    <w:uiPriority w:val="99"/>
    <w:rPr>
      <w:rFonts w:ascii="Courier New" w:hAnsi="Courier New" w:cs="Courier New"/>
      <w:sz w:val="20"/>
      <w:szCs w:val="20"/>
    </w:rPr>
  </w:style>
  <w:style w:type="character" w:customStyle="1" w:styleId="222">
    <w:name w:val="正文文本 2 字符1"/>
    <w:basedOn w:val="52"/>
    <w:semiHidden/>
    <w:qFormat/>
    <w:uiPriority w:val="99"/>
  </w:style>
  <w:style w:type="paragraph" w:customStyle="1" w:styleId="223">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4">
    <w:name w:val="文档结构图 字符1"/>
    <w:basedOn w:val="52"/>
    <w:semiHidden/>
    <w:qFormat/>
    <w:uiPriority w:val="99"/>
    <w:rPr>
      <w:rFonts w:ascii="Microsoft YaHei UI" w:eastAsia="Microsoft YaHei UI"/>
      <w:sz w:val="18"/>
      <w:szCs w:val="18"/>
    </w:rPr>
  </w:style>
  <w:style w:type="character" w:customStyle="1" w:styleId="225">
    <w:name w:val="文档结构图 Char1"/>
    <w:basedOn w:val="52"/>
    <w:semiHidden/>
    <w:qFormat/>
    <w:uiPriority w:val="99"/>
    <w:rPr>
      <w:rFonts w:ascii="宋体" w:eastAsia="宋体"/>
      <w:sz w:val="18"/>
      <w:szCs w:val="18"/>
    </w:rPr>
  </w:style>
  <w:style w:type="character" w:customStyle="1" w:styleId="226">
    <w:name w:val="正文文本首行缩进 字符1"/>
    <w:basedOn w:val="74"/>
    <w:semiHidden/>
    <w:qFormat/>
    <w:uiPriority w:val="99"/>
    <w:rPr>
      <w:rFonts w:ascii="Times New Roman" w:hAnsi="Times New Roman" w:eastAsia="宋体" w:cs="Times New Roman"/>
      <w:kern w:val="0"/>
      <w:szCs w:val="20"/>
    </w:rPr>
  </w:style>
  <w:style w:type="character" w:customStyle="1" w:styleId="227">
    <w:name w:val="正文首行缩进 Char1"/>
    <w:basedOn w:val="74"/>
    <w:semiHidden/>
    <w:qFormat/>
    <w:uiPriority w:val="99"/>
    <w:rPr>
      <w:rFonts w:ascii="Times New Roman" w:hAnsi="Times New Roman" w:eastAsia="宋体" w:cs="Times New Roman"/>
      <w:kern w:val="0"/>
      <w:szCs w:val="20"/>
    </w:rPr>
  </w:style>
  <w:style w:type="character" w:customStyle="1" w:styleId="228">
    <w:name w:val="批注文字 字符1"/>
    <w:basedOn w:val="52"/>
    <w:semiHidden/>
    <w:qFormat/>
    <w:uiPriority w:val="99"/>
  </w:style>
  <w:style w:type="character" w:customStyle="1" w:styleId="229">
    <w:name w:val="批注文字 Char1"/>
    <w:basedOn w:val="52"/>
    <w:semiHidden/>
    <w:qFormat/>
    <w:uiPriority w:val="99"/>
  </w:style>
  <w:style w:type="character" w:customStyle="1" w:styleId="230">
    <w:name w:val="批注主题 字符1"/>
    <w:basedOn w:val="228"/>
    <w:semiHidden/>
    <w:qFormat/>
    <w:uiPriority w:val="99"/>
    <w:rPr>
      <w:b/>
      <w:bCs/>
    </w:rPr>
  </w:style>
  <w:style w:type="character" w:customStyle="1" w:styleId="231">
    <w:name w:val="批注主题 Char1"/>
    <w:basedOn w:val="229"/>
    <w:semiHidden/>
    <w:qFormat/>
    <w:uiPriority w:val="99"/>
    <w:rPr>
      <w:b/>
      <w:bCs/>
    </w:rPr>
  </w:style>
  <w:style w:type="character" w:customStyle="1" w:styleId="232">
    <w:name w:val="脚注文本 字符1"/>
    <w:basedOn w:val="52"/>
    <w:semiHidden/>
    <w:qFormat/>
    <w:uiPriority w:val="99"/>
    <w:rPr>
      <w:sz w:val="18"/>
      <w:szCs w:val="18"/>
    </w:rPr>
  </w:style>
  <w:style w:type="character" w:customStyle="1" w:styleId="233">
    <w:name w:val="脚注文本 Char1"/>
    <w:basedOn w:val="52"/>
    <w:semiHidden/>
    <w:qFormat/>
    <w:uiPriority w:val="99"/>
    <w:rPr>
      <w:sz w:val="18"/>
      <w:szCs w:val="18"/>
    </w:rPr>
  </w:style>
  <w:style w:type="character" w:customStyle="1" w:styleId="234">
    <w:name w:val="正文文本缩进 2 字符1"/>
    <w:basedOn w:val="52"/>
    <w:semiHidden/>
    <w:qFormat/>
    <w:uiPriority w:val="99"/>
  </w:style>
  <w:style w:type="character" w:customStyle="1" w:styleId="235">
    <w:name w:val="正文文本缩进 2 Char1"/>
    <w:basedOn w:val="52"/>
    <w:semiHidden/>
    <w:qFormat/>
    <w:uiPriority w:val="99"/>
  </w:style>
  <w:style w:type="character" w:customStyle="1" w:styleId="236">
    <w:name w:val="正文文本 3 字符1"/>
    <w:basedOn w:val="52"/>
    <w:semiHidden/>
    <w:qFormat/>
    <w:uiPriority w:val="99"/>
    <w:rPr>
      <w:sz w:val="16"/>
      <w:szCs w:val="16"/>
    </w:rPr>
  </w:style>
  <w:style w:type="character" w:customStyle="1" w:styleId="237">
    <w:name w:val="正文文本缩进 3 字符1"/>
    <w:basedOn w:val="52"/>
    <w:semiHidden/>
    <w:qFormat/>
    <w:uiPriority w:val="99"/>
    <w:rPr>
      <w:sz w:val="16"/>
      <w:szCs w:val="16"/>
    </w:rPr>
  </w:style>
  <w:style w:type="character" w:customStyle="1" w:styleId="238">
    <w:name w:val="正文文本缩进 3 Char1"/>
    <w:basedOn w:val="52"/>
    <w:semiHidden/>
    <w:qFormat/>
    <w:uiPriority w:val="99"/>
    <w:rPr>
      <w:sz w:val="16"/>
      <w:szCs w:val="16"/>
    </w:rPr>
  </w:style>
  <w:style w:type="character" w:customStyle="1" w:styleId="239">
    <w:name w:val="正文文本缩进 字符1"/>
    <w:basedOn w:val="52"/>
    <w:semiHidden/>
    <w:qFormat/>
    <w:uiPriority w:val="99"/>
  </w:style>
  <w:style w:type="character" w:customStyle="1" w:styleId="240">
    <w:name w:val="正文文本首行缩进 2 字符1"/>
    <w:basedOn w:val="95"/>
    <w:semiHidden/>
    <w:qFormat/>
    <w:uiPriority w:val="99"/>
    <w:rPr>
      <w:rFonts w:ascii="Calibri" w:hAnsi="Calibri" w:eastAsia="宋体" w:cs="Times New Roman"/>
      <w:kern w:val="2"/>
      <w:sz w:val="21"/>
      <w:szCs w:val="24"/>
    </w:rPr>
  </w:style>
  <w:style w:type="character" w:customStyle="1" w:styleId="241">
    <w:name w:val="正文首行缩进 2 Char1"/>
    <w:basedOn w:val="98"/>
    <w:semiHidden/>
    <w:qFormat/>
    <w:uiPriority w:val="99"/>
    <w:rPr>
      <w:rFonts w:ascii="Calibri" w:hAnsi="Calibri" w:eastAsia="宋体" w:cs="Times New Roman"/>
      <w:kern w:val="2"/>
      <w:sz w:val="21"/>
      <w:szCs w:val="24"/>
    </w:rPr>
  </w:style>
  <w:style w:type="character" w:customStyle="1" w:styleId="242">
    <w:name w:val="纯文本 字符1"/>
    <w:basedOn w:val="52"/>
    <w:semiHidden/>
    <w:qFormat/>
    <w:uiPriority w:val="99"/>
    <w:rPr>
      <w:rFonts w:hAnsi="Courier New" w:cs="Courier New" w:asciiTheme="minorEastAsia"/>
    </w:rPr>
  </w:style>
  <w:style w:type="character" w:customStyle="1" w:styleId="243">
    <w:name w:val="日期 字符1"/>
    <w:basedOn w:val="52"/>
    <w:semiHidden/>
    <w:qFormat/>
    <w:uiPriority w:val="99"/>
  </w:style>
  <w:style w:type="character" w:customStyle="1" w:styleId="244">
    <w:name w:val="日期 Char1"/>
    <w:basedOn w:val="52"/>
    <w:semiHidden/>
    <w:qFormat/>
    <w:uiPriority w:val="99"/>
  </w:style>
  <w:style w:type="character" w:customStyle="1" w:styleId="245">
    <w:name w:val="尾注文本 字符1"/>
    <w:basedOn w:val="52"/>
    <w:semiHidden/>
    <w:qFormat/>
    <w:uiPriority w:val="99"/>
  </w:style>
  <w:style w:type="paragraph" w:customStyle="1" w:styleId="246">
    <w:name w:val="样式 标题 2H2sect 1.2HD2h2Level 2 Topic Heading2Header 2head..."/>
    <w:basedOn w:val="5"/>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7">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48">
    <w:name w:val="Char Char17 Char Char"/>
    <w:basedOn w:val="19"/>
    <w:qFormat/>
    <w:uiPriority w:val="0"/>
    <w:pPr>
      <w:widowControl/>
      <w:shd w:val="clear" w:color="auto" w:fill="000080"/>
      <w:jc w:val="left"/>
    </w:pPr>
    <w:rPr>
      <w:rFonts w:asciiTheme="minorHAnsi" w:hAnsiTheme="minorHAnsi" w:cstheme="minorBidi"/>
      <w:sz w:val="21"/>
      <w:szCs w:val="24"/>
    </w:rPr>
  </w:style>
  <w:style w:type="paragraph" w:customStyle="1" w:styleId="249">
    <w:name w:val="表格字"/>
    <w:basedOn w:val="1"/>
    <w:qFormat/>
    <w:uiPriority w:val="0"/>
    <w:pPr>
      <w:adjustRightInd w:val="0"/>
      <w:jc w:val="center"/>
    </w:pPr>
    <w:rPr>
      <w:rFonts w:ascii="宋体" w:hAnsi="Times New Roman"/>
      <w:sz w:val="24"/>
      <w:szCs w:val="20"/>
    </w:rPr>
  </w:style>
  <w:style w:type="paragraph" w:customStyle="1" w:styleId="250">
    <w:name w:val="封面_项目开发单位"/>
    <w:basedOn w:val="25"/>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1">
    <w:name w:val="xl29"/>
    <w:basedOn w:val="1"/>
    <w:qFormat/>
    <w:uiPriority w:val="0"/>
    <w:pPr>
      <w:widowControl/>
      <w:spacing w:before="100" w:beforeAutospacing="1" w:after="100" w:afterAutospacing="1"/>
    </w:pPr>
    <w:rPr>
      <w:rFonts w:ascii="宋体" w:hAnsi="宋体"/>
      <w:kern w:val="0"/>
      <w:szCs w:val="21"/>
    </w:rPr>
  </w:style>
  <w:style w:type="paragraph" w:customStyle="1" w:styleId="252">
    <w:name w:val="办公自动化专用标题"/>
    <w:basedOn w:val="47"/>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4">
    <w:name w:val="题注5"/>
    <w:basedOn w:val="1"/>
    <w:next w:val="18"/>
    <w:qFormat/>
    <w:uiPriority w:val="0"/>
    <w:pPr>
      <w:jc w:val="center"/>
    </w:pPr>
    <w:rPr>
      <w:rFonts w:ascii="Times New Roman" w:hAnsi="Times New Roman"/>
      <w:b/>
      <w:color w:val="000000"/>
      <w:sz w:val="24"/>
      <w:szCs w:val="21"/>
    </w:rPr>
  </w:style>
  <w:style w:type="paragraph" w:customStyle="1" w:styleId="255">
    <w:name w:val="6"/>
    <w:basedOn w:val="1"/>
    <w:qFormat/>
    <w:uiPriority w:val="0"/>
    <w:rPr>
      <w:rFonts w:ascii="Times New Roman" w:hAnsi="Times New Roman"/>
      <w:kern w:val="0"/>
      <w:szCs w:val="20"/>
    </w:rPr>
  </w:style>
  <w:style w:type="paragraph" w:customStyle="1" w:styleId="256">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7">
    <w:name w:val="Char1 Char Char Char"/>
    <w:basedOn w:val="1"/>
    <w:qFormat/>
    <w:uiPriority w:val="0"/>
    <w:rPr>
      <w:rFonts w:ascii="Tahoma" w:hAnsi="Tahoma"/>
      <w:sz w:val="24"/>
      <w:szCs w:val="20"/>
    </w:rPr>
  </w:style>
  <w:style w:type="paragraph" w:customStyle="1" w:styleId="258">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59">
    <w:name w:val="Item Step in Table"/>
    <w:basedOn w:val="1"/>
    <w:qFormat/>
    <w:uiPriority w:val="0"/>
    <w:pPr>
      <w:tabs>
        <w:tab w:val="left" w:pos="420"/>
      </w:tabs>
      <w:ind w:left="420" w:hanging="420"/>
      <w:jc w:val="left"/>
    </w:pPr>
    <w:rPr>
      <w:rFonts w:ascii="Times New Roman" w:hAnsi="Times New Roman"/>
    </w:rPr>
  </w:style>
  <w:style w:type="paragraph" w:customStyle="1" w:styleId="260">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纯文本1"/>
    <w:basedOn w:val="1"/>
    <w:qFormat/>
    <w:uiPriority w:val="0"/>
    <w:rPr>
      <w:rFonts w:ascii="宋体" w:hAnsi="Courier New" w:cs="黑体"/>
      <w:szCs w:val="22"/>
    </w:rPr>
  </w:style>
  <w:style w:type="paragraph" w:customStyle="1" w:styleId="262">
    <w:name w:val="样式 标题 1H1h1章l1I11st levelHeading 01Header 1Header1Sec...1"/>
    <w:basedOn w:val="4"/>
    <w:qFormat/>
    <w:uiPriority w:val="0"/>
    <w:pPr>
      <w:spacing w:line="576" w:lineRule="auto"/>
    </w:pPr>
    <w:rPr>
      <w:rFonts w:ascii="黑体" w:hAnsi="黑体" w:eastAsia="黑体" w:cs="宋体"/>
      <w:b w:val="0"/>
      <w:sz w:val="36"/>
      <w:szCs w:val="20"/>
    </w:rPr>
  </w:style>
  <w:style w:type="paragraph" w:customStyle="1" w:styleId="263">
    <w:name w:val="标题5"/>
    <w:basedOn w:val="17"/>
    <w:next w:val="17"/>
    <w:qFormat/>
    <w:uiPriority w:val="0"/>
    <w:pPr>
      <w:spacing w:line="360" w:lineRule="auto"/>
      <w:ind w:firstLine="0" w:firstLineChars="0"/>
    </w:pPr>
    <w:rPr>
      <w:rFonts w:asciiTheme="minorHAnsi" w:hAnsiTheme="minorHAnsi" w:cstheme="minorBidi"/>
      <w:bCs/>
      <w:sz w:val="30"/>
      <w:szCs w:val="20"/>
    </w:rPr>
  </w:style>
  <w:style w:type="paragraph" w:customStyle="1" w:styleId="264">
    <w:name w:val="样式 标题 3第二层条第三层论文标题 21.1.1 标题 3101.01 + 宋体 四号 非加粗 行距: 1.5..."/>
    <w:basedOn w:val="6"/>
    <w:next w:val="6"/>
    <w:qFormat/>
    <w:uiPriority w:val="0"/>
    <w:pPr>
      <w:widowControl/>
      <w:spacing w:line="360" w:lineRule="auto"/>
      <w:jc w:val="left"/>
    </w:pPr>
    <w:rPr>
      <w:rFonts w:ascii="宋体" w:hAnsi="宋体" w:eastAsia="仿宋_GB2312" w:cs="宋体"/>
      <w:bCs w:val="0"/>
      <w:sz w:val="28"/>
      <w:szCs w:val="20"/>
    </w:rPr>
  </w:style>
  <w:style w:type="paragraph" w:customStyle="1" w:styleId="265">
    <w:name w:val="样式 标题 1H1h1章l1I11st levelHeading 01Header 1Header1Sec...2"/>
    <w:basedOn w:val="4"/>
    <w:qFormat/>
    <w:uiPriority w:val="0"/>
    <w:pPr>
      <w:spacing w:line="576" w:lineRule="auto"/>
    </w:pPr>
    <w:rPr>
      <w:rFonts w:ascii="Times New Roman" w:hAnsi="Times New Roman" w:eastAsia="黑体" w:cs="宋体"/>
      <w:b w:val="0"/>
      <w:sz w:val="36"/>
      <w:szCs w:val="20"/>
    </w:rPr>
  </w:style>
  <w:style w:type="paragraph" w:customStyle="1" w:styleId="266">
    <w:name w:val="表格内容"/>
    <w:basedOn w:val="8"/>
    <w:qFormat/>
    <w:uiPriority w:val="0"/>
    <w:pPr>
      <w:suppressLineNumbers/>
      <w:suppressAutoHyphens/>
      <w:jc w:val="left"/>
    </w:pPr>
    <w:rPr>
      <w:rFonts w:ascii="Times New Roman" w:hAnsi="Times New Roman"/>
      <w:kern w:val="0"/>
      <w:sz w:val="24"/>
    </w:rPr>
  </w:style>
  <w:style w:type="paragraph" w:customStyle="1" w:styleId="267">
    <w:name w:val="标准"/>
    <w:basedOn w:val="1"/>
    <w:qFormat/>
    <w:uiPriority w:val="0"/>
    <w:pPr>
      <w:spacing w:line="0" w:lineRule="atLeast"/>
      <w:ind w:left="480" w:firstLine="425"/>
      <w:jc w:val="right"/>
    </w:pPr>
    <w:rPr>
      <w:rFonts w:ascii="宋体" w:hAnsi="Times New Roman"/>
      <w:sz w:val="24"/>
      <w:szCs w:val="20"/>
    </w:rPr>
  </w:style>
  <w:style w:type="paragraph" w:customStyle="1" w:styleId="268">
    <w:name w:val="封面_项目建设单位"/>
    <w:basedOn w:val="25"/>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69">
    <w:name w:val="Char Char2 Char"/>
    <w:basedOn w:val="1"/>
    <w:qFormat/>
    <w:uiPriority w:val="0"/>
    <w:rPr>
      <w:rFonts w:ascii="宋体" w:hAnsi="宋体"/>
      <w:b/>
      <w:sz w:val="28"/>
      <w:szCs w:val="28"/>
    </w:rPr>
  </w:style>
  <w:style w:type="paragraph" w:customStyle="1" w:styleId="270">
    <w:name w:val="样式 表格名称 + 两端对齐"/>
    <w:basedOn w:val="207"/>
    <w:qFormat/>
    <w:uiPriority w:val="0"/>
    <w:pPr>
      <w:ind w:left="984" w:hanging="420"/>
      <w:jc w:val="both"/>
    </w:pPr>
    <w:rPr>
      <w:rFonts w:cs="宋体"/>
      <w:bCs/>
      <w:sz w:val="21"/>
      <w:szCs w:val="20"/>
    </w:rPr>
  </w:style>
  <w:style w:type="paragraph" w:customStyle="1" w:styleId="271">
    <w:name w:val="Block"/>
    <w:basedOn w:val="1"/>
    <w:next w:val="184"/>
    <w:qFormat/>
    <w:uiPriority w:val="0"/>
    <w:pPr>
      <w:tabs>
        <w:tab w:val="left" w:pos="0"/>
      </w:tabs>
    </w:pPr>
    <w:rPr>
      <w:rFonts w:ascii="Arial" w:hAnsi="Arial" w:eastAsia="楷体_GB2312"/>
      <w:color w:val="000080"/>
      <w:sz w:val="28"/>
      <w:szCs w:val="28"/>
    </w:rPr>
  </w:style>
  <w:style w:type="paragraph" w:customStyle="1" w:styleId="272">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3">
    <w:name w:val="图注"/>
    <w:basedOn w:val="17"/>
    <w:qFormat/>
    <w:uiPriority w:val="0"/>
    <w:pPr>
      <w:spacing w:line="360" w:lineRule="auto"/>
      <w:ind w:firstLine="0" w:firstLineChars="0"/>
      <w:jc w:val="center"/>
    </w:pPr>
    <w:rPr>
      <w:rFonts w:ascii="宋体" w:hAnsi="宋体" w:cstheme="minorBidi"/>
      <w:sz w:val="24"/>
    </w:rPr>
  </w:style>
  <w:style w:type="paragraph" w:customStyle="1" w:styleId="274">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5">
    <w:name w:val="彩色列表 - 强调文字颜色 11"/>
    <w:basedOn w:val="1"/>
    <w:qFormat/>
    <w:uiPriority w:val="0"/>
    <w:pPr>
      <w:ind w:firstLine="420" w:firstLineChars="200"/>
    </w:pPr>
    <w:rPr>
      <w:rFonts w:ascii="Times New Roman" w:hAnsi="Times New Roman"/>
    </w:rPr>
  </w:style>
  <w:style w:type="paragraph" w:customStyle="1" w:styleId="276">
    <w:name w:val="目录"/>
    <w:basedOn w:val="1"/>
    <w:qFormat/>
    <w:uiPriority w:val="0"/>
    <w:pPr>
      <w:widowControl/>
      <w:spacing w:line="480" w:lineRule="auto"/>
      <w:jc w:val="center"/>
    </w:pPr>
    <w:rPr>
      <w:rFonts w:ascii="宋体" w:hAnsi="Times New Roman"/>
      <w:b/>
      <w:kern w:val="0"/>
      <w:sz w:val="24"/>
      <w:szCs w:val="20"/>
    </w:rPr>
  </w:style>
  <w:style w:type="paragraph" w:customStyle="1" w:styleId="2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79">
    <w:name w:val="封面2"/>
    <w:basedOn w:val="33"/>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0">
    <w:name w:val="样式 标题 2H2sect 1.2HD2h2Level 2 Topic Heading2Header 2head...2"/>
    <w:basedOn w:val="5"/>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2">
    <w:name w:val="Char Char Char Char Char Char Char"/>
    <w:basedOn w:val="1"/>
    <w:qFormat/>
    <w:uiPriority w:val="0"/>
    <w:rPr>
      <w:rFonts w:ascii="Tahoma" w:hAnsi="Tahoma"/>
      <w:sz w:val="24"/>
      <w:szCs w:val="20"/>
    </w:rPr>
  </w:style>
  <w:style w:type="paragraph" w:customStyle="1" w:styleId="283">
    <w:name w:val="表格名"/>
    <w:basedOn w:val="111"/>
    <w:qFormat/>
    <w:uiPriority w:val="0"/>
    <w:pPr>
      <w:spacing w:line="360" w:lineRule="auto"/>
      <w:ind w:left="420" w:firstLine="0" w:firstLineChars="0"/>
      <w:jc w:val="center"/>
    </w:pPr>
    <w:rPr>
      <w:rFonts w:ascii="宋体" w:hAnsi="宋体" w:cstheme="minorBidi"/>
      <w:b/>
      <w:szCs w:val="21"/>
    </w:rPr>
  </w:style>
  <w:style w:type="paragraph" w:customStyle="1" w:styleId="284">
    <w:name w:val="正文缩进1"/>
    <w:basedOn w:val="1"/>
    <w:qFormat/>
    <w:uiPriority w:val="0"/>
    <w:pPr>
      <w:ind w:firstLine="420"/>
    </w:pPr>
    <w:rPr>
      <w:rFonts w:ascii="宋体" w:hAnsi="宋体"/>
      <w:szCs w:val="20"/>
    </w:rPr>
  </w:style>
  <w:style w:type="paragraph" w:customStyle="1" w:styleId="28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6">
    <w:name w:val="表格文字"/>
    <w:basedOn w:val="1"/>
    <w:qFormat/>
    <w:uiPriority w:val="0"/>
    <w:pPr>
      <w:spacing w:before="25" w:after="25" w:line="300" w:lineRule="auto"/>
    </w:pPr>
    <w:rPr>
      <w:rFonts w:ascii="Times" w:hAnsi="Times"/>
      <w:spacing w:val="10"/>
      <w:kern w:val="0"/>
      <w:sz w:val="24"/>
      <w:szCs w:val="20"/>
    </w:rPr>
  </w:style>
  <w:style w:type="paragraph" w:customStyle="1" w:styleId="2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8">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89">
    <w:name w:val="正文文本 21"/>
    <w:basedOn w:val="1"/>
    <w:qFormat/>
    <w:uiPriority w:val="0"/>
    <w:pPr>
      <w:widowControl/>
      <w:spacing w:after="120" w:line="480" w:lineRule="auto"/>
      <w:jc w:val="left"/>
    </w:pPr>
    <w:rPr>
      <w:rFonts w:ascii="Times New Roman" w:hAnsi="Times New Roman"/>
      <w:kern w:val="0"/>
    </w:rPr>
  </w:style>
  <w:style w:type="paragraph" w:customStyle="1" w:styleId="290">
    <w:name w:val="正文段落"/>
    <w:basedOn w:val="1"/>
    <w:qFormat/>
    <w:uiPriority w:val="0"/>
    <w:pPr>
      <w:ind w:firstLine="200" w:firstLineChars="200"/>
    </w:pPr>
    <w:rPr>
      <w:rFonts w:ascii="Times New Roman" w:hAnsi="Times New Roman"/>
    </w:rPr>
  </w:style>
  <w:style w:type="paragraph" w:customStyle="1" w:styleId="291">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3">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4">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5">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6">
    <w:name w:val="图表脚注"/>
    <w:next w:val="28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8">
    <w:name w:val="封面1"/>
    <w:basedOn w:val="33"/>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99">
    <w:name w:val="样式 标题 2H2sect 1.2HD2h2Level 2 Topic Heading2Header 2head...1"/>
    <w:basedOn w:val="5"/>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0">
    <w:name w:val="样式 正文缩进表正文正文非缩进段1特点ALT+Z水上软件正文不缩进四号特点 Char CharNormal ..."/>
    <w:basedOn w:val="17"/>
    <w:qFormat/>
    <w:uiPriority w:val="0"/>
    <w:pPr>
      <w:spacing w:line="360" w:lineRule="auto"/>
      <w:ind w:firstLine="560"/>
    </w:pPr>
    <w:rPr>
      <w:rFonts w:eastAsia="仿宋_GB2312" w:cs="宋体" w:asciiTheme="minorHAnsi" w:hAnsiTheme="minorHAnsi"/>
      <w:sz w:val="24"/>
    </w:rPr>
  </w:style>
  <w:style w:type="paragraph" w:customStyle="1" w:styleId="301">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3">
    <w:name w:val="图表注释"/>
    <w:basedOn w:val="1"/>
    <w:qFormat/>
    <w:uiPriority w:val="0"/>
    <w:pPr>
      <w:spacing w:line="360" w:lineRule="auto"/>
      <w:jc w:val="center"/>
    </w:pPr>
    <w:rPr>
      <w:rFonts w:ascii="宋体" w:hAnsi="宋体"/>
      <w:bCs/>
    </w:rPr>
  </w:style>
  <w:style w:type="paragraph" w:customStyle="1" w:styleId="304">
    <w:name w:val="标题51 Char Char Char"/>
    <w:basedOn w:val="9"/>
    <w:next w:val="9"/>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5">
    <w:name w:val="图名"/>
    <w:basedOn w:val="17"/>
    <w:qFormat/>
    <w:uiPriority w:val="0"/>
    <w:pPr>
      <w:spacing w:line="360" w:lineRule="auto"/>
      <w:ind w:firstLine="425" w:firstLineChars="0"/>
    </w:pPr>
    <w:rPr>
      <w:rFonts w:asciiTheme="minorHAnsi" w:hAnsiTheme="minorHAnsi" w:cstheme="minorBidi"/>
      <w:sz w:val="24"/>
      <w:szCs w:val="20"/>
    </w:rPr>
  </w:style>
  <w:style w:type="paragraph" w:customStyle="1" w:styleId="306">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7">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8">
    <w:name w:val="表内容－居中"/>
    <w:basedOn w:val="1"/>
    <w:qFormat/>
    <w:uiPriority w:val="0"/>
    <w:pPr>
      <w:spacing w:line="400" w:lineRule="exact"/>
      <w:jc w:val="center"/>
    </w:pPr>
    <w:rPr>
      <w:rFonts w:ascii="Times New Roman" w:hAnsi="Times New Roman" w:cs="宋体"/>
      <w:sz w:val="24"/>
      <w:szCs w:val="20"/>
    </w:rPr>
  </w:style>
  <w:style w:type="paragraph" w:customStyle="1" w:styleId="309">
    <w:name w:val="图表"/>
    <w:basedOn w:val="1"/>
    <w:qFormat/>
    <w:uiPriority w:val="0"/>
    <w:rPr>
      <w:rFonts w:ascii="宋体" w:hAnsi="宋体"/>
      <w:sz w:val="18"/>
      <w:szCs w:val="18"/>
    </w:rPr>
  </w:style>
  <w:style w:type="paragraph" w:customStyle="1" w:styleId="310">
    <w:name w:val="样式 标题 1H1h1章l1I11st levelHeading 01Header 1Header1Sec..."/>
    <w:basedOn w:val="4"/>
    <w:qFormat/>
    <w:uiPriority w:val="0"/>
    <w:pPr>
      <w:spacing w:line="576" w:lineRule="auto"/>
    </w:pPr>
    <w:rPr>
      <w:rFonts w:ascii="黑体" w:hAnsi="黑体" w:eastAsia="黑体" w:cs="宋体"/>
      <w:b w:val="0"/>
      <w:sz w:val="36"/>
      <w:szCs w:val="20"/>
    </w:rPr>
  </w:style>
  <w:style w:type="paragraph" w:customStyle="1" w:styleId="311">
    <w:name w:val="bt"/>
    <w:basedOn w:val="1"/>
    <w:next w:val="8"/>
    <w:qFormat/>
    <w:uiPriority w:val="0"/>
    <w:pPr>
      <w:spacing w:after="120"/>
    </w:pPr>
    <w:rPr>
      <w:rFonts w:ascii="Times New Roman" w:hAnsi="Times New Roman"/>
    </w:rPr>
  </w:style>
  <w:style w:type="paragraph" w:customStyle="1" w:styleId="312">
    <w:name w:val="3"/>
    <w:basedOn w:val="1"/>
    <w:next w:val="25"/>
    <w:qFormat/>
    <w:uiPriority w:val="0"/>
    <w:rPr>
      <w:rFonts w:ascii="宋体" w:hAnsi="Courier New"/>
      <w:szCs w:val="20"/>
    </w:rPr>
  </w:style>
  <w:style w:type="paragraph" w:customStyle="1" w:styleId="31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5">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6">
    <w:name w:val="样式 标题 1H1h1章l1I11st levelHeading 01Header 1Header1Sec...3"/>
    <w:basedOn w:val="4"/>
    <w:qFormat/>
    <w:uiPriority w:val="0"/>
    <w:pPr>
      <w:spacing w:line="576" w:lineRule="auto"/>
    </w:pPr>
    <w:rPr>
      <w:rFonts w:ascii="黑体" w:hAnsi="黑体" w:eastAsia="黑体" w:cs="宋体"/>
      <w:b w:val="0"/>
      <w:sz w:val="36"/>
      <w:szCs w:val="20"/>
    </w:rPr>
  </w:style>
  <w:style w:type="paragraph" w:styleId="3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8">
    <w:name w:val="样式 标题 1H1h1章l1I11st levelHeading 01Header 1Header1Sec...4"/>
    <w:basedOn w:val="4"/>
    <w:qFormat/>
    <w:uiPriority w:val="0"/>
    <w:pPr>
      <w:spacing w:line="576" w:lineRule="auto"/>
    </w:pPr>
    <w:rPr>
      <w:rFonts w:ascii="黑体" w:hAnsi="黑体" w:eastAsia="黑体" w:cs="宋体"/>
      <w:b w:val="0"/>
      <w:sz w:val="36"/>
      <w:szCs w:val="20"/>
    </w:rPr>
  </w:style>
  <w:style w:type="paragraph" w:customStyle="1" w:styleId="319">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0">
    <w:name w:val="样式 标题 3 + 右侧:  0.42 厘米"/>
    <w:basedOn w:val="6"/>
    <w:qFormat/>
    <w:uiPriority w:val="0"/>
    <w:pPr>
      <w:tabs>
        <w:tab w:val="left" w:pos="851"/>
      </w:tabs>
      <w:spacing w:line="413" w:lineRule="auto"/>
    </w:pPr>
    <w:rPr>
      <w:rFonts w:ascii="黑体" w:hAnsi="黑体" w:eastAsia="黑体" w:cs="宋体"/>
      <w:bCs w:val="0"/>
      <w:sz w:val="30"/>
      <w:szCs w:val="20"/>
    </w:rPr>
  </w:style>
  <w:style w:type="paragraph" w:customStyle="1" w:styleId="321">
    <w:name w:val="msoacetate"/>
    <w:basedOn w:val="1"/>
    <w:qFormat/>
    <w:uiPriority w:val="0"/>
    <w:rPr>
      <w:rFonts w:ascii="Tahoma" w:hAnsi="Tahoma"/>
      <w:sz w:val="18"/>
      <w:szCs w:val="18"/>
    </w:rPr>
  </w:style>
  <w:style w:type="paragraph" w:customStyle="1" w:styleId="322">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3">
    <w:name w:val="样式 正文文本 + 宋体 首行缩进:  0.74 厘米 行距: 1.5 倍行距"/>
    <w:basedOn w:val="8"/>
    <w:qFormat/>
    <w:uiPriority w:val="0"/>
    <w:pPr>
      <w:spacing w:line="360" w:lineRule="auto"/>
      <w:ind w:firstLine="200" w:firstLineChars="200"/>
    </w:pPr>
    <w:rPr>
      <w:sz w:val="24"/>
      <w:szCs w:val="22"/>
    </w:rPr>
  </w:style>
  <w:style w:type="paragraph" w:customStyle="1" w:styleId="324">
    <w:name w:val="Char1"/>
    <w:basedOn w:val="1"/>
    <w:qFormat/>
    <w:uiPriority w:val="0"/>
    <w:pPr>
      <w:snapToGrid w:val="0"/>
    </w:pPr>
    <w:rPr>
      <w:rFonts w:ascii="Arial" w:hAnsi="Arial"/>
      <w:szCs w:val="21"/>
    </w:rPr>
  </w:style>
  <w:style w:type="paragraph" w:customStyle="1" w:styleId="325">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6">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7">
    <w:name w:val="题注4"/>
    <w:basedOn w:val="1"/>
    <w:next w:val="18"/>
    <w:qFormat/>
    <w:uiPriority w:val="0"/>
    <w:pPr>
      <w:ind w:left="-132" w:leftChars="-64" w:right="-50" w:rightChars="-50" w:hanging="2"/>
      <w:jc w:val="center"/>
    </w:pPr>
    <w:rPr>
      <w:rFonts w:ascii="Times New Roman" w:hAnsi="Times New Roman"/>
      <w:b/>
      <w:color w:val="FF0000"/>
      <w:szCs w:val="20"/>
      <w:lang w:val="en-GB"/>
    </w:rPr>
  </w:style>
  <w:style w:type="paragraph" w:customStyle="1" w:styleId="328">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29">
    <w:name w:val="样式 标题 4 + (西文) 黑体 加粗"/>
    <w:basedOn w:val="7"/>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0">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2">
    <w:name w:val="样式 标题 2章标题 1.12 headlinehheadlineS&amp;R2ERMH2H2PIM2Headin..."/>
    <w:basedOn w:val="5"/>
    <w:next w:val="6"/>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4">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5">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6">
    <w:name w:val="4"/>
    <w:basedOn w:val="1"/>
    <w:next w:val="40"/>
    <w:qFormat/>
    <w:uiPriority w:val="0"/>
    <w:pPr>
      <w:ind w:firstLine="900"/>
    </w:pPr>
    <w:rPr>
      <w:rFonts w:ascii="Times New Roman" w:hAnsi="Times New Roman"/>
      <w:sz w:val="28"/>
      <w:szCs w:val="20"/>
    </w:rPr>
  </w:style>
  <w:style w:type="paragraph" w:customStyle="1" w:styleId="337">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8">
    <w:name w:val="海南模板"/>
    <w:basedOn w:val="1"/>
    <w:next w:val="47"/>
    <w:qFormat/>
    <w:uiPriority w:val="0"/>
    <w:pPr>
      <w:tabs>
        <w:tab w:val="left" w:pos="360"/>
      </w:tabs>
      <w:spacing w:after="120" w:line="460" w:lineRule="exact"/>
    </w:pPr>
    <w:rPr>
      <w:rFonts w:ascii="Times New Roman" w:hAnsi="Times New Roman" w:eastAsia="仿宋_GB2312"/>
      <w:sz w:val="28"/>
      <w:szCs w:val="20"/>
    </w:rPr>
  </w:style>
  <w:style w:type="character" w:customStyle="1" w:styleId="339">
    <w:name w:val="font161"/>
    <w:basedOn w:val="52"/>
    <w:qFormat/>
    <w:uiPriority w:val="0"/>
    <w:rPr>
      <w:rFonts w:hint="eastAsia" w:ascii="宋体" w:hAnsi="宋体" w:eastAsia="宋体" w:cs="宋体"/>
      <w:b/>
      <w:color w:val="000000"/>
      <w:sz w:val="28"/>
      <w:szCs w:val="28"/>
      <w:u w:val="none"/>
    </w:rPr>
  </w:style>
  <w:style w:type="character" w:customStyle="1" w:styleId="340">
    <w:name w:val="font171"/>
    <w:basedOn w:val="52"/>
    <w:qFormat/>
    <w:uiPriority w:val="0"/>
    <w:rPr>
      <w:rFonts w:hint="eastAsia" w:ascii="宋体" w:hAnsi="宋体" w:eastAsia="宋体" w:cs="宋体"/>
      <w:color w:val="000000"/>
      <w:sz w:val="22"/>
      <w:szCs w:val="22"/>
      <w:u w:val="none"/>
    </w:rPr>
  </w:style>
  <w:style w:type="character" w:customStyle="1" w:styleId="341">
    <w:name w:val="font41"/>
    <w:basedOn w:val="52"/>
    <w:qFormat/>
    <w:uiPriority w:val="0"/>
    <w:rPr>
      <w:rFonts w:hint="default" w:ascii="Arial" w:hAnsi="Arial" w:cs="Arial"/>
      <w:color w:val="000000"/>
      <w:sz w:val="22"/>
      <w:szCs w:val="22"/>
      <w:u w:val="none"/>
    </w:rPr>
  </w:style>
  <w:style w:type="character" w:customStyle="1" w:styleId="342">
    <w:name w:val="font81"/>
    <w:basedOn w:val="52"/>
    <w:qFormat/>
    <w:uiPriority w:val="0"/>
    <w:rPr>
      <w:rFonts w:hint="default" w:ascii="Arial" w:hAnsi="Arial" w:cs="Arial"/>
      <w:color w:val="000000"/>
      <w:sz w:val="20"/>
      <w:szCs w:val="20"/>
      <w:u w:val="none"/>
    </w:rPr>
  </w:style>
  <w:style w:type="character" w:customStyle="1" w:styleId="343">
    <w:name w:val="font21"/>
    <w:basedOn w:val="52"/>
    <w:qFormat/>
    <w:uiPriority w:val="0"/>
    <w:rPr>
      <w:rFonts w:hint="eastAsia" w:ascii="宋体" w:hAnsi="宋体" w:eastAsia="宋体" w:cs="宋体"/>
      <w:color w:val="000000"/>
      <w:sz w:val="20"/>
      <w:szCs w:val="20"/>
      <w:u w:val="none"/>
    </w:rPr>
  </w:style>
  <w:style w:type="character" w:customStyle="1" w:styleId="344">
    <w:name w:val="font11"/>
    <w:basedOn w:val="52"/>
    <w:qFormat/>
    <w:uiPriority w:val="0"/>
    <w:rPr>
      <w:rFonts w:hint="eastAsia" w:ascii="宋体" w:hAnsi="宋体" w:eastAsia="宋体" w:cs="宋体"/>
      <w:color w:val="000000"/>
      <w:sz w:val="20"/>
      <w:szCs w:val="20"/>
      <w:u w:val="none"/>
    </w:rPr>
  </w:style>
  <w:style w:type="character" w:customStyle="1" w:styleId="345">
    <w:name w:val="font101"/>
    <w:basedOn w:val="52"/>
    <w:qFormat/>
    <w:uiPriority w:val="0"/>
    <w:rPr>
      <w:rFonts w:ascii="MingLiU" w:hAnsi="MingLiU" w:eastAsia="MingLiU" w:cs="MingLiU"/>
      <w:color w:val="000000"/>
      <w:sz w:val="20"/>
      <w:szCs w:val="20"/>
      <w:u w:val="none"/>
    </w:rPr>
  </w:style>
  <w:style w:type="character" w:customStyle="1" w:styleId="346">
    <w:name w:val="font51"/>
    <w:basedOn w:val="52"/>
    <w:qFormat/>
    <w:uiPriority w:val="0"/>
    <w:rPr>
      <w:rFonts w:hint="default" w:ascii="Arial" w:hAnsi="Arial" w:cs="Arial"/>
      <w:color w:val="000000"/>
      <w:sz w:val="20"/>
      <w:szCs w:val="20"/>
      <w:u w:val="none"/>
    </w:rPr>
  </w:style>
  <w:style w:type="character" w:customStyle="1" w:styleId="347">
    <w:name w:val="未处理的提及4"/>
    <w:basedOn w:val="52"/>
    <w:semiHidden/>
    <w:unhideWhenUsed/>
    <w:qFormat/>
    <w:uiPriority w:val="99"/>
    <w:rPr>
      <w:color w:val="605E5C"/>
      <w:shd w:val="clear" w:color="auto" w:fill="E1DFDD"/>
    </w:rPr>
  </w:style>
  <w:style w:type="character" w:customStyle="1" w:styleId="348">
    <w:name w:val="未处理的提及5"/>
    <w:basedOn w:val="52"/>
    <w:semiHidden/>
    <w:unhideWhenUsed/>
    <w:qFormat/>
    <w:uiPriority w:val="99"/>
    <w:rPr>
      <w:color w:val="605E5C"/>
      <w:shd w:val="clear" w:color="auto" w:fill="E1DFDD"/>
    </w:rPr>
  </w:style>
  <w:style w:type="paragraph" w:customStyle="1" w:styleId="34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0F7D5-088B-4290-B299-F127DA841AC0}">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5519</Words>
  <Characters>31459</Characters>
  <Lines>262</Lines>
  <Paragraphs>73</Paragraphs>
  <TotalTime>1</TotalTime>
  <ScaleCrop>false</ScaleCrop>
  <LinksUpToDate>false</LinksUpToDate>
  <CharactersWithSpaces>36905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2020-07-28T01:32:00Z</dcterms:created>
  <dc:creator>User</dc:creator>
  <cp:lastModifiedBy>Administrator</cp:lastModifiedBy>
  <cp:lastPrinted>2019-04-23T07:41:00Z</cp:lastPrinted>
  <dcterms:modified xsi:type="dcterms:W3CDTF">2021-02-03T04:06:42Z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